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B15BD" w14:textId="7FD8F201" w:rsidR="00E23440" w:rsidRPr="00060A7B" w:rsidRDefault="00E23440" w:rsidP="006C37C9">
      <w:pPr>
        <w:spacing w:line="240" w:lineRule="auto"/>
        <w:rPr>
          <w:rFonts w:eastAsia="Calibri" w:cs="Calibri"/>
          <w:bCs/>
          <w:sz w:val="16"/>
          <w:szCs w:val="16"/>
          <w:lang w:val="en-US"/>
        </w:rPr>
      </w:pPr>
    </w:p>
    <w:p w14:paraId="40C92013" w14:textId="77777777" w:rsidR="00060A7B" w:rsidRPr="00060A7B" w:rsidRDefault="00060A7B" w:rsidP="006C37C9">
      <w:pPr>
        <w:spacing w:line="240" w:lineRule="auto"/>
        <w:rPr>
          <w:rFonts w:eastAsia="Calibri" w:cs="Calibri"/>
          <w:b/>
          <w:sz w:val="20"/>
          <w:szCs w:val="20"/>
          <w:lang w:val="en-US"/>
        </w:rPr>
      </w:pPr>
    </w:p>
    <w:p w14:paraId="01C600C2" w14:textId="0E91C66F" w:rsidR="006C37C9" w:rsidRPr="00060A7B" w:rsidRDefault="006C37C9" w:rsidP="006C37C9">
      <w:pPr>
        <w:spacing w:line="240" w:lineRule="auto"/>
        <w:rPr>
          <w:rFonts w:eastAsia="Calibri" w:cs="Calibri"/>
          <w:b/>
          <w:sz w:val="20"/>
          <w:szCs w:val="20"/>
          <w:lang w:val="en-US"/>
        </w:rPr>
      </w:pPr>
    </w:p>
    <w:p w14:paraId="09763E2F" w14:textId="5FFEE9A0" w:rsidR="008A2954" w:rsidRPr="00060A7B" w:rsidRDefault="008A2954" w:rsidP="006C37C9">
      <w:pPr>
        <w:spacing w:line="240" w:lineRule="auto"/>
        <w:rPr>
          <w:rFonts w:eastAsia="Calibri" w:cs="Calibri"/>
          <w:b/>
          <w:sz w:val="20"/>
          <w:szCs w:val="20"/>
          <w:lang w:val="en-US"/>
        </w:rPr>
      </w:pPr>
    </w:p>
    <w:p w14:paraId="445693BC" w14:textId="4A3CD43B" w:rsidR="00C37056" w:rsidRPr="00060A7B" w:rsidRDefault="00C37056" w:rsidP="006C37C9">
      <w:pPr>
        <w:spacing w:line="240" w:lineRule="auto"/>
        <w:rPr>
          <w:rFonts w:eastAsia="Calibri" w:cs="Calibri"/>
          <w:b/>
          <w:sz w:val="20"/>
          <w:szCs w:val="20"/>
          <w:lang w:val="en-US"/>
        </w:rPr>
      </w:pPr>
    </w:p>
    <w:p w14:paraId="5C101C08" w14:textId="77777777" w:rsidR="008A2954" w:rsidRPr="00060A7B" w:rsidRDefault="008A2954" w:rsidP="006C37C9">
      <w:pPr>
        <w:spacing w:line="240" w:lineRule="auto"/>
        <w:rPr>
          <w:rFonts w:eastAsia="Calibri" w:cs="Calibri"/>
          <w:b/>
          <w:sz w:val="20"/>
          <w:szCs w:val="20"/>
          <w:lang w:val="en-US"/>
        </w:rPr>
      </w:pPr>
    </w:p>
    <w:p w14:paraId="3EDFA594" w14:textId="2B6A899B" w:rsidR="006C37C9" w:rsidRPr="00060A7B" w:rsidRDefault="006C37C9" w:rsidP="000D67B2">
      <w:pPr>
        <w:tabs>
          <w:tab w:val="left" w:pos="1501"/>
        </w:tabs>
        <w:spacing w:line="240" w:lineRule="auto"/>
        <w:rPr>
          <w:rFonts w:eastAsia="Calibri" w:cs="Calibri"/>
          <w:b/>
          <w:sz w:val="20"/>
          <w:szCs w:val="20"/>
          <w:lang w:val="en-US"/>
        </w:rPr>
      </w:pPr>
    </w:p>
    <w:p w14:paraId="24DFF75F" w14:textId="5970CB13" w:rsidR="006C37C9" w:rsidRPr="00AC57EA" w:rsidRDefault="00B7258C" w:rsidP="006C37C9">
      <w:pPr>
        <w:spacing w:line="240" w:lineRule="auto"/>
        <w:jc w:val="center"/>
        <w:rPr>
          <w:rFonts w:eastAsia="Calibri" w:cs="Calibri"/>
          <w:b/>
          <w:sz w:val="20"/>
          <w:szCs w:val="20"/>
          <w:lang w:val="en-US"/>
        </w:rPr>
      </w:pPr>
      <w:r w:rsidRPr="00AC57EA">
        <w:rPr>
          <w:rFonts w:eastAsia="Calibri" w:cs="Calibri"/>
          <w:b/>
          <w:sz w:val="20"/>
          <w:szCs w:val="20"/>
          <w:lang w:val="en-US"/>
        </w:rPr>
        <w:t>INTER-AMERICAN COURT OF HUMAN RIGHTS</w:t>
      </w:r>
    </w:p>
    <w:p w14:paraId="3F21B627" w14:textId="77777777" w:rsidR="006C37C9" w:rsidRPr="00AC57EA" w:rsidRDefault="006C37C9" w:rsidP="006C37C9">
      <w:pPr>
        <w:tabs>
          <w:tab w:val="left" w:pos="720"/>
        </w:tabs>
        <w:spacing w:line="240" w:lineRule="auto"/>
        <w:jc w:val="center"/>
        <w:rPr>
          <w:rFonts w:eastAsia="Calibri" w:cs="Verdana"/>
          <w:b/>
          <w:bCs/>
          <w:caps/>
          <w:snapToGrid w:val="0"/>
          <w:sz w:val="20"/>
          <w:szCs w:val="20"/>
          <w:lang w:val="en-US" w:eastAsia="es-ES"/>
        </w:rPr>
      </w:pPr>
    </w:p>
    <w:p w14:paraId="0B55CA51" w14:textId="4910B29B" w:rsidR="006C37C9" w:rsidRPr="00AC57EA" w:rsidRDefault="006C37C9" w:rsidP="006C37C9">
      <w:pPr>
        <w:spacing w:line="240" w:lineRule="auto"/>
        <w:jc w:val="center"/>
        <w:rPr>
          <w:rFonts w:eastAsia="Calibri" w:cs="Calibri"/>
          <w:b/>
          <w:sz w:val="20"/>
          <w:szCs w:val="20"/>
          <w:lang w:val="en-US"/>
        </w:rPr>
      </w:pPr>
      <w:r w:rsidRPr="00AC57EA">
        <w:rPr>
          <w:rFonts w:eastAsia="Calibri" w:cs="Calibri"/>
          <w:b/>
          <w:sz w:val="20"/>
          <w:szCs w:val="20"/>
          <w:lang w:val="en-US"/>
        </w:rPr>
        <w:t>CAS</w:t>
      </w:r>
      <w:r w:rsidR="00B7258C" w:rsidRPr="00AC57EA">
        <w:rPr>
          <w:rFonts w:eastAsia="Calibri" w:cs="Calibri"/>
          <w:b/>
          <w:sz w:val="20"/>
          <w:szCs w:val="20"/>
          <w:lang w:val="en-US"/>
        </w:rPr>
        <w:t>E OF</w:t>
      </w:r>
      <w:r w:rsidRPr="00AC57EA">
        <w:rPr>
          <w:rFonts w:eastAsia="Calibri" w:cs="Calibri"/>
          <w:b/>
          <w:sz w:val="20"/>
          <w:szCs w:val="20"/>
          <w:lang w:val="en-US"/>
        </w:rPr>
        <w:t xml:space="preserve"> </w:t>
      </w:r>
      <w:r w:rsidR="00B824B2" w:rsidRPr="00AC57EA">
        <w:rPr>
          <w:rFonts w:eastAsia="Calibri" w:cs="Calibri"/>
          <w:b/>
          <w:sz w:val="20"/>
          <w:szCs w:val="20"/>
          <w:lang w:val="en-US"/>
        </w:rPr>
        <w:t>V.R.P</w:t>
      </w:r>
      <w:r w:rsidRPr="00AC57EA">
        <w:rPr>
          <w:rFonts w:eastAsia="Calibri" w:cs="Calibri"/>
          <w:b/>
          <w:sz w:val="20"/>
          <w:szCs w:val="20"/>
          <w:lang w:val="en-US"/>
        </w:rPr>
        <w:t>.</w:t>
      </w:r>
      <w:r w:rsidR="005F1C88" w:rsidRPr="00AC57EA">
        <w:rPr>
          <w:rFonts w:eastAsia="Calibri" w:cs="Calibri"/>
          <w:b/>
          <w:sz w:val="20"/>
          <w:szCs w:val="20"/>
          <w:lang w:val="en-US"/>
        </w:rPr>
        <w:t>,</w:t>
      </w:r>
      <w:r w:rsidR="00B824B2" w:rsidRPr="00AC57EA">
        <w:rPr>
          <w:rFonts w:eastAsia="Calibri" w:cs="Calibri"/>
          <w:b/>
          <w:sz w:val="20"/>
          <w:szCs w:val="20"/>
          <w:lang w:val="en-US"/>
        </w:rPr>
        <w:t xml:space="preserve"> V.P.C.</w:t>
      </w:r>
      <w:r w:rsidRPr="00AC57EA">
        <w:rPr>
          <w:rStyle w:val="Refdenotaalpie"/>
          <w:rFonts w:eastAsia="Calibri" w:cs="Calibri"/>
          <w:b/>
          <w:sz w:val="20"/>
          <w:szCs w:val="20"/>
          <w:lang w:val="en-US"/>
        </w:rPr>
        <w:footnoteReference w:customMarkFollows="1" w:id="1"/>
        <w:t>*</w:t>
      </w:r>
      <w:r w:rsidRPr="00AC57EA">
        <w:rPr>
          <w:rFonts w:eastAsia="Calibri" w:cs="Calibri"/>
          <w:b/>
          <w:sz w:val="20"/>
          <w:szCs w:val="20"/>
          <w:lang w:val="en-US"/>
        </w:rPr>
        <w:t xml:space="preserve"> </w:t>
      </w:r>
      <w:r w:rsidR="00B7258C" w:rsidRPr="00AC57EA">
        <w:rPr>
          <w:rFonts w:eastAsia="Calibri" w:cs="Calibri"/>
          <w:b/>
          <w:i/>
          <w:iCs/>
          <w:sz w:val="20"/>
          <w:szCs w:val="20"/>
          <w:lang w:val="en-US"/>
        </w:rPr>
        <w:t>ET AL. V.</w:t>
      </w:r>
      <w:r w:rsidR="001A6085" w:rsidRPr="00AC57EA">
        <w:rPr>
          <w:rFonts w:eastAsia="Calibri" w:cs="Calibri"/>
          <w:b/>
          <w:sz w:val="20"/>
          <w:szCs w:val="20"/>
          <w:lang w:val="en-US"/>
        </w:rPr>
        <w:t xml:space="preserve"> </w:t>
      </w:r>
      <w:r w:rsidRPr="00AC57EA">
        <w:rPr>
          <w:rFonts w:eastAsia="Calibri" w:cs="Calibri"/>
          <w:b/>
          <w:sz w:val="20"/>
          <w:szCs w:val="20"/>
          <w:lang w:val="en-US"/>
        </w:rPr>
        <w:t xml:space="preserve"> </w:t>
      </w:r>
      <w:r w:rsidR="00B824B2" w:rsidRPr="00AC57EA">
        <w:rPr>
          <w:rFonts w:eastAsia="Calibri" w:cs="Calibri"/>
          <w:b/>
          <w:sz w:val="20"/>
          <w:szCs w:val="20"/>
          <w:lang w:val="en-US"/>
        </w:rPr>
        <w:t>NICARAGUA</w:t>
      </w:r>
    </w:p>
    <w:p w14:paraId="753F3839" w14:textId="77777777" w:rsidR="006C37C9" w:rsidRPr="00AC57EA" w:rsidRDefault="006C37C9" w:rsidP="006C37C9">
      <w:pPr>
        <w:tabs>
          <w:tab w:val="left" w:pos="720"/>
        </w:tabs>
        <w:spacing w:line="240" w:lineRule="auto"/>
        <w:jc w:val="center"/>
        <w:rPr>
          <w:rFonts w:eastAsia="Calibri" w:cs="Verdana"/>
          <w:b/>
          <w:bCs/>
          <w:caps/>
          <w:snapToGrid w:val="0"/>
          <w:sz w:val="20"/>
          <w:szCs w:val="20"/>
          <w:lang w:val="en-US" w:eastAsia="es-ES"/>
        </w:rPr>
      </w:pPr>
    </w:p>
    <w:p w14:paraId="155CE8C2" w14:textId="6C21B203" w:rsidR="006C37C9" w:rsidRPr="00AC57EA" w:rsidRDefault="00B7258C" w:rsidP="006C37C9">
      <w:pPr>
        <w:tabs>
          <w:tab w:val="left" w:pos="720"/>
        </w:tabs>
        <w:spacing w:line="240" w:lineRule="auto"/>
        <w:jc w:val="center"/>
        <w:rPr>
          <w:rFonts w:eastAsia="Calibri" w:cs="Verdana"/>
          <w:b/>
          <w:bCs/>
          <w:snapToGrid w:val="0"/>
          <w:sz w:val="20"/>
          <w:szCs w:val="20"/>
          <w:lang w:val="en-US" w:eastAsia="es-ES"/>
        </w:rPr>
      </w:pPr>
      <w:r w:rsidRPr="00AC57EA">
        <w:rPr>
          <w:rFonts w:eastAsia="Calibri" w:cs="Verdana"/>
          <w:b/>
          <w:bCs/>
          <w:snapToGrid w:val="0"/>
          <w:sz w:val="20"/>
          <w:szCs w:val="20"/>
          <w:lang w:val="en-US" w:eastAsia="es-ES"/>
        </w:rPr>
        <w:t>JUDGMENT OF MARCH 8,</w:t>
      </w:r>
      <w:r w:rsidR="00FB359E" w:rsidRPr="00AC57EA">
        <w:rPr>
          <w:rFonts w:eastAsia="Calibri" w:cs="Verdana"/>
          <w:b/>
          <w:bCs/>
          <w:snapToGrid w:val="0"/>
          <w:sz w:val="20"/>
          <w:szCs w:val="20"/>
          <w:lang w:val="en-US" w:eastAsia="es-ES"/>
        </w:rPr>
        <w:t xml:space="preserve"> 2018</w:t>
      </w:r>
    </w:p>
    <w:p w14:paraId="285A0C4E" w14:textId="77777777" w:rsidR="006C37C9" w:rsidRPr="00AC57EA" w:rsidRDefault="006C37C9" w:rsidP="006C37C9">
      <w:pPr>
        <w:tabs>
          <w:tab w:val="left" w:pos="720"/>
        </w:tabs>
        <w:spacing w:line="240" w:lineRule="auto"/>
        <w:jc w:val="center"/>
        <w:rPr>
          <w:rFonts w:eastAsia="Calibri" w:cs="Verdana"/>
          <w:b/>
          <w:bCs/>
          <w:caps/>
          <w:snapToGrid w:val="0"/>
          <w:sz w:val="20"/>
          <w:szCs w:val="20"/>
          <w:lang w:val="en-US" w:eastAsia="es-ES"/>
        </w:rPr>
      </w:pPr>
    </w:p>
    <w:p w14:paraId="2196DE29" w14:textId="54790C2C" w:rsidR="006C37C9" w:rsidRPr="00AC57EA" w:rsidRDefault="006C37C9" w:rsidP="006C37C9">
      <w:pPr>
        <w:tabs>
          <w:tab w:val="left" w:pos="720"/>
        </w:tabs>
        <w:spacing w:line="240" w:lineRule="auto"/>
        <w:jc w:val="center"/>
        <w:rPr>
          <w:rFonts w:eastAsia="Calibri" w:cs="Verdana"/>
          <w:b/>
          <w:bCs/>
          <w:caps/>
          <w:snapToGrid w:val="0"/>
          <w:sz w:val="20"/>
          <w:szCs w:val="20"/>
          <w:lang w:val="en-US" w:eastAsia="es-ES"/>
        </w:rPr>
      </w:pPr>
      <w:r w:rsidRPr="00AC57EA">
        <w:rPr>
          <w:rFonts w:eastAsia="Calibri" w:cs="Verdana"/>
          <w:b/>
          <w:bCs/>
          <w:i/>
          <w:iCs/>
          <w:snapToGrid w:val="0"/>
          <w:sz w:val="20"/>
          <w:szCs w:val="20"/>
          <w:lang w:val="en-US" w:eastAsia="es-ES"/>
        </w:rPr>
        <w:t>(</w:t>
      </w:r>
      <w:r w:rsidR="00B7258C" w:rsidRPr="00AC57EA">
        <w:rPr>
          <w:rFonts w:eastAsia="Calibri" w:cs="Verdana"/>
          <w:b/>
          <w:bCs/>
          <w:i/>
          <w:iCs/>
          <w:snapToGrid w:val="0"/>
          <w:sz w:val="20"/>
          <w:szCs w:val="20"/>
          <w:lang w:val="en-US" w:eastAsia="es-ES"/>
        </w:rPr>
        <w:t>Preliminary objections, merits, reparations and costs</w:t>
      </w:r>
      <w:r w:rsidRPr="00AC57EA">
        <w:rPr>
          <w:rFonts w:eastAsia="Calibri" w:cs="Verdana"/>
          <w:b/>
          <w:bCs/>
          <w:i/>
          <w:iCs/>
          <w:snapToGrid w:val="0"/>
          <w:sz w:val="20"/>
          <w:szCs w:val="20"/>
          <w:lang w:val="en-US" w:eastAsia="es-ES"/>
        </w:rPr>
        <w:t>)</w:t>
      </w:r>
    </w:p>
    <w:p w14:paraId="33D58BDC" w14:textId="77777777" w:rsidR="006C37C9" w:rsidRPr="00AC57EA" w:rsidRDefault="006C37C9" w:rsidP="006C37C9">
      <w:pPr>
        <w:spacing w:before="4" w:line="280" w:lineRule="exact"/>
        <w:rPr>
          <w:rFonts w:ascii="Calibri" w:eastAsia="Calibri" w:hAnsi="Calibri"/>
          <w:sz w:val="28"/>
          <w:szCs w:val="28"/>
          <w:lang w:val="en-US"/>
        </w:rPr>
      </w:pPr>
    </w:p>
    <w:p w14:paraId="22633CE8" w14:textId="17CA4920" w:rsidR="006C37C9" w:rsidRPr="00AC57EA" w:rsidRDefault="006C37C9" w:rsidP="006C37C9">
      <w:pPr>
        <w:spacing w:before="4" w:line="280" w:lineRule="exact"/>
        <w:rPr>
          <w:rFonts w:ascii="Calibri" w:eastAsia="Calibri" w:hAnsi="Calibri"/>
          <w:sz w:val="28"/>
          <w:szCs w:val="28"/>
          <w:lang w:val="en-US"/>
        </w:rPr>
      </w:pPr>
    </w:p>
    <w:p w14:paraId="466404ED" w14:textId="77777777" w:rsidR="00EC52D7" w:rsidRPr="00AC57EA" w:rsidRDefault="00EC52D7" w:rsidP="006C37C9">
      <w:pPr>
        <w:spacing w:before="4" w:line="280" w:lineRule="exact"/>
        <w:rPr>
          <w:rFonts w:ascii="Calibri" w:eastAsia="Calibri" w:hAnsi="Calibri"/>
          <w:sz w:val="28"/>
          <w:szCs w:val="28"/>
          <w:lang w:val="en-US"/>
        </w:rPr>
      </w:pPr>
    </w:p>
    <w:p w14:paraId="54245CC8" w14:textId="77777777" w:rsidR="006C37C9" w:rsidRPr="00AC57EA" w:rsidRDefault="006C37C9" w:rsidP="006C37C9">
      <w:pPr>
        <w:spacing w:before="4" w:line="280" w:lineRule="exact"/>
        <w:rPr>
          <w:rFonts w:ascii="Calibri" w:eastAsia="Calibri" w:hAnsi="Calibri"/>
          <w:sz w:val="28"/>
          <w:szCs w:val="28"/>
          <w:lang w:val="en-US"/>
        </w:rPr>
      </w:pPr>
    </w:p>
    <w:p w14:paraId="12084FF5" w14:textId="77777777" w:rsidR="006C37C9" w:rsidRPr="00AC57EA" w:rsidRDefault="006C37C9" w:rsidP="006C37C9">
      <w:pPr>
        <w:spacing w:before="4" w:line="280" w:lineRule="exact"/>
        <w:rPr>
          <w:rFonts w:ascii="Calibri" w:eastAsia="Calibri" w:hAnsi="Calibri"/>
          <w:sz w:val="28"/>
          <w:szCs w:val="28"/>
          <w:lang w:val="en-US"/>
        </w:rPr>
      </w:pPr>
    </w:p>
    <w:p w14:paraId="63F021AC" w14:textId="0C4D97EE" w:rsidR="006C37C9" w:rsidRPr="00AC57EA" w:rsidRDefault="00EC52D7" w:rsidP="006C37C9">
      <w:pPr>
        <w:tabs>
          <w:tab w:val="left" w:pos="720"/>
        </w:tabs>
        <w:spacing w:line="240" w:lineRule="auto"/>
        <w:rPr>
          <w:rFonts w:eastAsia="Verdana" w:cs="Verdana"/>
          <w:sz w:val="20"/>
          <w:szCs w:val="20"/>
          <w:lang w:val="en-US"/>
        </w:rPr>
      </w:pPr>
      <w:r w:rsidRPr="00AC57EA">
        <w:rPr>
          <w:rFonts w:eastAsia="Verdana" w:cs="Verdana"/>
          <w:sz w:val="20"/>
          <w:szCs w:val="20"/>
          <w:lang w:val="en-US"/>
        </w:rPr>
        <w:t>In the case of</w:t>
      </w:r>
      <w:r w:rsidR="006C37C9" w:rsidRPr="00AC57EA">
        <w:rPr>
          <w:rFonts w:eastAsia="Verdana" w:cs="Verdana"/>
          <w:sz w:val="20"/>
          <w:szCs w:val="20"/>
          <w:lang w:val="en-US"/>
        </w:rPr>
        <w:t xml:space="preserve"> </w:t>
      </w:r>
      <w:r w:rsidR="006C37C9" w:rsidRPr="00AC57EA">
        <w:rPr>
          <w:rFonts w:eastAsia="Verdana" w:cs="Verdana"/>
          <w:i/>
          <w:sz w:val="20"/>
          <w:szCs w:val="20"/>
          <w:lang w:val="en-US"/>
        </w:rPr>
        <w:t>V.</w:t>
      </w:r>
      <w:r w:rsidR="00B824B2" w:rsidRPr="00AC57EA">
        <w:rPr>
          <w:rFonts w:eastAsia="Verdana" w:cs="Verdana"/>
          <w:i/>
          <w:sz w:val="20"/>
          <w:szCs w:val="20"/>
          <w:lang w:val="en-US"/>
        </w:rPr>
        <w:t>R.P.</w:t>
      </w:r>
      <w:r w:rsidR="005F1C88" w:rsidRPr="00AC57EA">
        <w:rPr>
          <w:rFonts w:eastAsia="Verdana" w:cs="Verdana"/>
          <w:i/>
          <w:sz w:val="20"/>
          <w:szCs w:val="20"/>
          <w:lang w:val="en-US"/>
        </w:rPr>
        <w:t>,</w:t>
      </w:r>
      <w:r w:rsidR="00B824B2" w:rsidRPr="00AC57EA">
        <w:rPr>
          <w:rFonts w:eastAsia="Verdana" w:cs="Verdana"/>
          <w:i/>
          <w:sz w:val="20"/>
          <w:szCs w:val="20"/>
          <w:lang w:val="en-US"/>
        </w:rPr>
        <w:t xml:space="preserve"> </w:t>
      </w:r>
      <w:r w:rsidR="00B7258C" w:rsidRPr="00AC57EA">
        <w:rPr>
          <w:rFonts w:eastAsia="Verdana" w:cs="Verdana"/>
          <w:i/>
          <w:sz w:val="20"/>
          <w:szCs w:val="20"/>
          <w:lang w:val="en-US"/>
        </w:rPr>
        <w:t>V.P.C. et al.</w:t>
      </w:r>
      <w:r w:rsidR="006C37C9" w:rsidRPr="00AC57EA">
        <w:rPr>
          <w:rFonts w:eastAsia="Verdana" w:cs="Verdana"/>
          <w:sz w:val="20"/>
          <w:szCs w:val="20"/>
          <w:lang w:val="en-US"/>
        </w:rPr>
        <w:t>,</w:t>
      </w:r>
    </w:p>
    <w:p w14:paraId="0E48C21E" w14:textId="77777777" w:rsidR="006C37C9" w:rsidRPr="00AC57EA" w:rsidRDefault="006C37C9" w:rsidP="006C37C9">
      <w:pPr>
        <w:spacing w:before="4" w:line="240" w:lineRule="exact"/>
        <w:rPr>
          <w:rFonts w:ascii="Calibri" w:eastAsia="Calibri" w:hAnsi="Calibri"/>
          <w:lang w:val="en-US"/>
        </w:rPr>
      </w:pPr>
    </w:p>
    <w:p w14:paraId="184BAB54" w14:textId="186E3DA6" w:rsidR="006C37C9" w:rsidRPr="00AC57EA" w:rsidRDefault="00B7258C" w:rsidP="006C37C9">
      <w:pPr>
        <w:tabs>
          <w:tab w:val="left" w:pos="720"/>
        </w:tabs>
        <w:spacing w:line="240" w:lineRule="auto"/>
        <w:rPr>
          <w:rFonts w:eastAsia="Calibri" w:cs="Verdana"/>
          <w:sz w:val="20"/>
          <w:szCs w:val="20"/>
          <w:lang w:val="en-US"/>
        </w:rPr>
      </w:pPr>
      <w:r w:rsidRPr="00AC57EA">
        <w:rPr>
          <w:rFonts w:eastAsia="Calibri" w:cs="Verdana"/>
          <w:sz w:val="20"/>
          <w:szCs w:val="20"/>
          <w:lang w:val="en-US"/>
        </w:rPr>
        <w:t>the Inter-American Court of Human Rights</w:t>
      </w:r>
      <w:r w:rsidR="006C37C9" w:rsidRPr="00AC57EA">
        <w:rPr>
          <w:rFonts w:eastAsia="Calibri" w:cs="Verdana"/>
          <w:sz w:val="20"/>
          <w:szCs w:val="20"/>
          <w:lang w:val="en-US"/>
        </w:rPr>
        <w:t xml:space="preserve"> (</w:t>
      </w:r>
      <w:r w:rsidRPr="00AC57EA">
        <w:rPr>
          <w:rFonts w:eastAsia="Calibri" w:cs="Verdana"/>
          <w:sz w:val="20"/>
          <w:szCs w:val="20"/>
          <w:lang w:val="en-US"/>
        </w:rPr>
        <w:t>hereinafter</w:t>
      </w:r>
      <w:r w:rsidR="006C37C9" w:rsidRPr="00AC57EA">
        <w:rPr>
          <w:rFonts w:eastAsia="Calibri" w:cs="Verdana"/>
          <w:sz w:val="20"/>
          <w:szCs w:val="20"/>
          <w:lang w:val="en-US"/>
        </w:rPr>
        <w:t xml:space="preserve"> “</w:t>
      </w:r>
      <w:r w:rsidRPr="00AC57EA">
        <w:rPr>
          <w:rFonts w:eastAsia="Calibri" w:cs="Verdana"/>
          <w:sz w:val="20"/>
          <w:szCs w:val="20"/>
          <w:lang w:val="en-US"/>
        </w:rPr>
        <w:t>the Inter-American Court</w:t>
      </w:r>
      <w:r w:rsidR="006C37C9" w:rsidRPr="00AC57EA">
        <w:rPr>
          <w:rFonts w:eastAsia="Calibri" w:cs="Verdana"/>
          <w:sz w:val="20"/>
          <w:szCs w:val="20"/>
          <w:lang w:val="en-US"/>
        </w:rPr>
        <w:t>”</w:t>
      </w:r>
      <w:r w:rsidRPr="00AC57EA">
        <w:rPr>
          <w:rFonts w:eastAsia="Calibri" w:cs="Verdana"/>
          <w:sz w:val="20"/>
          <w:szCs w:val="20"/>
          <w:lang w:val="en-US"/>
        </w:rPr>
        <w:t xml:space="preserve"> or </w:t>
      </w:r>
      <w:r w:rsidR="006C37C9" w:rsidRPr="00AC57EA">
        <w:rPr>
          <w:rFonts w:eastAsia="Calibri" w:cs="Verdana"/>
          <w:sz w:val="20"/>
          <w:szCs w:val="20"/>
          <w:lang w:val="en-US"/>
        </w:rPr>
        <w:t>“</w:t>
      </w:r>
      <w:r w:rsidRPr="00AC57EA">
        <w:rPr>
          <w:rFonts w:eastAsia="Calibri" w:cs="Verdana"/>
          <w:sz w:val="20"/>
          <w:szCs w:val="20"/>
          <w:lang w:val="en-US"/>
        </w:rPr>
        <w:t>the Court</w:t>
      </w:r>
      <w:r w:rsidR="006C37C9" w:rsidRPr="00AC57EA">
        <w:rPr>
          <w:rFonts w:eastAsia="Calibri" w:cs="Verdana"/>
          <w:sz w:val="20"/>
          <w:szCs w:val="20"/>
          <w:lang w:val="en-US"/>
        </w:rPr>
        <w:t xml:space="preserve">”), </w:t>
      </w:r>
      <w:r w:rsidRPr="00AC57EA">
        <w:rPr>
          <w:rFonts w:eastAsia="Calibri" w:cs="Verdana"/>
          <w:sz w:val="20"/>
          <w:szCs w:val="20"/>
          <w:lang w:val="en-US"/>
        </w:rPr>
        <w:t>composed of the following judges;</w:t>
      </w:r>
      <w:r w:rsidR="00F72A3A" w:rsidRPr="00AC57EA">
        <w:rPr>
          <w:rStyle w:val="Refdenotaalpie"/>
          <w:rFonts w:eastAsia="Calibri" w:cs="Verdana"/>
          <w:sz w:val="20"/>
          <w:szCs w:val="20"/>
          <w:lang w:val="en-US"/>
        </w:rPr>
        <w:footnoteReference w:customMarkFollows="1" w:id="2"/>
        <w:t>**</w:t>
      </w:r>
    </w:p>
    <w:p w14:paraId="29F8725C" w14:textId="77777777" w:rsidR="006C37C9" w:rsidRPr="00AC57EA" w:rsidRDefault="006C37C9" w:rsidP="006C37C9">
      <w:pPr>
        <w:tabs>
          <w:tab w:val="left" w:pos="720"/>
        </w:tabs>
        <w:spacing w:line="240" w:lineRule="auto"/>
        <w:rPr>
          <w:rFonts w:eastAsia="Calibri" w:cs="Verdana"/>
          <w:sz w:val="20"/>
          <w:szCs w:val="20"/>
          <w:lang w:val="en-US"/>
        </w:rPr>
      </w:pPr>
    </w:p>
    <w:p w14:paraId="3B47F9C8" w14:textId="69280A50" w:rsidR="006C37C9" w:rsidRPr="00AC57EA" w:rsidRDefault="006C37C9" w:rsidP="00B7258C">
      <w:pPr>
        <w:tabs>
          <w:tab w:val="left" w:pos="720"/>
          <w:tab w:val="left" w:pos="4992"/>
        </w:tabs>
        <w:spacing w:line="240" w:lineRule="auto"/>
        <w:rPr>
          <w:rFonts w:eastAsia="Calibri" w:cs="Verdana"/>
          <w:sz w:val="20"/>
          <w:szCs w:val="20"/>
        </w:rPr>
      </w:pPr>
      <w:r w:rsidRPr="00AC57EA">
        <w:rPr>
          <w:rFonts w:eastAsia="Calibri" w:cs="Verdana"/>
          <w:sz w:val="20"/>
          <w:szCs w:val="20"/>
        </w:rPr>
        <w:t xml:space="preserve">Eduardo Ferrer Mac-Gregor Poisot, </w:t>
      </w:r>
      <w:r w:rsidR="00B7258C" w:rsidRPr="00AC57EA">
        <w:rPr>
          <w:rFonts w:eastAsia="Calibri" w:cs="Verdana"/>
          <w:sz w:val="20"/>
          <w:szCs w:val="20"/>
        </w:rPr>
        <w:t>President</w:t>
      </w:r>
    </w:p>
    <w:p w14:paraId="01A96132" w14:textId="40209FDD" w:rsidR="006C37C9" w:rsidRPr="00AC57EA" w:rsidRDefault="006C37C9" w:rsidP="006C37C9">
      <w:pPr>
        <w:tabs>
          <w:tab w:val="left" w:pos="720"/>
        </w:tabs>
        <w:spacing w:line="240" w:lineRule="auto"/>
        <w:rPr>
          <w:rFonts w:eastAsia="Calibri" w:cs="Verdana"/>
          <w:sz w:val="20"/>
          <w:szCs w:val="20"/>
        </w:rPr>
      </w:pPr>
      <w:r w:rsidRPr="00AC57EA">
        <w:rPr>
          <w:rFonts w:eastAsia="Calibri" w:cs="Verdana"/>
          <w:sz w:val="20"/>
          <w:szCs w:val="20"/>
        </w:rPr>
        <w:t xml:space="preserve">Humberto Antonio Sierra Porto, </w:t>
      </w:r>
      <w:r w:rsidR="00B7258C" w:rsidRPr="00AC57EA">
        <w:rPr>
          <w:rFonts w:eastAsia="Calibri" w:cs="Verdana"/>
          <w:sz w:val="20"/>
          <w:szCs w:val="20"/>
        </w:rPr>
        <w:t>Judge</w:t>
      </w:r>
    </w:p>
    <w:p w14:paraId="5A025B75" w14:textId="5EF61C63" w:rsidR="006C37C9" w:rsidRPr="00AC57EA" w:rsidRDefault="006C37C9" w:rsidP="006C37C9">
      <w:pPr>
        <w:tabs>
          <w:tab w:val="left" w:pos="720"/>
        </w:tabs>
        <w:spacing w:line="240" w:lineRule="auto"/>
        <w:rPr>
          <w:rFonts w:eastAsia="Calibri" w:cs="Verdana"/>
          <w:sz w:val="20"/>
          <w:szCs w:val="20"/>
        </w:rPr>
      </w:pPr>
      <w:r w:rsidRPr="00AC57EA">
        <w:rPr>
          <w:rFonts w:eastAsia="Calibri" w:cs="Verdana"/>
          <w:sz w:val="20"/>
          <w:szCs w:val="20"/>
        </w:rPr>
        <w:t xml:space="preserve">Elizabeth Odio Benito, </w:t>
      </w:r>
      <w:r w:rsidR="00B7258C" w:rsidRPr="00AC57EA">
        <w:rPr>
          <w:rFonts w:eastAsia="Calibri" w:cs="Verdana"/>
          <w:sz w:val="20"/>
          <w:szCs w:val="20"/>
        </w:rPr>
        <w:t>Judge</w:t>
      </w:r>
    </w:p>
    <w:p w14:paraId="277B7C5C" w14:textId="0E676AA8" w:rsidR="006C37C9" w:rsidRPr="00AC57EA" w:rsidRDefault="006C37C9" w:rsidP="006C37C9">
      <w:pPr>
        <w:tabs>
          <w:tab w:val="left" w:pos="720"/>
        </w:tabs>
        <w:spacing w:line="240" w:lineRule="auto"/>
        <w:rPr>
          <w:rFonts w:eastAsia="Calibri" w:cs="Verdana"/>
          <w:sz w:val="20"/>
          <w:szCs w:val="20"/>
        </w:rPr>
      </w:pPr>
      <w:r w:rsidRPr="00AC57EA">
        <w:rPr>
          <w:rFonts w:eastAsia="Calibri" w:cs="Verdana"/>
          <w:sz w:val="20"/>
          <w:szCs w:val="20"/>
        </w:rPr>
        <w:t xml:space="preserve">Eugenio Raúl Zaffaroni, </w:t>
      </w:r>
      <w:r w:rsidR="00B7258C" w:rsidRPr="00AC57EA">
        <w:rPr>
          <w:rFonts w:eastAsia="Calibri" w:cs="Verdana"/>
          <w:sz w:val="20"/>
          <w:szCs w:val="20"/>
        </w:rPr>
        <w:t>Judge</w:t>
      </w:r>
      <w:r w:rsidRPr="00AC57EA">
        <w:rPr>
          <w:rFonts w:eastAsia="Calibri" w:cs="Verdana"/>
          <w:sz w:val="20"/>
          <w:szCs w:val="20"/>
        </w:rPr>
        <w:t xml:space="preserve">, </w:t>
      </w:r>
      <w:r w:rsidR="00B7258C" w:rsidRPr="00AC57EA">
        <w:rPr>
          <w:rFonts w:eastAsia="Calibri" w:cs="Verdana"/>
          <w:sz w:val="20"/>
          <w:szCs w:val="20"/>
        </w:rPr>
        <w:t>and</w:t>
      </w:r>
    </w:p>
    <w:p w14:paraId="475EA718" w14:textId="7571F7F8" w:rsidR="006C37C9" w:rsidRPr="00AC57EA" w:rsidRDefault="006C37C9" w:rsidP="006C37C9">
      <w:pPr>
        <w:tabs>
          <w:tab w:val="left" w:pos="720"/>
        </w:tabs>
        <w:spacing w:line="240" w:lineRule="auto"/>
        <w:rPr>
          <w:rFonts w:eastAsia="Calibri" w:cs="Verdana"/>
          <w:sz w:val="20"/>
          <w:szCs w:val="20"/>
        </w:rPr>
      </w:pPr>
      <w:r w:rsidRPr="00AC57EA">
        <w:rPr>
          <w:rFonts w:eastAsia="Calibri" w:cs="Verdana"/>
          <w:sz w:val="20"/>
          <w:szCs w:val="20"/>
        </w:rPr>
        <w:t xml:space="preserve">L. Patricio Pazmiño Freire, </w:t>
      </w:r>
      <w:r w:rsidR="00B7258C" w:rsidRPr="00AC57EA">
        <w:rPr>
          <w:rFonts w:eastAsia="Calibri" w:cs="Verdana"/>
          <w:sz w:val="20"/>
          <w:szCs w:val="20"/>
        </w:rPr>
        <w:t>Judge</w:t>
      </w:r>
      <w:r w:rsidRPr="00AC57EA">
        <w:rPr>
          <w:rFonts w:eastAsia="Calibri" w:cs="Verdana"/>
          <w:sz w:val="20"/>
          <w:szCs w:val="20"/>
        </w:rPr>
        <w:t>;</w:t>
      </w:r>
    </w:p>
    <w:p w14:paraId="153D1D1C" w14:textId="77777777" w:rsidR="006C37C9" w:rsidRPr="00AC57EA" w:rsidRDefault="006C37C9" w:rsidP="006C37C9">
      <w:pPr>
        <w:tabs>
          <w:tab w:val="left" w:pos="720"/>
        </w:tabs>
        <w:spacing w:line="240" w:lineRule="auto"/>
        <w:rPr>
          <w:rFonts w:eastAsia="Calibri" w:cs="Verdana"/>
          <w:sz w:val="20"/>
          <w:szCs w:val="20"/>
        </w:rPr>
      </w:pPr>
    </w:p>
    <w:p w14:paraId="64928965" w14:textId="770984C2" w:rsidR="006C37C9" w:rsidRPr="00AC57EA" w:rsidRDefault="00B7258C" w:rsidP="006C37C9">
      <w:pPr>
        <w:tabs>
          <w:tab w:val="left" w:pos="720"/>
        </w:tabs>
        <w:spacing w:line="240" w:lineRule="auto"/>
        <w:rPr>
          <w:rFonts w:eastAsia="Calibri" w:cs="Verdana"/>
          <w:sz w:val="20"/>
          <w:szCs w:val="20"/>
        </w:rPr>
      </w:pPr>
      <w:r w:rsidRPr="00AC57EA">
        <w:rPr>
          <w:rFonts w:eastAsia="Calibri" w:cs="Verdana"/>
          <w:sz w:val="20"/>
          <w:szCs w:val="20"/>
        </w:rPr>
        <w:t xml:space="preserve">also present, </w:t>
      </w:r>
    </w:p>
    <w:p w14:paraId="64ADD9CE" w14:textId="77777777" w:rsidR="006C37C9" w:rsidRPr="00AC57EA" w:rsidRDefault="006C37C9" w:rsidP="006C37C9">
      <w:pPr>
        <w:tabs>
          <w:tab w:val="left" w:pos="720"/>
        </w:tabs>
        <w:spacing w:line="240" w:lineRule="auto"/>
        <w:rPr>
          <w:rFonts w:eastAsia="Calibri" w:cs="Verdana"/>
          <w:sz w:val="20"/>
          <w:szCs w:val="20"/>
        </w:rPr>
      </w:pPr>
    </w:p>
    <w:p w14:paraId="7C89A62C" w14:textId="4055AED1" w:rsidR="006C37C9" w:rsidRPr="00AC57EA" w:rsidRDefault="006C37C9" w:rsidP="006C37C9">
      <w:pPr>
        <w:tabs>
          <w:tab w:val="left" w:pos="720"/>
        </w:tabs>
        <w:spacing w:line="240" w:lineRule="auto"/>
        <w:rPr>
          <w:rFonts w:eastAsia="Calibri" w:cs="Verdana"/>
          <w:sz w:val="20"/>
          <w:szCs w:val="20"/>
        </w:rPr>
      </w:pPr>
      <w:r w:rsidRPr="00AC57EA">
        <w:rPr>
          <w:rFonts w:eastAsia="Calibri" w:cs="Verdana"/>
          <w:sz w:val="20"/>
          <w:szCs w:val="20"/>
        </w:rPr>
        <w:t xml:space="preserve">Pablo Saavedra Alessandri, </w:t>
      </w:r>
      <w:r w:rsidR="00B7258C" w:rsidRPr="00AC57EA">
        <w:rPr>
          <w:rFonts w:eastAsia="Calibri" w:cs="Verdana"/>
          <w:sz w:val="20"/>
          <w:szCs w:val="20"/>
        </w:rPr>
        <w:t>Secretary</w:t>
      </w:r>
      <w:r w:rsidRPr="00AC57EA">
        <w:rPr>
          <w:rFonts w:eastAsia="Calibri" w:cs="Verdana"/>
          <w:sz w:val="20"/>
          <w:szCs w:val="20"/>
        </w:rPr>
        <w:t xml:space="preserve">, </w:t>
      </w:r>
      <w:r w:rsidR="00B7258C" w:rsidRPr="00AC57EA">
        <w:rPr>
          <w:rFonts w:eastAsia="Calibri" w:cs="Verdana"/>
          <w:sz w:val="20"/>
          <w:szCs w:val="20"/>
        </w:rPr>
        <w:t>and</w:t>
      </w:r>
      <w:r w:rsidRPr="00AC57EA">
        <w:rPr>
          <w:rFonts w:eastAsia="Calibri" w:cs="Verdana"/>
          <w:sz w:val="20"/>
          <w:szCs w:val="20"/>
        </w:rPr>
        <w:t xml:space="preserve"> </w:t>
      </w:r>
    </w:p>
    <w:p w14:paraId="47B8ED3B" w14:textId="61CC2EEF" w:rsidR="006C37C9" w:rsidRPr="00AC57EA" w:rsidRDefault="006C37C9" w:rsidP="006C37C9">
      <w:pPr>
        <w:tabs>
          <w:tab w:val="left" w:pos="720"/>
        </w:tabs>
        <w:spacing w:line="240" w:lineRule="auto"/>
        <w:rPr>
          <w:rFonts w:eastAsia="Calibri" w:cs="Verdana"/>
          <w:sz w:val="20"/>
          <w:szCs w:val="20"/>
        </w:rPr>
      </w:pPr>
      <w:r w:rsidRPr="00AC57EA">
        <w:rPr>
          <w:rFonts w:eastAsia="Calibri" w:cs="Verdana"/>
          <w:sz w:val="20"/>
          <w:szCs w:val="20"/>
          <w:lang w:eastAsia="es-MX"/>
        </w:rPr>
        <w:t xml:space="preserve">Emilia Segares Rodríguez, </w:t>
      </w:r>
      <w:r w:rsidR="00B7258C" w:rsidRPr="00AC57EA">
        <w:rPr>
          <w:rFonts w:eastAsia="Calibri" w:cs="Verdana"/>
          <w:sz w:val="20"/>
          <w:szCs w:val="20"/>
          <w:lang w:eastAsia="es-MX"/>
        </w:rPr>
        <w:t xml:space="preserve">Deputy Secretary, </w:t>
      </w:r>
    </w:p>
    <w:p w14:paraId="1C71C508" w14:textId="77777777" w:rsidR="006C37C9" w:rsidRPr="00AC57EA" w:rsidRDefault="006C37C9" w:rsidP="006C37C9">
      <w:pPr>
        <w:tabs>
          <w:tab w:val="left" w:pos="720"/>
        </w:tabs>
        <w:spacing w:line="240" w:lineRule="auto"/>
        <w:rPr>
          <w:rFonts w:eastAsia="Calibri" w:cs="Verdana"/>
          <w:sz w:val="20"/>
          <w:szCs w:val="20"/>
        </w:rPr>
      </w:pPr>
    </w:p>
    <w:p w14:paraId="53A07A27" w14:textId="1791B76B" w:rsidR="006C37C9" w:rsidRPr="00AC57EA" w:rsidRDefault="00B7258C" w:rsidP="006C37C9">
      <w:pPr>
        <w:tabs>
          <w:tab w:val="left" w:pos="720"/>
        </w:tabs>
        <w:spacing w:line="240" w:lineRule="auto"/>
        <w:rPr>
          <w:rFonts w:eastAsia="Calibri" w:cs="Verdana"/>
          <w:sz w:val="20"/>
          <w:szCs w:val="20"/>
          <w:lang w:val="en-US"/>
        </w:rPr>
      </w:pPr>
      <w:r w:rsidRPr="00AC57EA">
        <w:rPr>
          <w:rFonts w:eastAsia="Calibri" w:cs="Verdana"/>
          <w:sz w:val="20"/>
          <w:szCs w:val="20"/>
          <w:lang w:val="en-US"/>
        </w:rPr>
        <w:t>pursuant to Articles</w:t>
      </w:r>
      <w:r w:rsidR="006C37C9" w:rsidRPr="00AC57EA">
        <w:rPr>
          <w:rFonts w:eastAsia="Calibri" w:cs="Verdana"/>
          <w:sz w:val="20"/>
          <w:szCs w:val="20"/>
          <w:lang w:val="en-US"/>
        </w:rPr>
        <w:t xml:space="preserve"> 62</w:t>
      </w:r>
      <w:r w:rsidRPr="00AC57EA">
        <w:rPr>
          <w:rFonts w:eastAsia="Calibri" w:cs="Verdana"/>
          <w:sz w:val="20"/>
          <w:szCs w:val="20"/>
          <w:lang w:val="en-US"/>
        </w:rPr>
        <w:t>(</w:t>
      </w:r>
      <w:r w:rsidR="006C37C9" w:rsidRPr="00AC57EA">
        <w:rPr>
          <w:rFonts w:eastAsia="Calibri" w:cs="Verdana"/>
          <w:sz w:val="20"/>
          <w:szCs w:val="20"/>
          <w:lang w:val="en-US"/>
        </w:rPr>
        <w:t>3</w:t>
      </w:r>
      <w:r w:rsidRPr="00AC57EA">
        <w:rPr>
          <w:rFonts w:eastAsia="Calibri" w:cs="Verdana"/>
          <w:sz w:val="20"/>
          <w:szCs w:val="20"/>
          <w:lang w:val="en-US"/>
        </w:rPr>
        <w:t>)</w:t>
      </w:r>
      <w:r w:rsidR="006C37C9" w:rsidRPr="00AC57EA">
        <w:rPr>
          <w:rFonts w:eastAsia="Calibri" w:cs="Verdana"/>
          <w:sz w:val="20"/>
          <w:szCs w:val="20"/>
          <w:lang w:val="en-US"/>
        </w:rPr>
        <w:t xml:space="preserve"> </w:t>
      </w:r>
      <w:r w:rsidRPr="00AC57EA">
        <w:rPr>
          <w:rFonts w:eastAsia="Calibri" w:cs="Verdana"/>
          <w:sz w:val="20"/>
          <w:szCs w:val="20"/>
          <w:lang w:val="en-US"/>
        </w:rPr>
        <w:t>and</w:t>
      </w:r>
      <w:r w:rsidR="006C37C9" w:rsidRPr="00AC57EA">
        <w:rPr>
          <w:rFonts w:eastAsia="Calibri" w:cs="Verdana"/>
          <w:sz w:val="20"/>
          <w:szCs w:val="20"/>
          <w:lang w:val="en-US"/>
        </w:rPr>
        <w:t xml:space="preserve"> 63</w:t>
      </w:r>
      <w:r w:rsidRPr="00AC57EA">
        <w:rPr>
          <w:rFonts w:eastAsia="Calibri" w:cs="Verdana"/>
          <w:sz w:val="20"/>
          <w:szCs w:val="20"/>
          <w:lang w:val="en-US"/>
        </w:rPr>
        <w:t>(</w:t>
      </w:r>
      <w:r w:rsidR="006C37C9" w:rsidRPr="00AC57EA">
        <w:rPr>
          <w:rFonts w:eastAsia="Calibri" w:cs="Verdana"/>
          <w:sz w:val="20"/>
          <w:szCs w:val="20"/>
          <w:lang w:val="en-US"/>
        </w:rPr>
        <w:t>1</w:t>
      </w:r>
      <w:r w:rsidRPr="00AC57EA">
        <w:rPr>
          <w:rFonts w:eastAsia="Calibri" w:cs="Verdana"/>
          <w:sz w:val="20"/>
          <w:szCs w:val="20"/>
          <w:lang w:val="en-US"/>
        </w:rPr>
        <w:t>) of the American Convention on Human Rights</w:t>
      </w:r>
      <w:r w:rsidR="006C37C9" w:rsidRPr="00AC57EA">
        <w:rPr>
          <w:rFonts w:eastAsia="Calibri" w:cs="Verdana"/>
          <w:sz w:val="20"/>
          <w:szCs w:val="20"/>
          <w:lang w:val="en-US"/>
        </w:rPr>
        <w:t xml:space="preserve"> (</w:t>
      </w:r>
      <w:r w:rsidRPr="00AC57EA">
        <w:rPr>
          <w:rFonts w:eastAsia="Calibri" w:cs="Verdana"/>
          <w:sz w:val="20"/>
          <w:szCs w:val="20"/>
          <w:lang w:val="en-US"/>
        </w:rPr>
        <w:t>hereinafter</w:t>
      </w:r>
      <w:r w:rsidR="006C37C9" w:rsidRPr="00AC57EA">
        <w:rPr>
          <w:rFonts w:eastAsia="Calibri" w:cs="Verdana"/>
          <w:sz w:val="20"/>
          <w:szCs w:val="20"/>
          <w:lang w:val="en-US"/>
        </w:rPr>
        <w:t xml:space="preserve"> “</w:t>
      </w:r>
      <w:r w:rsidRPr="00AC57EA">
        <w:rPr>
          <w:rFonts w:eastAsia="Calibri" w:cs="Verdana"/>
          <w:sz w:val="20"/>
          <w:szCs w:val="20"/>
          <w:lang w:val="en-US"/>
        </w:rPr>
        <w:t>the American Convention</w:t>
      </w:r>
      <w:r w:rsidR="006C37C9" w:rsidRPr="00AC57EA">
        <w:rPr>
          <w:rFonts w:eastAsia="Calibri" w:cs="Verdana"/>
          <w:sz w:val="20"/>
          <w:szCs w:val="20"/>
          <w:lang w:val="en-US"/>
        </w:rPr>
        <w:t>” o</w:t>
      </w:r>
      <w:r w:rsidRPr="00AC57EA">
        <w:rPr>
          <w:rFonts w:eastAsia="Calibri" w:cs="Verdana"/>
          <w:sz w:val="20"/>
          <w:szCs w:val="20"/>
          <w:lang w:val="en-US"/>
        </w:rPr>
        <w:t>r</w:t>
      </w:r>
      <w:r w:rsidR="006C37C9" w:rsidRPr="00AC57EA">
        <w:rPr>
          <w:rFonts w:eastAsia="Calibri" w:cs="Verdana"/>
          <w:sz w:val="20"/>
          <w:szCs w:val="20"/>
          <w:lang w:val="en-US"/>
        </w:rPr>
        <w:t xml:space="preserve"> “</w:t>
      </w:r>
      <w:r w:rsidRPr="00AC57EA">
        <w:rPr>
          <w:rFonts w:eastAsia="Calibri" w:cs="Verdana"/>
          <w:sz w:val="20"/>
          <w:szCs w:val="20"/>
          <w:lang w:val="en-US"/>
        </w:rPr>
        <w:t>the Convention</w:t>
      </w:r>
      <w:r w:rsidR="006C37C9" w:rsidRPr="00AC57EA">
        <w:rPr>
          <w:rFonts w:eastAsia="Calibri" w:cs="Verdana"/>
          <w:sz w:val="20"/>
          <w:szCs w:val="20"/>
          <w:lang w:val="en-US"/>
        </w:rPr>
        <w:t xml:space="preserve">”) </w:t>
      </w:r>
      <w:r w:rsidRPr="00AC57EA">
        <w:rPr>
          <w:rFonts w:eastAsia="Calibri" w:cs="Verdana"/>
          <w:sz w:val="20"/>
          <w:szCs w:val="20"/>
          <w:lang w:val="en-US"/>
        </w:rPr>
        <w:t>and</w:t>
      </w:r>
      <w:r w:rsidR="006C37C9" w:rsidRPr="00AC57EA">
        <w:rPr>
          <w:rFonts w:eastAsia="Calibri" w:cs="Verdana"/>
          <w:sz w:val="20"/>
          <w:szCs w:val="20"/>
          <w:lang w:val="en-US"/>
        </w:rPr>
        <w:t xml:space="preserve"> </w:t>
      </w:r>
      <w:r w:rsidRPr="00AC57EA">
        <w:rPr>
          <w:rFonts w:eastAsia="Calibri" w:cs="Verdana"/>
          <w:sz w:val="20"/>
          <w:szCs w:val="20"/>
          <w:lang w:val="en-US"/>
        </w:rPr>
        <w:t>Articles</w:t>
      </w:r>
      <w:r w:rsidR="006C37C9" w:rsidRPr="00AC57EA">
        <w:rPr>
          <w:rFonts w:eastAsia="Calibri" w:cs="Verdana"/>
          <w:sz w:val="20"/>
          <w:szCs w:val="20"/>
          <w:lang w:val="en-US"/>
        </w:rPr>
        <w:t xml:space="preserve"> 31, 32, 42, 65 </w:t>
      </w:r>
      <w:r w:rsidRPr="00AC57EA">
        <w:rPr>
          <w:rFonts w:eastAsia="Calibri" w:cs="Verdana"/>
          <w:sz w:val="20"/>
          <w:szCs w:val="20"/>
          <w:lang w:val="en-US"/>
        </w:rPr>
        <w:t>and</w:t>
      </w:r>
      <w:r w:rsidR="006C37C9" w:rsidRPr="00AC57EA">
        <w:rPr>
          <w:rFonts w:eastAsia="Calibri" w:cs="Verdana"/>
          <w:sz w:val="20"/>
          <w:szCs w:val="20"/>
          <w:lang w:val="en-US"/>
        </w:rPr>
        <w:t xml:space="preserve"> 67</w:t>
      </w:r>
      <w:r w:rsidRPr="00AC57EA">
        <w:rPr>
          <w:rFonts w:eastAsia="Calibri" w:cs="Verdana"/>
          <w:sz w:val="20"/>
          <w:szCs w:val="20"/>
          <w:lang w:val="en-US"/>
        </w:rPr>
        <w:t xml:space="preserve"> of the Rules of Procedure of the Court</w:t>
      </w:r>
      <w:r w:rsidR="006C37C9" w:rsidRPr="00AC57EA">
        <w:rPr>
          <w:rFonts w:eastAsia="Calibri" w:cs="Verdana"/>
          <w:sz w:val="20"/>
          <w:szCs w:val="20"/>
          <w:lang w:val="en-US"/>
        </w:rPr>
        <w:t xml:space="preserve"> (</w:t>
      </w:r>
      <w:r w:rsidRPr="00AC57EA">
        <w:rPr>
          <w:rFonts w:eastAsia="Calibri" w:cs="Verdana"/>
          <w:sz w:val="20"/>
          <w:szCs w:val="20"/>
          <w:lang w:val="en-US"/>
        </w:rPr>
        <w:t>hereinafter</w:t>
      </w:r>
      <w:r w:rsidR="006C37C9" w:rsidRPr="00AC57EA">
        <w:rPr>
          <w:rFonts w:eastAsia="Calibri" w:cs="Verdana"/>
          <w:sz w:val="20"/>
          <w:szCs w:val="20"/>
          <w:lang w:val="en-US"/>
        </w:rPr>
        <w:t xml:space="preserve"> “</w:t>
      </w:r>
      <w:r w:rsidRPr="00AC57EA">
        <w:rPr>
          <w:rFonts w:eastAsia="Calibri" w:cs="Verdana"/>
          <w:sz w:val="20"/>
          <w:szCs w:val="20"/>
          <w:lang w:val="en-US"/>
        </w:rPr>
        <w:t>the Rules of Procedure</w:t>
      </w:r>
      <w:r w:rsidR="006C37C9" w:rsidRPr="00AC57EA">
        <w:rPr>
          <w:rFonts w:eastAsia="Calibri" w:cs="Verdana"/>
          <w:sz w:val="20"/>
          <w:szCs w:val="20"/>
          <w:lang w:val="en-US"/>
        </w:rPr>
        <w:t>” o</w:t>
      </w:r>
      <w:r w:rsidRPr="00AC57EA">
        <w:rPr>
          <w:rFonts w:eastAsia="Calibri" w:cs="Verdana"/>
          <w:sz w:val="20"/>
          <w:szCs w:val="20"/>
          <w:lang w:val="en-US"/>
        </w:rPr>
        <w:t>r</w:t>
      </w:r>
      <w:r w:rsidR="006C37C9" w:rsidRPr="00AC57EA">
        <w:rPr>
          <w:rFonts w:eastAsia="Calibri" w:cs="Verdana"/>
          <w:sz w:val="20"/>
          <w:szCs w:val="20"/>
          <w:lang w:val="en-US"/>
        </w:rPr>
        <w:t xml:space="preserve"> “</w:t>
      </w:r>
      <w:r w:rsidRPr="00AC57EA">
        <w:rPr>
          <w:rFonts w:eastAsia="Calibri" w:cs="Verdana"/>
          <w:sz w:val="20"/>
          <w:szCs w:val="20"/>
          <w:lang w:val="en-US"/>
        </w:rPr>
        <w:t>the Court’s Rules of Procedure</w:t>
      </w:r>
      <w:r w:rsidR="006C37C9" w:rsidRPr="00AC57EA">
        <w:rPr>
          <w:rFonts w:eastAsia="Calibri" w:cs="Verdana"/>
          <w:sz w:val="20"/>
          <w:szCs w:val="20"/>
          <w:lang w:val="en-US"/>
        </w:rPr>
        <w:t>”), d</w:t>
      </w:r>
      <w:r w:rsidRPr="00AC57EA">
        <w:rPr>
          <w:rFonts w:eastAsia="Calibri" w:cs="Verdana"/>
          <w:sz w:val="20"/>
          <w:szCs w:val="20"/>
          <w:lang w:val="en-US"/>
        </w:rPr>
        <w:t>elivers this judgment structured as follows:</w:t>
      </w:r>
    </w:p>
    <w:p w14:paraId="4E7B177D" w14:textId="77777777" w:rsidR="006C37C9" w:rsidRPr="00AC57EA" w:rsidRDefault="006C37C9" w:rsidP="006C37C9">
      <w:pPr>
        <w:spacing w:before="1" w:line="235" w:lineRule="exact"/>
        <w:ind w:left="100" w:right="-1085"/>
        <w:rPr>
          <w:rFonts w:eastAsia="Verdana" w:cs="Verdana"/>
          <w:position w:val="-1"/>
          <w:sz w:val="20"/>
          <w:szCs w:val="20"/>
          <w:lang w:val="en-US"/>
        </w:rPr>
      </w:pPr>
    </w:p>
    <w:p w14:paraId="6340F0C6" w14:textId="77777777" w:rsidR="006C37C9" w:rsidRPr="00AC57EA" w:rsidRDefault="006C37C9" w:rsidP="006C37C9">
      <w:pPr>
        <w:spacing w:before="1" w:line="235" w:lineRule="exact"/>
        <w:ind w:left="100" w:right="-20"/>
        <w:rPr>
          <w:rFonts w:eastAsia="Verdana" w:cs="Verdana"/>
          <w:position w:val="-1"/>
          <w:sz w:val="20"/>
          <w:szCs w:val="20"/>
          <w:lang w:val="en-US"/>
        </w:rPr>
      </w:pPr>
    </w:p>
    <w:p w14:paraId="4D61B804" w14:textId="77777777" w:rsidR="00E16176" w:rsidRPr="00AC57EA" w:rsidRDefault="006C37C9" w:rsidP="00B824B2">
      <w:pPr>
        <w:rPr>
          <w:rFonts w:eastAsia="Verdana" w:cs="Verdana"/>
          <w:position w:val="-1"/>
          <w:sz w:val="20"/>
          <w:szCs w:val="20"/>
          <w:lang w:val="en-US"/>
        </w:rPr>
      </w:pPr>
      <w:r w:rsidRPr="00AC57EA">
        <w:rPr>
          <w:rFonts w:eastAsia="Verdana" w:cs="Verdana"/>
          <w:position w:val="-1"/>
          <w:sz w:val="20"/>
          <w:szCs w:val="20"/>
          <w:lang w:val="en-US"/>
        </w:rPr>
        <w:br w:type="page"/>
      </w:r>
    </w:p>
    <w:sdt>
      <w:sdtPr>
        <w:rPr>
          <w:rFonts w:ascii="Verdana" w:eastAsia="Times New Roman" w:hAnsi="Verdana" w:cs="Times New Roman"/>
          <w:b w:val="0"/>
          <w:bCs w:val="0"/>
          <w:color w:val="auto"/>
          <w:sz w:val="18"/>
          <w:szCs w:val="18"/>
          <w:lang w:val="es-CR" w:eastAsia="es-CR"/>
        </w:rPr>
        <w:id w:val="-402446192"/>
        <w:docPartObj>
          <w:docPartGallery w:val="Table of Contents"/>
          <w:docPartUnique/>
        </w:docPartObj>
      </w:sdtPr>
      <w:sdtEndPr/>
      <w:sdtContent>
        <w:p w14:paraId="38DD545C" w14:textId="553C21D4" w:rsidR="00F414CE" w:rsidRPr="00AC57EA" w:rsidRDefault="00EC52D7" w:rsidP="00EC52D7">
          <w:pPr>
            <w:pStyle w:val="TtuloTDC"/>
            <w:spacing w:before="0" w:line="240" w:lineRule="auto"/>
            <w:jc w:val="center"/>
            <w:rPr>
              <w:rFonts w:ascii="Verdana" w:hAnsi="Verdana"/>
              <w:color w:val="auto"/>
              <w:sz w:val="18"/>
              <w:szCs w:val="18"/>
            </w:rPr>
          </w:pPr>
          <w:r w:rsidRPr="00AC57EA">
            <w:rPr>
              <w:rFonts w:ascii="Verdana" w:hAnsi="Verdana"/>
              <w:color w:val="auto"/>
              <w:sz w:val="18"/>
              <w:szCs w:val="18"/>
            </w:rPr>
            <w:t>TABLE OF CONTENTS</w:t>
          </w:r>
        </w:p>
        <w:p w14:paraId="266B0E18" w14:textId="2AE068FC" w:rsidR="001D3CA2" w:rsidRPr="00AC57EA" w:rsidRDefault="00920B09" w:rsidP="001D3CA2">
          <w:pPr>
            <w:pStyle w:val="TDC1"/>
            <w:tabs>
              <w:tab w:val="right" w:leader="dot" w:pos="10070"/>
            </w:tabs>
            <w:spacing w:after="0" w:line="240" w:lineRule="auto"/>
            <w:rPr>
              <w:rFonts w:eastAsiaTheme="minorEastAsia" w:cstheme="minorBidi"/>
              <w:noProof/>
              <w:sz w:val="18"/>
              <w:szCs w:val="18"/>
              <w:lang w:val="en-US"/>
            </w:rPr>
          </w:pPr>
          <w:r w:rsidRPr="00AC57EA">
            <w:rPr>
              <w:sz w:val="18"/>
              <w:szCs w:val="18"/>
              <w:lang w:val="en-US"/>
            </w:rPr>
            <w:fldChar w:fldCharType="begin"/>
          </w:r>
          <w:r w:rsidR="00F414CE" w:rsidRPr="00AC57EA">
            <w:rPr>
              <w:sz w:val="18"/>
              <w:szCs w:val="18"/>
              <w:lang w:val="en-US"/>
            </w:rPr>
            <w:instrText xml:space="preserve"> TOC \o "1-3" \h \z \u </w:instrText>
          </w:r>
          <w:r w:rsidRPr="00AC57EA">
            <w:rPr>
              <w:sz w:val="18"/>
              <w:szCs w:val="18"/>
              <w:lang w:val="en-US"/>
            </w:rPr>
            <w:fldChar w:fldCharType="separate"/>
          </w:r>
          <w:hyperlink w:anchor="_Toc514172589" w:history="1">
            <w:r w:rsidR="001D3CA2" w:rsidRPr="00AC57EA">
              <w:rPr>
                <w:rStyle w:val="Hipervnculo"/>
                <w:rFonts w:cs="Verdana"/>
                <w:b/>
                <w:bCs/>
                <w:caps/>
                <w:noProof/>
                <w:snapToGrid w:val="0"/>
                <w:sz w:val="18"/>
                <w:szCs w:val="18"/>
                <w:lang w:val="en-US"/>
              </w:rPr>
              <w:t xml:space="preserve">I </w:t>
            </w:r>
            <w:r w:rsidR="00EC52D7" w:rsidRPr="00AC57EA">
              <w:rPr>
                <w:rStyle w:val="Hipervnculo"/>
                <w:rFonts w:cs="Verdana"/>
                <w:b/>
                <w:bCs/>
                <w:caps/>
                <w:noProof/>
                <w:snapToGrid w:val="0"/>
                <w:sz w:val="18"/>
                <w:szCs w:val="18"/>
                <w:lang w:val="en-US"/>
              </w:rPr>
              <w:t>INTRODUCTION OF THE CASE AND PURPOSE OF THE DISPUTE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_Toc514172589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4</w:t>
            </w:r>
            <w:r w:rsidR="001D3CA2" w:rsidRPr="00AC57EA">
              <w:rPr>
                <w:noProof/>
                <w:webHidden/>
                <w:sz w:val="18"/>
                <w:szCs w:val="18"/>
                <w:lang w:val="en-US"/>
              </w:rPr>
              <w:fldChar w:fldCharType="end"/>
            </w:r>
          </w:hyperlink>
        </w:p>
        <w:p w14:paraId="740880FD" w14:textId="0485E8FD"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590" w:history="1">
            <w:r w:rsidR="001D3CA2" w:rsidRPr="00AC57EA">
              <w:rPr>
                <w:rStyle w:val="Hipervnculo"/>
                <w:rFonts w:cs="Verdana"/>
                <w:b/>
                <w:bCs/>
                <w:caps/>
                <w:noProof/>
                <w:snapToGrid w:val="0"/>
                <w:sz w:val="18"/>
                <w:szCs w:val="18"/>
                <w:lang w:val="en-US"/>
              </w:rPr>
              <w:t xml:space="preserve">II </w:t>
            </w:r>
            <w:r w:rsidR="00171E27" w:rsidRPr="00AC57EA">
              <w:rPr>
                <w:rStyle w:val="Hipervnculo"/>
                <w:rFonts w:cs="Verdana"/>
                <w:b/>
                <w:bCs/>
                <w:caps/>
                <w:noProof/>
                <w:snapToGrid w:val="0"/>
                <w:sz w:val="18"/>
                <w:szCs w:val="18"/>
                <w:lang w:val="en-US"/>
              </w:rPr>
              <w:t>PROCEEDINGS BEFORE THE COURT</w:t>
            </w:r>
            <w:r w:rsidR="001D3CA2" w:rsidRPr="00AC57EA">
              <w:rPr>
                <w:noProof/>
                <w:webHidden/>
                <w:sz w:val="18"/>
                <w:szCs w:val="18"/>
                <w:lang w:val="en-US"/>
              </w:rPr>
              <w:tab/>
            </w:r>
            <w:r w:rsidR="00A870C2" w:rsidRPr="00AC57EA">
              <w:rPr>
                <w:noProof/>
                <w:webHidden/>
                <w:sz w:val="18"/>
                <w:szCs w:val="18"/>
                <w:lang w:val="en-US"/>
              </w:rPr>
              <w:t>5</w:t>
            </w:r>
          </w:hyperlink>
        </w:p>
        <w:p w14:paraId="054954B0" w14:textId="7CCF4646"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591" w:history="1">
            <w:r w:rsidR="001D3CA2" w:rsidRPr="00AC57EA">
              <w:rPr>
                <w:rStyle w:val="Hipervnculo"/>
                <w:rFonts w:cs="Verdana"/>
                <w:b/>
                <w:bCs/>
                <w:caps/>
                <w:noProof/>
                <w:snapToGrid w:val="0"/>
                <w:sz w:val="18"/>
                <w:szCs w:val="18"/>
                <w:lang w:val="en-US"/>
              </w:rPr>
              <w:t xml:space="preserve">III </w:t>
            </w:r>
            <w:r w:rsidR="009E569E" w:rsidRPr="00AC57EA">
              <w:rPr>
                <w:rStyle w:val="Hipervnculo"/>
                <w:rFonts w:cs="Verdana"/>
                <w:b/>
                <w:bCs/>
                <w:caps/>
                <w:noProof/>
                <w:snapToGrid w:val="0"/>
                <w:sz w:val="18"/>
                <w:szCs w:val="18"/>
                <w:lang w:val="en-US"/>
              </w:rPr>
              <w:t>JURISDICTION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_Toc514172591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1D3CA2" w:rsidRPr="00AC57EA">
              <w:rPr>
                <w:noProof/>
                <w:webHidden/>
                <w:sz w:val="18"/>
                <w:szCs w:val="18"/>
                <w:lang w:val="en-US"/>
              </w:rPr>
              <w:fldChar w:fldCharType="end"/>
            </w:r>
          </w:hyperlink>
        </w:p>
        <w:p w14:paraId="69429144" w14:textId="00B39E97"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592" w:history="1">
            <w:r w:rsidR="001D3CA2" w:rsidRPr="00AC57EA">
              <w:rPr>
                <w:rStyle w:val="Hipervnculo"/>
                <w:rFonts w:cs="Verdana"/>
                <w:b/>
                <w:bCs/>
                <w:caps/>
                <w:noProof/>
                <w:snapToGrid w:val="0"/>
                <w:sz w:val="18"/>
                <w:szCs w:val="18"/>
                <w:lang w:val="en-US"/>
              </w:rPr>
              <w:t xml:space="preserve">IV </w:t>
            </w:r>
            <w:r w:rsidR="00DF2B30" w:rsidRPr="00AC57EA">
              <w:rPr>
                <w:rStyle w:val="Hipervnculo"/>
                <w:rFonts w:cs="Verdana"/>
                <w:b/>
                <w:bCs/>
                <w:caps/>
                <w:noProof/>
                <w:snapToGrid w:val="0"/>
                <w:sz w:val="18"/>
                <w:szCs w:val="18"/>
                <w:lang w:val="en-US"/>
              </w:rPr>
              <w:t>PRELIMINARY OBJECTIONS</w:t>
            </w:r>
            <w:r w:rsidR="001D3CA2" w:rsidRPr="00AC57EA">
              <w:rPr>
                <w:noProof/>
                <w:webHidden/>
                <w:sz w:val="18"/>
                <w:szCs w:val="18"/>
                <w:lang w:val="en-US"/>
              </w:rPr>
              <w:tab/>
            </w:r>
            <w:r w:rsidR="00A870C2" w:rsidRPr="00AC57EA">
              <w:rPr>
                <w:noProof/>
                <w:webHidden/>
                <w:sz w:val="18"/>
                <w:szCs w:val="18"/>
                <w:lang w:val="en-US"/>
              </w:rPr>
              <w:t>8</w:t>
            </w:r>
          </w:hyperlink>
        </w:p>
        <w:p w14:paraId="39CBD9C9" w14:textId="54B739E5" w:rsidR="001D3CA2" w:rsidRPr="00AC57EA" w:rsidRDefault="00811011" w:rsidP="001D3CA2">
          <w:pPr>
            <w:pStyle w:val="TDC2"/>
            <w:jc w:val="both"/>
            <w:rPr>
              <w:rFonts w:eastAsiaTheme="minorEastAsia" w:cstheme="minorBidi"/>
              <w:noProof/>
              <w:sz w:val="18"/>
              <w:szCs w:val="18"/>
              <w:lang w:val="en-US"/>
            </w:rPr>
          </w:pPr>
          <w:hyperlink w:anchor="_Toc514172593" w:history="1">
            <w:r w:rsidR="001D3CA2" w:rsidRPr="00AC57EA">
              <w:rPr>
                <w:rStyle w:val="Hipervnculo"/>
                <w:rFonts w:eastAsia="MS Mincho"/>
                <w:b/>
                <w:bCs/>
                <w:i/>
                <w:noProof/>
                <w:sz w:val="18"/>
                <w:szCs w:val="18"/>
                <w:lang w:val="en-US"/>
              </w:rPr>
              <w:t>A.</w:t>
            </w:r>
            <w:r w:rsidR="001D3CA2" w:rsidRPr="00AC57EA">
              <w:rPr>
                <w:rFonts w:eastAsiaTheme="minorEastAsia" w:cstheme="minorBidi"/>
                <w:noProof/>
                <w:sz w:val="18"/>
                <w:szCs w:val="18"/>
                <w:lang w:val="en-US"/>
              </w:rPr>
              <w:tab/>
            </w:r>
            <w:r w:rsidR="009E569E" w:rsidRPr="00AC57EA">
              <w:rPr>
                <w:rStyle w:val="Hipervnculo"/>
                <w:rFonts w:eastAsia="MS Mincho"/>
                <w:b/>
                <w:bCs/>
                <w:i/>
                <w:noProof/>
                <w:sz w:val="18"/>
                <w:szCs w:val="18"/>
                <w:lang w:val="en-US"/>
              </w:rPr>
              <w:t>Objection on the alleged failure to exhaust domestic remedies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_Toc514172593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9</w:t>
            </w:r>
            <w:r w:rsidR="001D3CA2" w:rsidRPr="00AC57EA">
              <w:rPr>
                <w:noProof/>
                <w:webHidden/>
                <w:sz w:val="18"/>
                <w:szCs w:val="18"/>
                <w:lang w:val="en-US"/>
              </w:rPr>
              <w:fldChar w:fldCharType="end"/>
            </w:r>
          </w:hyperlink>
        </w:p>
        <w:p w14:paraId="5C6EC611" w14:textId="7981B0FD" w:rsidR="001D3CA2" w:rsidRPr="00AC57EA" w:rsidRDefault="00811011" w:rsidP="001D3CA2">
          <w:pPr>
            <w:pStyle w:val="TDC2"/>
            <w:jc w:val="both"/>
            <w:rPr>
              <w:rFonts w:eastAsiaTheme="minorEastAsia" w:cstheme="minorBidi"/>
              <w:noProof/>
              <w:sz w:val="18"/>
              <w:szCs w:val="18"/>
              <w:lang w:val="en-US"/>
            </w:rPr>
          </w:pPr>
          <w:hyperlink w:anchor="_Toc514172594" w:history="1">
            <w:r w:rsidR="001D3CA2" w:rsidRPr="00AC57EA">
              <w:rPr>
                <w:rStyle w:val="Hipervnculo"/>
                <w:i/>
                <w:noProof/>
                <w:sz w:val="18"/>
                <w:szCs w:val="18"/>
                <w:lang w:val="en-US"/>
              </w:rPr>
              <w:t xml:space="preserve">A.1 </w:t>
            </w:r>
            <w:r w:rsidR="001D3CA2" w:rsidRPr="00AC57EA">
              <w:rPr>
                <w:rFonts w:eastAsiaTheme="minorEastAsia" w:cstheme="minorBidi"/>
                <w:noProof/>
                <w:sz w:val="18"/>
                <w:szCs w:val="18"/>
                <w:lang w:val="en-US"/>
              </w:rPr>
              <w:tab/>
            </w:r>
            <w:r w:rsidR="009E569E" w:rsidRPr="00AC57EA">
              <w:rPr>
                <w:rStyle w:val="Hipervnculo"/>
                <w:i/>
                <w:noProof/>
                <w:sz w:val="18"/>
                <w:szCs w:val="18"/>
                <w:lang w:val="en-US"/>
              </w:rPr>
              <w:t>Arguments</w:t>
            </w:r>
            <w:r w:rsidR="00EC52D7" w:rsidRPr="00AC57EA">
              <w:rPr>
                <w:rStyle w:val="Hipervnculo"/>
                <w:i/>
                <w:noProof/>
                <w:sz w:val="18"/>
                <w:szCs w:val="18"/>
                <w:lang w:val="en-US"/>
              </w:rPr>
              <w:t xml:space="preserve"> of the State</w:t>
            </w:r>
            <w:r w:rsidR="00171E27" w:rsidRPr="00AC57EA">
              <w:rPr>
                <w:rStyle w:val="Hipervnculo"/>
                <w:i/>
                <w:noProof/>
                <w:sz w:val="18"/>
                <w:szCs w:val="18"/>
                <w:lang w:val="en-US"/>
              </w:rPr>
              <w:t xml:space="preserve"> and </w:t>
            </w:r>
            <w:r w:rsidR="009E569E" w:rsidRPr="00AC57EA">
              <w:rPr>
                <w:rStyle w:val="Hipervnculo"/>
                <w:i/>
                <w:noProof/>
                <w:sz w:val="18"/>
                <w:szCs w:val="18"/>
                <w:lang w:val="en-US"/>
              </w:rPr>
              <w:t>observations</w:t>
            </w:r>
            <w:r w:rsidR="00B7258C" w:rsidRPr="00AC57EA">
              <w:rPr>
                <w:rStyle w:val="Hipervnculo"/>
                <w:i/>
                <w:noProof/>
                <w:sz w:val="18"/>
                <w:szCs w:val="18"/>
                <w:lang w:val="en-US"/>
              </w:rPr>
              <w:t xml:space="preserve"> of the Commission</w:t>
            </w:r>
            <w:r w:rsidR="00171E27" w:rsidRPr="00AC57EA">
              <w:rPr>
                <w:rStyle w:val="Hipervnculo"/>
                <w:i/>
                <w:noProof/>
                <w:sz w:val="18"/>
                <w:szCs w:val="18"/>
                <w:lang w:val="en-US"/>
              </w:rPr>
              <w:t xml:space="preserve"> and the representatives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_Toc514172594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9</w:t>
            </w:r>
            <w:r w:rsidR="001D3CA2" w:rsidRPr="00AC57EA">
              <w:rPr>
                <w:noProof/>
                <w:webHidden/>
                <w:sz w:val="18"/>
                <w:szCs w:val="18"/>
                <w:lang w:val="en-US"/>
              </w:rPr>
              <w:fldChar w:fldCharType="end"/>
            </w:r>
          </w:hyperlink>
        </w:p>
        <w:p w14:paraId="20B1500C" w14:textId="3FACA535" w:rsidR="001D3CA2" w:rsidRPr="00AC57EA" w:rsidRDefault="00811011" w:rsidP="001D3CA2">
          <w:pPr>
            <w:pStyle w:val="TDC2"/>
            <w:jc w:val="both"/>
            <w:rPr>
              <w:rFonts w:eastAsiaTheme="minorEastAsia" w:cstheme="minorBidi"/>
              <w:noProof/>
              <w:sz w:val="18"/>
              <w:szCs w:val="18"/>
              <w:lang w:val="en-US"/>
            </w:rPr>
          </w:pPr>
          <w:hyperlink w:anchor="_Toc514172595" w:history="1">
            <w:r w:rsidR="001D3CA2" w:rsidRPr="00AC57EA">
              <w:rPr>
                <w:rStyle w:val="Hipervnculo"/>
                <w:i/>
                <w:noProof/>
                <w:sz w:val="18"/>
                <w:szCs w:val="18"/>
                <w:lang w:val="en-US"/>
              </w:rPr>
              <w:t>A.2</w:t>
            </w:r>
            <w:r w:rsidR="001D3CA2" w:rsidRPr="00AC57EA">
              <w:rPr>
                <w:rFonts w:eastAsiaTheme="minorEastAsia" w:cstheme="minorBidi"/>
                <w:noProof/>
                <w:sz w:val="18"/>
                <w:szCs w:val="18"/>
                <w:lang w:val="en-US"/>
              </w:rPr>
              <w:tab/>
            </w:r>
            <w:r w:rsidR="002223C8" w:rsidRPr="00AC57EA">
              <w:rPr>
                <w:rStyle w:val="Hipervnculo"/>
                <w:i/>
                <w:noProof/>
                <w:sz w:val="18"/>
                <w:szCs w:val="18"/>
                <w:lang w:val="en-US"/>
              </w:rPr>
              <w:t>Considerations</w:t>
            </w:r>
            <w:r w:rsidR="00B7258C" w:rsidRPr="00AC57EA">
              <w:rPr>
                <w:rStyle w:val="Hipervnculo"/>
                <w:i/>
                <w:noProof/>
                <w:sz w:val="18"/>
                <w:szCs w:val="18"/>
                <w:lang w:val="en-US"/>
              </w:rPr>
              <w:t xml:space="preserve"> of the Court</w:t>
            </w:r>
            <w:r w:rsidR="001D3CA2" w:rsidRPr="00AC57EA">
              <w:rPr>
                <w:noProof/>
                <w:webHidden/>
                <w:sz w:val="18"/>
                <w:szCs w:val="18"/>
                <w:lang w:val="en-US"/>
              </w:rPr>
              <w:tab/>
            </w:r>
            <w:r w:rsidR="00A870C2" w:rsidRPr="00AC57EA">
              <w:rPr>
                <w:noProof/>
                <w:webHidden/>
                <w:sz w:val="18"/>
                <w:szCs w:val="18"/>
                <w:lang w:val="en-US"/>
              </w:rPr>
              <w:t>9</w:t>
            </w:r>
          </w:hyperlink>
        </w:p>
        <w:p w14:paraId="4D5895FB" w14:textId="18030E25" w:rsidR="001D3CA2" w:rsidRPr="00AC57EA" w:rsidRDefault="00811011" w:rsidP="001D3CA2">
          <w:pPr>
            <w:pStyle w:val="TDC2"/>
            <w:jc w:val="both"/>
            <w:rPr>
              <w:rFonts w:eastAsiaTheme="minorEastAsia" w:cstheme="minorBidi"/>
              <w:noProof/>
              <w:sz w:val="18"/>
              <w:szCs w:val="18"/>
              <w:lang w:val="en-US"/>
            </w:rPr>
          </w:pPr>
          <w:hyperlink w:anchor="_Toc514172596" w:history="1">
            <w:r w:rsidR="001D3CA2" w:rsidRPr="00AC57EA">
              <w:rPr>
                <w:rStyle w:val="Hipervnculo"/>
                <w:rFonts w:eastAsia="MS Mincho"/>
                <w:b/>
                <w:bCs/>
                <w:i/>
                <w:noProof/>
                <w:sz w:val="18"/>
                <w:szCs w:val="18"/>
                <w:lang w:val="en-US"/>
              </w:rPr>
              <w:t>B.</w:t>
            </w:r>
            <w:r w:rsidR="001D3CA2" w:rsidRPr="00AC57EA">
              <w:rPr>
                <w:rFonts w:eastAsiaTheme="minorEastAsia" w:cstheme="minorBidi"/>
                <w:noProof/>
                <w:sz w:val="18"/>
                <w:szCs w:val="18"/>
                <w:lang w:val="en-US"/>
              </w:rPr>
              <w:tab/>
            </w:r>
            <w:r w:rsidR="00985CDE" w:rsidRPr="00AC57EA">
              <w:rPr>
                <w:rStyle w:val="Hipervnculo"/>
                <w:rFonts w:eastAsia="MS Mincho"/>
                <w:b/>
                <w:bCs/>
                <w:i/>
                <w:noProof/>
                <w:sz w:val="18"/>
                <w:szCs w:val="18"/>
                <w:lang w:val="en-US"/>
              </w:rPr>
              <w:t>Objection concerning the lack of jurisdiction</w:t>
            </w:r>
            <w:r w:rsidR="001D3CA2" w:rsidRPr="00AC57EA">
              <w:rPr>
                <w:rStyle w:val="Hipervnculo"/>
                <w:rFonts w:eastAsia="MS Mincho"/>
                <w:b/>
                <w:bCs/>
                <w:i/>
                <w:noProof/>
                <w:sz w:val="18"/>
                <w:szCs w:val="18"/>
                <w:lang w:val="en-US"/>
              </w:rPr>
              <w:t xml:space="preserve"> </w:t>
            </w:r>
            <w:r w:rsidR="001D3CA2" w:rsidRPr="00AC57EA">
              <w:rPr>
                <w:rStyle w:val="Hipervnculo"/>
                <w:rFonts w:eastAsia="MS Mincho"/>
                <w:b/>
                <w:bCs/>
                <w:iCs/>
                <w:noProof/>
                <w:sz w:val="18"/>
                <w:szCs w:val="18"/>
                <w:lang w:val="en-US"/>
              </w:rPr>
              <w:t xml:space="preserve">ratione </w:t>
            </w:r>
            <w:r w:rsidR="00985CDE" w:rsidRPr="00AC57EA">
              <w:rPr>
                <w:rStyle w:val="Hipervnculo"/>
                <w:rFonts w:eastAsia="MS Mincho"/>
                <w:b/>
                <w:bCs/>
                <w:iCs/>
                <w:noProof/>
                <w:sz w:val="18"/>
                <w:szCs w:val="18"/>
                <w:lang w:val="en-US"/>
              </w:rPr>
              <w:t>temporis</w:t>
            </w:r>
            <w:r w:rsidR="00985CDE" w:rsidRPr="00AC57EA">
              <w:rPr>
                <w:rStyle w:val="Hipervnculo"/>
                <w:rFonts w:eastAsia="MS Mincho"/>
                <w:b/>
                <w:bCs/>
                <w:i/>
                <w:noProof/>
                <w:sz w:val="18"/>
                <w:szCs w:val="18"/>
                <w:lang w:val="en-US"/>
              </w:rPr>
              <w:t xml:space="preserve"> of the Inter-American Commission and the</w:t>
            </w:r>
            <w:r w:rsidR="00B7258C" w:rsidRPr="00AC57EA">
              <w:rPr>
                <w:rStyle w:val="Hipervnculo"/>
                <w:rFonts w:eastAsia="MS Mincho"/>
                <w:b/>
                <w:bCs/>
                <w:i/>
                <w:noProof/>
                <w:sz w:val="18"/>
                <w:szCs w:val="18"/>
                <w:lang w:val="en-US"/>
              </w:rPr>
              <w:t xml:space="preserv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_Toc514172596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A870C2" w:rsidRPr="00AC57EA">
              <w:rPr>
                <w:noProof/>
                <w:webHidden/>
                <w:sz w:val="18"/>
                <w:szCs w:val="18"/>
                <w:lang w:val="en-US"/>
              </w:rPr>
              <w:t>1</w:t>
            </w:r>
            <w:r w:rsidR="001D3CA2" w:rsidRPr="00AC57EA">
              <w:rPr>
                <w:noProof/>
                <w:webHidden/>
                <w:sz w:val="18"/>
                <w:szCs w:val="18"/>
                <w:lang w:val="en-US"/>
              </w:rPr>
              <w:fldChar w:fldCharType="end"/>
            </w:r>
          </w:hyperlink>
        </w:p>
        <w:p w14:paraId="5A7E8BCF" w14:textId="129633BC" w:rsidR="001D3CA2" w:rsidRPr="00AC57EA" w:rsidRDefault="00811011" w:rsidP="001D3CA2">
          <w:pPr>
            <w:pStyle w:val="TDC2"/>
            <w:jc w:val="both"/>
            <w:rPr>
              <w:rFonts w:eastAsiaTheme="minorEastAsia" w:cstheme="minorBidi"/>
              <w:noProof/>
              <w:sz w:val="18"/>
              <w:szCs w:val="18"/>
              <w:lang w:val="en-US"/>
            </w:rPr>
          </w:pPr>
          <w:hyperlink w:anchor="_Toc514172597" w:history="1">
            <w:r w:rsidR="001D3CA2" w:rsidRPr="00AC57EA">
              <w:rPr>
                <w:rStyle w:val="Hipervnculo"/>
                <w:i/>
                <w:noProof/>
                <w:sz w:val="18"/>
                <w:szCs w:val="18"/>
                <w:lang w:val="en-US"/>
              </w:rPr>
              <w:t xml:space="preserve">B.1 </w:t>
            </w:r>
            <w:r w:rsidR="001D3CA2" w:rsidRPr="00AC57EA">
              <w:rPr>
                <w:rFonts w:eastAsiaTheme="minorEastAsia" w:cstheme="minorBidi"/>
                <w:noProof/>
                <w:sz w:val="18"/>
                <w:szCs w:val="18"/>
                <w:lang w:val="en-US"/>
              </w:rPr>
              <w:tab/>
            </w:r>
            <w:r w:rsidR="009E569E" w:rsidRPr="00AC57EA">
              <w:rPr>
                <w:rStyle w:val="Hipervnculo"/>
                <w:i/>
                <w:noProof/>
                <w:sz w:val="18"/>
                <w:szCs w:val="18"/>
                <w:lang w:val="en-US"/>
              </w:rPr>
              <w:t>Arguments</w:t>
            </w:r>
            <w:r w:rsidR="00EC52D7" w:rsidRPr="00AC57EA">
              <w:rPr>
                <w:rStyle w:val="Hipervnculo"/>
                <w:i/>
                <w:noProof/>
                <w:sz w:val="18"/>
                <w:szCs w:val="18"/>
                <w:lang w:val="en-US"/>
              </w:rPr>
              <w:t xml:space="preserve"> of the State</w:t>
            </w:r>
            <w:r w:rsidR="00171E27" w:rsidRPr="00AC57EA">
              <w:rPr>
                <w:rStyle w:val="Hipervnculo"/>
                <w:i/>
                <w:noProof/>
                <w:sz w:val="18"/>
                <w:szCs w:val="18"/>
                <w:lang w:val="en-US"/>
              </w:rPr>
              <w:t xml:space="preserve"> and </w:t>
            </w:r>
            <w:r w:rsidR="009E569E" w:rsidRPr="00AC57EA">
              <w:rPr>
                <w:rStyle w:val="Hipervnculo"/>
                <w:i/>
                <w:noProof/>
                <w:sz w:val="18"/>
                <w:szCs w:val="18"/>
                <w:lang w:val="en-US"/>
              </w:rPr>
              <w:t>observations</w:t>
            </w:r>
            <w:r w:rsidR="00B7258C" w:rsidRPr="00AC57EA">
              <w:rPr>
                <w:rStyle w:val="Hipervnculo"/>
                <w:i/>
                <w:noProof/>
                <w:sz w:val="18"/>
                <w:szCs w:val="18"/>
                <w:lang w:val="en-US"/>
              </w:rPr>
              <w:t xml:space="preserve"> of the Commission</w:t>
            </w:r>
            <w:r w:rsidR="00171E27" w:rsidRPr="00AC57EA">
              <w:rPr>
                <w:rStyle w:val="Hipervnculo"/>
                <w:i/>
                <w:noProof/>
                <w:sz w:val="18"/>
                <w:szCs w:val="18"/>
                <w:lang w:val="en-US"/>
              </w:rPr>
              <w:t xml:space="preserve"> and the representatives</w:t>
            </w:r>
            <w:r w:rsidR="001D3CA2" w:rsidRPr="00AC57EA">
              <w:rPr>
                <w:noProof/>
                <w:webHidden/>
                <w:sz w:val="18"/>
                <w:szCs w:val="18"/>
                <w:lang w:val="en-US"/>
              </w:rPr>
              <w:tab/>
            </w:r>
            <w:r w:rsidR="00A870C2" w:rsidRPr="00AC57EA">
              <w:rPr>
                <w:noProof/>
                <w:webHidden/>
                <w:sz w:val="18"/>
                <w:szCs w:val="18"/>
                <w:lang w:val="en-US"/>
              </w:rPr>
              <w:t>11</w:t>
            </w:r>
          </w:hyperlink>
        </w:p>
        <w:p w14:paraId="43C664EF" w14:textId="64391BBA" w:rsidR="001D3CA2" w:rsidRPr="00AC57EA" w:rsidRDefault="00811011" w:rsidP="001D3CA2">
          <w:pPr>
            <w:pStyle w:val="TDC2"/>
            <w:jc w:val="both"/>
            <w:rPr>
              <w:rFonts w:eastAsiaTheme="minorEastAsia" w:cstheme="minorBidi"/>
              <w:noProof/>
              <w:sz w:val="18"/>
              <w:szCs w:val="18"/>
              <w:lang w:val="en-US"/>
            </w:rPr>
          </w:pPr>
          <w:hyperlink w:anchor="_Toc514172598" w:history="1">
            <w:r w:rsidR="001D3CA2" w:rsidRPr="00AC57EA">
              <w:rPr>
                <w:rStyle w:val="Hipervnculo"/>
                <w:i/>
                <w:noProof/>
                <w:sz w:val="18"/>
                <w:szCs w:val="18"/>
                <w:lang w:val="en-US"/>
              </w:rPr>
              <w:t xml:space="preserve">B.2 </w:t>
            </w:r>
            <w:r w:rsidR="001D3CA2" w:rsidRPr="00AC57EA">
              <w:rPr>
                <w:rFonts w:eastAsiaTheme="minorEastAsia" w:cstheme="minorBidi"/>
                <w:noProof/>
                <w:sz w:val="18"/>
                <w:szCs w:val="18"/>
                <w:lang w:val="en-US"/>
              </w:rPr>
              <w:tab/>
            </w:r>
            <w:r w:rsidR="002223C8" w:rsidRPr="00AC57EA">
              <w:rPr>
                <w:rStyle w:val="Hipervnculo"/>
                <w:i/>
                <w:noProof/>
                <w:sz w:val="18"/>
                <w:szCs w:val="18"/>
                <w:lang w:val="en-US"/>
              </w:rPr>
              <w:t>Considerations</w:t>
            </w:r>
            <w:r w:rsidR="00B7258C" w:rsidRPr="00AC57EA">
              <w:rPr>
                <w:rStyle w:val="Hipervnculo"/>
                <w:i/>
                <w:noProof/>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_Toc514172598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12</w:t>
            </w:r>
            <w:r w:rsidR="001D3CA2" w:rsidRPr="00AC57EA">
              <w:rPr>
                <w:noProof/>
                <w:webHidden/>
                <w:sz w:val="18"/>
                <w:szCs w:val="18"/>
                <w:lang w:val="en-US"/>
              </w:rPr>
              <w:fldChar w:fldCharType="end"/>
            </w:r>
          </w:hyperlink>
        </w:p>
        <w:p w14:paraId="2D1AEB68" w14:textId="755810E3" w:rsidR="001D3CA2" w:rsidRPr="00AC57EA" w:rsidRDefault="00811011" w:rsidP="001D3CA2">
          <w:pPr>
            <w:pStyle w:val="TDC2"/>
            <w:jc w:val="both"/>
            <w:rPr>
              <w:rFonts w:eastAsiaTheme="minorEastAsia" w:cstheme="minorBidi"/>
              <w:noProof/>
              <w:sz w:val="18"/>
              <w:szCs w:val="18"/>
              <w:lang w:val="en-US"/>
            </w:rPr>
          </w:pPr>
          <w:hyperlink w:anchor="_Toc514172599" w:history="1">
            <w:r w:rsidR="001D3CA2" w:rsidRPr="00AC57EA">
              <w:rPr>
                <w:rStyle w:val="Hipervnculo"/>
                <w:rFonts w:eastAsia="MS Mincho"/>
                <w:b/>
                <w:bCs/>
                <w:i/>
                <w:noProof/>
                <w:sz w:val="18"/>
                <w:szCs w:val="18"/>
                <w:lang w:val="en-US"/>
              </w:rPr>
              <w:t>C.</w:t>
            </w:r>
            <w:r w:rsidR="001D3CA2" w:rsidRPr="00AC57EA">
              <w:rPr>
                <w:rFonts w:eastAsiaTheme="minorEastAsia" w:cstheme="minorBidi"/>
                <w:noProof/>
                <w:sz w:val="18"/>
                <w:szCs w:val="18"/>
                <w:lang w:val="en-US"/>
              </w:rPr>
              <w:tab/>
            </w:r>
            <w:r w:rsidR="00985CDE" w:rsidRPr="00AC57EA">
              <w:rPr>
                <w:rStyle w:val="Hipervnculo"/>
                <w:rFonts w:eastAsia="MS Mincho"/>
                <w:b/>
                <w:bCs/>
                <w:i/>
                <w:noProof/>
                <w:sz w:val="18"/>
                <w:szCs w:val="18"/>
                <w:lang w:val="en-US"/>
              </w:rPr>
              <w:t>Objection concerning the lack of jurisdiction</w:t>
            </w:r>
            <w:r w:rsidR="001D3CA2" w:rsidRPr="00AC57EA">
              <w:rPr>
                <w:rStyle w:val="Hipervnculo"/>
                <w:rFonts w:eastAsia="MS Mincho"/>
                <w:b/>
                <w:bCs/>
                <w:i/>
                <w:noProof/>
                <w:sz w:val="18"/>
                <w:szCs w:val="18"/>
                <w:lang w:val="en-US"/>
              </w:rPr>
              <w:t xml:space="preserve"> </w:t>
            </w:r>
            <w:r w:rsidR="001D3CA2" w:rsidRPr="00AC57EA">
              <w:rPr>
                <w:rStyle w:val="Hipervnculo"/>
                <w:rFonts w:eastAsia="MS Mincho"/>
                <w:b/>
                <w:bCs/>
                <w:iCs/>
                <w:noProof/>
                <w:sz w:val="18"/>
                <w:szCs w:val="18"/>
                <w:lang w:val="en-US"/>
              </w:rPr>
              <w:t>ratione materiae</w:t>
            </w:r>
            <w:r w:rsidR="00B7258C" w:rsidRPr="00AC57EA">
              <w:rPr>
                <w:rStyle w:val="Hipervnculo"/>
                <w:rFonts w:eastAsia="MS Mincho"/>
                <w:b/>
                <w:bCs/>
                <w:i/>
                <w:noProof/>
                <w:sz w:val="18"/>
                <w:szCs w:val="18"/>
                <w:lang w:val="en-US"/>
              </w:rPr>
              <w:t xml:space="preserve"> of the Court</w:t>
            </w:r>
            <w:r w:rsidR="001D3CA2" w:rsidRPr="00AC57EA">
              <w:rPr>
                <w:rStyle w:val="Hipervnculo"/>
                <w:rFonts w:eastAsia="MS Mincho"/>
                <w:b/>
                <w:bCs/>
                <w:i/>
                <w:noProof/>
                <w:sz w:val="18"/>
                <w:szCs w:val="18"/>
                <w:lang w:val="en-US"/>
              </w:rPr>
              <w:t xml:space="preserve"> </w:t>
            </w:r>
            <w:r w:rsidR="007F03A0" w:rsidRPr="00AC57EA">
              <w:rPr>
                <w:rStyle w:val="Hipervnculo"/>
                <w:rFonts w:eastAsia="MS Mincho"/>
                <w:b/>
                <w:bCs/>
                <w:i/>
                <w:noProof/>
                <w:sz w:val="18"/>
                <w:szCs w:val="18"/>
                <w:lang w:val="en-US"/>
              </w:rPr>
              <w:t>in relation to the presumed violation of articles</w:t>
            </w:r>
            <w:r w:rsidR="00B7258C" w:rsidRPr="00AC57EA">
              <w:rPr>
                <w:rStyle w:val="Hipervnculo"/>
                <w:rFonts w:eastAsia="MS Mincho"/>
                <w:b/>
                <w:bCs/>
                <w:i/>
                <w:noProof/>
                <w:sz w:val="18"/>
                <w:szCs w:val="18"/>
                <w:lang w:val="en-US"/>
              </w:rPr>
              <w:t xml:space="preserve"> of the </w:t>
            </w:r>
            <w:r w:rsidR="00171E27" w:rsidRPr="00AC57EA">
              <w:rPr>
                <w:rStyle w:val="Hipervnculo"/>
                <w:rFonts w:eastAsia="MS Mincho"/>
                <w:b/>
                <w:bCs/>
                <w:i/>
                <w:noProof/>
                <w:sz w:val="18"/>
                <w:szCs w:val="18"/>
                <w:lang w:val="en-US"/>
              </w:rPr>
              <w:t>Convention on the Rights of the Child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_Toc514172599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13</w:t>
            </w:r>
            <w:r w:rsidR="001D3CA2" w:rsidRPr="00AC57EA">
              <w:rPr>
                <w:noProof/>
                <w:webHidden/>
                <w:sz w:val="18"/>
                <w:szCs w:val="18"/>
                <w:lang w:val="en-US"/>
              </w:rPr>
              <w:fldChar w:fldCharType="end"/>
            </w:r>
          </w:hyperlink>
        </w:p>
        <w:p w14:paraId="7CC5D2AA" w14:textId="34D5A702" w:rsidR="001D3CA2" w:rsidRPr="00AC57EA" w:rsidRDefault="00811011" w:rsidP="001D3CA2">
          <w:pPr>
            <w:pStyle w:val="TDC2"/>
            <w:jc w:val="both"/>
            <w:rPr>
              <w:rFonts w:eastAsiaTheme="minorEastAsia" w:cstheme="minorBidi"/>
              <w:noProof/>
              <w:sz w:val="18"/>
              <w:szCs w:val="18"/>
              <w:lang w:val="en-US"/>
            </w:rPr>
          </w:pPr>
          <w:hyperlink w:anchor="_Toc514172600" w:history="1">
            <w:r w:rsidR="001D3CA2" w:rsidRPr="00AC57EA">
              <w:rPr>
                <w:rStyle w:val="Hipervnculo"/>
                <w:i/>
                <w:noProof/>
                <w:sz w:val="18"/>
                <w:szCs w:val="18"/>
                <w:lang w:val="en-US"/>
              </w:rPr>
              <w:t xml:space="preserve">C.1 </w:t>
            </w:r>
            <w:r w:rsidR="001D3CA2" w:rsidRPr="00AC57EA">
              <w:rPr>
                <w:rFonts w:eastAsiaTheme="minorEastAsia" w:cstheme="minorBidi"/>
                <w:noProof/>
                <w:sz w:val="18"/>
                <w:szCs w:val="18"/>
                <w:lang w:val="en-US"/>
              </w:rPr>
              <w:tab/>
            </w:r>
            <w:r w:rsidR="009E569E" w:rsidRPr="00AC57EA">
              <w:rPr>
                <w:rStyle w:val="Hipervnculo"/>
                <w:i/>
                <w:noProof/>
                <w:sz w:val="18"/>
                <w:szCs w:val="18"/>
                <w:lang w:val="en-US"/>
              </w:rPr>
              <w:t>Arguments</w:t>
            </w:r>
            <w:r w:rsidR="00EC52D7" w:rsidRPr="00AC57EA">
              <w:rPr>
                <w:rStyle w:val="Hipervnculo"/>
                <w:i/>
                <w:noProof/>
                <w:sz w:val="18"/>
                <w:szCs w:val="18"/>
                <w:lang w:val="en-US"/>
              </w:rPr>
              <w:t xml:space="preserve"> of the State</w:t>
            </w:r>
            <w:r w:rsidR="00171E27" w:rsidRPr="00AC57EA">
              <w:rPr>
                <w:rStyle w:val="Hipervnculo"/>
                <w:i/>
                <w:noProof/>
                <w:sz w:val="18"/>
                <w:szCs w:val="18"/>
                <w:lang w:val="en-US"/>
              </w:rPr>
              <w:t xml:space="preserve"> and </w:t>
            </w:r>
            <w:r w:rsidR="009E569E" w:rsidRPr="00AC57EA">
              <w:rPr>
                <w:rStyle w:val="Hipervnculo"/>
                <w:i/>
                <w:noProof/>
                <w:sz w:val="18"/>
                <w:szCs w:val="18"/>
                <w:lang w:val="en-US"/>
              </w:rPr>
              <w:t>observations</w:t>
            </w:r>
            <w:r w:rsidR="00B7258C" w:rsidRPr="00AC57EA">
              <w:rPr>
                <w:rStyle w:val="Hipervnculo"/>
                <w:i/>
                <w:noProof/>
                <w:sz w:val="18"/>
                <w:szCs w:val="18"/>
                <w:lang w:val="en-US"/>
              </w:rPr>
              <w:t xml:space="preserve"> of the Commission</w:t>
            </w:r>
            <w:r w:rsidR="00171E27" w:rsidRPr="00AC57EA">
              <w:rPr>
                <w:rStyle w:val="Hipervnculo"/>
                <w:i/>
                <w:noProof/>
                <w:sz w:val="18"/>
                <w:szCs w:val="18"/>
                <w:lang w:val="en-US"/>
              </w:rPr>
              <w:t xml:space="preserve"> and the representatives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_Toc514172600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13</w:t>
            </w:r>
            <w:r w:rsidR="001D3CA2" w:rsidRPr="00AC57EA">
              <w:rPr>
                <w:noProof/>
                <w:webHidden/>
                <w:sz w:val="18"/>
                <w:szCs w:val="18"/>
                <w:lang w:val="en-US"/>
              </w:rPr>
              <w:fldChar w:fldCharType="end"/>
            </w:r>
          </w:hyperlink>
        </w:p>
        <w:p w14:paraId="4C2FB473" w14:textId="114B3BC5" w:rsidR="001D3CA2" w:rsidRPr="00AC57EA" w:rsidRDefault="00811011" w:rsidP="001D3CA2">
          <w:pPr>
            <w:pStyle w:val="TDC2"/>
            <w:jc w:val="both"/>
            <w:rPr>
              <w:rFonts w:eastAsiaTheme="minorEastAsia" w:cstheme="minorBidi"/>
              <w:noProof/>
              <w:sz w:val="18"/>
              <w:szCs w:val="18"/>
              <w:lang w:val="en-US"/>
            </w:rPr>
          </w:pPr>
          <w:hyperlink w:anchor="_Toc514172601" w:history="1">
            <w:r w:rsidR="001D3CA2" w:rsidRPr="00AC57EA">
              <w:rPr>
                <w:rStyle w:val="Hipervnculo"/>
                <w:i/>
                <w:noProof/>
                <w:sz w:val="18"/>
                <w:szCs w:val="18"/>
                <w:lang w:val="en-US"/>
              </w:rPr>
              <w:t xml:space="preserve">C.2 </w:t>
            </w:r>
            <w:r w:rsidR="001D3CA2" w:rsidRPr="00AC57EA">
              <w:rPr>
                <w:rFonts w:eastAsiaTheme="minorEastAsia" w:cstheme="minorBidi"/>
                <w:noProof/>
                <w:sz w:val="18"/>
                <w:szCs w:val="18"/>
                <w:lang w:val="en-US"/>
              </w:rPr>
              <w:tab/>
            </w:r>
            <w:r w:rsidR="002223C8" w:rsidRPr="00AC57EA">
              <w:rPr>
                <w:rStyle w:val="Hipervnculo"/>
                <w:i/>
                <w:noProof/>
                <w:sz w:val="18"/>
                <w:szCs w:val="18"/>
                <w:lang w:val="en-US"/>
              </w:rPr>
              <w:t>Considerations</w:t>
            </w:r>
            <w:r w:rsidR="00B7258C" w:rsidRPr="00AC57EA">
              <w:rPr>
                <w:rStyle w:val="Hipervnculo"/>
                <w:i/>
                <w:noProof/>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A870C2" w:rsidRPr="00AC57EA">
              <w:rPr>
                <w:noProof/>
                <w:webHidden/>
                <w:sz w:val="18"/>
                <w:szCs w:val="18"/>
                <w:lang w:val="en-US"/>
              </w:rPr>
              <w:t>3</w:t>
            </w:r>
            <w:r w:rsidR="001D3CA2" w:rsidRPr="00AC57EA">
              <w:rPr>
                <w:noProof/>
                <w:webHidden/>
                <w:sz w:val="18"/>
                <w:szCs w:val="18"/>
                <w:lang w:val="en-US"/>
              </w:rPr>
              <w:fldChar w:fldCharType="end"/>
            </w:r>
          </w:hyperlink>
        </w:p>
        <w:p w14:paraId="5D2A80CF" w14:textId="63DFC41F"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02" w:history="1">
            <w:r w:rsidR="001D3CA2" w:rsidRPr="00AC57EA">
              <w:rPr>
                <w:rStyle w:val="Hipervnculo"/>
                <w:rFonts w:cs="Verdana"/>
                <w:b/>
                <w:bCs/>
                <w:caps/>
                <w:noProof/>
                <w:snapToGrid w:val="0"/>
                <w:sz w:val="18"/>
                <w:szCs w:val="18"/>
                <w:lang w:val="en-US"/>
              </w:rPr>
              <w:t xml:space="preserve">V </w:t>
            </w:r>
            <w:r w:rsidR="00F83BCD" w:rsidRPr="00AC57EA">
              <w:rPr>
                <w:rStyle w:val="Hipervnculo"/>
                <w:rFonts w:cs="Verdana"/>
                <w:b/>
                <w:bCs/>
                <w:caps/>
                <w:noProof/>
                <w:snapToGrid w:val="0"/>
                <w:sz w:val="18"/>
                <w:szCs w:val="18"/>
                <w:lang w:val="en-US"/>
              </w:rPr>
              <w:t>PRELIMINARY CONSIDERATIONS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A870C2" w:rsidRPr="00AC57EA">
              <w:rPr>
                <w:noProof/>
                <w:webHidden/>
                <w:sz w:val="18"/>
                <w:szCs w:val="18"/>
                <w:lang w:val="en-US"/>
              </w:rPr>
              <w:t>4</w:t>
            </w:r>
            <w:r w:rsidR="001D3CA2" w:rsidRPr="00AC57EA">
              <w:rPr>
                <w:noProof/>
                <w:webHidden/>
                <w:sz w:val="18"/>
                <w:szCs w:val="18"/>
                <w:lang w:val="en-US"/>
              </w:rPr>
              <w:fldChar w:fldCharType="end"/>
            </w:r>
          </w:hyperlink>
        </w:p>
        <w:p w14:paraId="429C67A8" w14:textId="4A87D23D" w:rsidR="001D3CA2" w:rsidRPr="00AC57EA" w:rsidRDefault="00811011" w:rsidP="001D3CA2">
          <w:pPr>
            <w:pStyle w:val="TDC2"/>
            <w:jc w:val="both"/>
            <w:rPr>
              <w:rFonts w:eastAsiaTheme="minorEastAsia" w:cstheme="minorBidi"/>
              <w:noProof/>
              <w:sz w:val="18"/>
              <w:szCs w:val="18"/>
              <w:lang w:val="en-US"/>
            </w:rPr>
          </w:pPr>
          <w:hyperlink w:anchor="_Toc514172603" w:history="1">
            <w:r w:rsidR="001D3CA2" w:rsidRPr="00AC57EA">
              <w:rPr>
                <w:rStyle w:val="Hipervnculo"/>
                <w:rFonts w:eastAsia="MS Mincho"/>
                <w:b/>
                <w:bCs/>
                <w:i/>
                <w:noProof/>
                <w:sz w:val="18"/>
                <w:szCs w:val="18"/>
                <w:lang w:val="en-US"/>
              </w:rPr>
              <w:t>A.</w:t>
            </w:r>
            <w:r w:rsidR="001D3CA2" w:rsidRPr="00AC57EA">
              <w:rPr>
                <w:rFonts w:eastAsiaTheme="minorEastAsia" w:cstheme="minorBidi"/>
                <w:noProof/>
                <w:sz w:val="18"/>
                <w:szCs w:val="18"/>
                <w:lang w:val="en-US"/>
              </w:rPr>
              <w:tab/>
            </w:r>
            <w:r w:rsidR="005A2722" w:rsidRPr="00AC57EA">
              <w:rPr>
                <w:rStyle w:val="Hipervnculo"/>
                <w:rFonts w:eastAsia="MS Mincho"/>
                <w:b/>
                <w:bCs/>
                <w:i/>
                <w:noProof/>
                <w:sz w:val="18"/>
                <w:szCs w:val="18"/>
                <w:lang w:val="en-US"/>
              </w:rPr>
              <w:t>Determination</w:t>
            </w:r>
            <w:r w:rsidR="00171E27" w:rsidRPr="00AC57EA">
              <w:rPr>
                <w:rStyle w:val="Hipervnculo"/>
                <w:rFonts w:eastAsia="MS Mincho"/>
                <w:b/>
                <w:bCs/>
                <w:i/>
                <w:noProof/>
                <w:sz w:val="18"/>
                <w:szCs w:val="18"/>
                <w:lang w:val="en-US"/>
              </w:rPr>
              <w:t xml:space="preserve"> of the presumed victims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15</w:t>
            </w:r>
            <w:r w:rsidR="001D3CA2" w:rsidRPr="00AC57EA">
              <w:rPr>
                <w:noProof/>
                <w:webHidden/>
                <w:sz w:val="18"/>
                <w:szCs w:val="18"/>
                <w:lang w:val="en-US"/>
              </w:rPr>
              <w:fldChar w:fldCharType="end"/>
            </w:r>
          </w:hyperlink>
        </w:p>
        <w:p w14:paraId="05416570" w14:textId="32DDA1C1" w:rsidR="001D3CA2" w:rsidRPr="00AC57EA" w:rsidRDefault="00811011" w:rsidP="001D3CA2">
          <w:pPr>
            <w:pStyle w:val="TDC2"/>
            <w:jc w:val="both"/>
            <w:rPr>
              <w:rFonts w:eastAsiaTheme="minorEastAsia" w:cstheme="minorBidi"/>
              <w:noProof/>
              <w:sz w:val="18"/>
              <w:szCs w:val="18"/>
              <w:lang w:val="en-US"/>
            </w:rPr>
          </w:pPr>
          <w:hyperlink w:anchor="_Toc514172604" w:history="1">
            <w:r w:rsidR="001D3CA2" w:rsidRPr="00AC57EA">
              <w:rPr>
                <w:rStyle w:val="Hipervnculo"/>
                <w:i/>
                <w:noProof/>
                <w:sz w:val="18"/>
                <w:szCs w:val="18"/>
                <w:lang w:val="en-US"/>
              </w:rPr>
              <w:t xml:space="preserve">A.1 </w:t>
            </w:r>
            <w:r w:rsidR="001D3CA2" w:rsidRPr="00AC57EA">
              <w:rPr>
                <w:rFonts w:eastAsiaTheme="minorEastAsia" w:cstheme="minorBidi"/>
                <w:noProof/>
                <w:sz w:val="18"/>
                <w:szCs w:val="18"/>
                <w:lang w:val="en-US"/>
              </w:rPr>
              <w:tab/>
            </w:r>
            <w:r w:rsidR="009E569E" w:rsidRPr="00AC57EA">
              <w:rPr>
                <w:rStyle w:val="Hipervnculo"/>
                <w:i/>
                <w:noProof/>
                <w:sz w:val="18"/>
                <w:szCs w:val="18"/>
                <w:lang w:val="en-US"/>
              </w:rPr>
              <w:t>Arguments</w:t>
            </w:r>
            <w:r w:rsidR="00EC52D7" w:rsidRPr="00AC57EA">
              <w:rPr>
                <w:rStyle w:val="Hipervnculo"/>
                <w:i/>
                <w:noProof/>
                <w:sz w:val="18"/>
                <w:szCs w:val="18"/>
                <w:lang w:val="en-US"/>
              </w:rPr>
              <w:t xml:space="preserve"> of the State</w:t>
            </w:r>
            <w:r w:rsidR="00171E27" w:rsidRPr="00AC57EA">
              <w:rPr>
                <w:rStyle w:val="Hipervnculo"/>
                <w:i/>
                <w:noProof/>
                <w:sz w:val="18"/>
                <w:szCs w:val="18"/>
                <w:lang w:val="en-US"/>
              </w:rPr>
              <w:t xml:space="preserve"> and </w:t>
            </w:r>
            <w:r w:rsidR="009E569E" w:rsidRPr="00AC57EA">
              <w:rPr>
                <w:rStyle w:val="Hipervnculo"/>
                <w:i/>
                <w:noProof/>
                <w:sz w:val="18"/>
                <w:szCs w:val="18"/>
                <w:lang w:val="en-US"/>
              </w:rPr>
              <w:t>observations</w:t>
            </w:r>
            <w:r w:rsidR="00B7258C" w:rsidRPr="00AC57EA">
              <w:rPr>
                <w:rStyle w:val="Hipervnculo"/>
                <w:i/>
                <w:noProof/>
                <w:sz w:val="18"/>
                <w:szCs w:val="18"/>
                <w:lang w:val="en-US"/>
              </w:rPr>
              <w:t xml:space="preserve"> of the Commission</w:t>
            </w:r>
            <w:r w:rsidR="00171E27" w:rsidRPr="00AC57EA">
              <w:rPr>
                <w:rStyle w:val="Hipervnculo"/>
                <w:i/>
                <w:noProof/>
                <w:sz w:val="18"/>
                <w:szCs w:val="18"/>
                <w:lang w:val="en-US"/>
              </w:rPr>
              <w:t xml:space="preserve"> and the representatives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15</w:t>
            </w:r>
            <w:r w:rsidR="001D3CA2" w:rsidRPr="00AC57EA">
              <w:rPr>
                <w:noProof/>
                <w:webHidden/>
                <w:sz w:val="18"/>
                <w:szCs w:val="18"/>
                <w:lang w:val="en-US"/>
              </w:rPr>
              <w:fldChar w:fldCharType="end"/>
            </w:r>
          </w:hyperlink>
        </w:p>
        <w:p w14:paraId="38DD1F27" w14:textId="6448D701" w:rsidR="001D3CA2" w:rsidRPr="00AC57EA" w:rsidRDefault="00811011" w:rsidP="001D3CA2">
          <w:pPr>
            <w:pStyle w:val="TDC2"/>
            <w:jc w:val="both"/>
            <w:rPr>
              <w:rFonts w:eastAsiaTheme="minorEastAsia" w:cstheme="minorBidi"/>
              <w:noProof/>
              <w:sz w:val="18"/>
              <w:szCs w:val="18"/>
              <w:lang w:val="en-US"/>
            </w:rPr>
          </w:pPr>
          <w:hyperlink w:anchor="_Toc514172605" w:history="1">
            <w:r w:rsidR="001D3CA2" w:rsidRPr="00AC57EA">
              <w:rPr>
                <w:rStyle w:val="Hipervnculo"/>
                <w:i/>
                <w:noProof/>
                <w:sz w:val="18"/>
                <w:szCs w:val="18"/>
                <w:lang w:val="en-US"/>
              </w:rPr>
              <w:t xml:space="preserve">A.2 </w:t>
            </w:r>
            <w:r w:rsidR="001D3CA2" w:rsidRPr="00AC57EA">
              <w:rPr>
                <w:rFonts w:eastAsiaTheme="minorEastAsia" w:cstheme="minorBidi"/>
                <w:noProof/>
                <w:sz w:val="18"/>
                <w:szCs w:val="18"/>
                <w:lang w:val="en-US"/>
              </w:rPr>
              <w:tab/>
            </w:r>
            <w:r w:rsidR="002223C8" w:rsidRPr="00AC57EA">
              <w:rPr>
                <w:rStyle w:val="Hipervnculo"/>
                <w:i/>
                <w:noProof/>
                <w:sz w:val="18"/>
                <w:szCs w:val="18"/>
                <w:lang w:val="en-US"/>
              </w:rPr>
              <w:t>Considerations</w:t>
            </w:r>
            <w:r w:rsidR="00B7258C" w:rsidRPr="00AC57EA">
              <w:rPr>
                <w:rStyle w:val="Hipervnculo"/>
                <w:i/>
                <w:noProof/>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_Toc514172605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A870C2" w:rsidRPr="00AC57EA">
              <w:rPr>
                <w:noProof/>
                <w:webHidden/>
                <w:sz w:val="18"/>
                <w:szCs w:val="18"/>
                <w:lang w:val="en-US"/>
              </w:rPr>
              <w:t>5</w:t>
            </w:r>
            <w:r w:rsidR="001D3CA2" w:rsidRPr="00AC57EA">
              <w:rPr>
                <w:noProof/>
                <w:webHidden/>
                <w:sz w:val="18"/>
                <w:szCs w:val="18"/>
                <w:lang w:val="en-US"/>
              </w:rPr>
              <w:fldChar w:fldCharType="end"/>
            </w:r>
          </w:hyperlink>
        </w:p>
        <w:p w14:paraId="1600EE1E" w14:textId="469680E2" w:rsidR="001D3CA2" w:rsidRPr="00AC57EA" w:rsidRDefault="00811011" w:rsidP="001D3CA2">
          <w:pPr>
            <w:pStyle w:val="TDC2"/>
            <w:jc w:val="both"/>
            <w:rPr>
              <w:rFonts w:eastAsiaTheme="minorEastAsia" w:cstheme="minorBidi"/>
              <w:noProof/>
              <w:sz w:val="18"/>
              <w:szCs w:val="18"/>
              <w:lang w:val="en-US"/>
            </w:rPr>
          </w:pPr>
          <w:hyperlink w:anchor="_Toc514172606" w:history="1">
            <w:r w:rsidR="001D3CA2" w:rsidRPr="00AC57EA">
              <w:rPr>
                <w:rStyle w:val="Hipervnculo"/>
                <w:rFonts w:eastAsia="MS Mincho"/>
                <w:b/>
                <w:bCs/>
                <w:i/>
                <w:noProof/>
                <w:sz w:val="18"/>
                <w:szCs w:val="18"/>
                <w:lang w:val="en-US"/>
              </w:rPr>
              <w:t>B.</w:t>
            </w:r>
            <w:r w:rsidR="001D3CA2" w:rsidRPr="00AC57EA">
              <w:rPr>
                <w:rFonts w:eastAsiaTheme="minorEastAsia" w:cstheme="minorBidi"/>
                <w:noProof/>
                <w:sz w:val="18"/>
                <w:szCs w:val="18"/>
                <w:lang w:val="en-US"/>
              </w:rPr>
              <w:tab/>
            </w:r>
            <w:r w:rsidR="009D45B3" w:rsidRPr="00AC57EA">
              <w:rPr>
                <w:rStyle w:val="Hipervnculo"/>
                <w:rFonts w:eastAsia="MS Mincho"/>
                <w:b/>
                <w:bCs/>
                <w:i/>
                <w:noProof/>
                <w:sz w:val="18"/>
                <w:szCs w:val="18"/>
                <w:lang w:val="en-US"/>
              </w:rPr>
              <w:t>Other human rights violations alleged by</w:t>
            </w:r>
            <w:r w:rsidR="001D3CA2" w:rsidRPr="00AC57EA">
              <w:rPr>
                <w:rStyle w:val="Hipervnculo"/>
                <w:rFonts w:eastAsia="MS Mincho"/>
                <w:b/>
                <w:bCs/>
                <w:i/>
                <w:noProof/>
                <w:sz w:val="18"/>
                <w:szCs w:val="18"/>
                <w:lang w:val="en-US"/>
              </w:rPr>
              <w:t xml:space="preserve"> </w:t>
            </w:r>
            <w:r w:rsidR="00171E27" w:rsidRPr="00AC57EA">
              <w:rPr>
                <w:rStyle w:val="Hipervnculo"/>
                <w:rFonts w:eastAsia="MS Mincho"/>
                <w:b/>
                <w:bCs/>
                <w:i/>
                <w:noProof/>
                <w:sz w:val="18"/>
                <w:szCs w:val="18"/>
                <w:lang w:val="en-US"/>
              </w:rPr>
              <w:t>the representatives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_Toc514172606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16</w:t>
            </w:r>
            <w:r w:rsidR="001D3CA2" w:rsidRPr="00AC57EA">
              <w:rPr>
                <w:noProof/>
                <w:webHidden/>
                <w:sz w:val="18"/>
                <w:szCs w:val="18"/>
                <w:lang w:val="en-US"/>
              </w:rPr>
              <w:fldChar w:fldCharType="end"/>
            </w:r>
          </w:hyperlink>
        </w:p>
        <w:p w14:paraId="3CBBAB4C" w14:textId="5B513E40" w:rsidR="001D3CA2" w:rsidRPr="00AC57EA" w:rsidRDefault="00811011" w:rsidP="001D3CA2">
          <w:pPr>
            <w:pStyle w:val="TDC2"/>
            <w:jc w:val="both"/>
            <w:rPr>
              <w:rFonts w:eastAsiaTheme="minorEastAsia" w:cstheme="minorBidi"/>
              <w:noProof/>
              <w:sz w:val="18"/>
              <w:szCs w:val="18"/>
              <w:lang w:val="en-US"/>
            </w:rPr>
          </w:pPr>
          <w:hyperlink w:anchor="_Toc514172607" w:history="1">
            <w:r w:rsidR="001D3CA2" w:rsidRPr="00AC57EA">
              <w:rPr>
                <w:rStyle w:val="Hipervnculo"/>
                <w:i/>
                <w:noProof/>
                <w:sz w:val="18"/>
                <w:szCs w:val="18"/>
                <w:lang w:val="en-US"/>
              </w:rPr>
              <w:t xml:space="preserve">B.1 </w:t>
            </w:r>
            <w:r w:rsidR="001D3CA2" w:rsidRPr="00AC57EA">
              <w:rPr>
                <w:rFonts w:eastAsiaTheme="minorEastAsia" w:cstheme="minorBidi"/>
                <w:noProof/>
                <w:sz w:val="18"/>
                <w:szCs w:val="18"/>
                <w:lang w:val="en-US"/>
              </w:rPr>
              <w:tab/>
            </w:r>
            <w:r w:rsidR="009E569E" w:rsidRPr="00AC57EA">
              <w:rPr>
                <w:rStyle w:val="Hipervnculo"/>
                <w:i/>
                <w:noProof/>
                <w:sz w:val="18"/>
                <w:szCs w:val="18"/>
                <w:lang w:val="en-US"/>
              </w:rPr>
              <w:t>Arguments</w:t>
            </w:r>
            <w:r w:rsidR="00EC52D7" w:rsidRPr="00AC57EA">
              <w:rPr>
                <w:rStyle w:val="Hipervnculo"/>
                <w:i/>
                <w:noProof/>
                <w:sz w:val="18"/>
                <w:szCs w:val="18"/>
                <w:lang w:val="en-US"/>
              </w:rPr>
              <w:t xml:space="preserve"> of the State</w:t>
            </w:r>
            <w:r w:rsidR="00171E27" w:rsidRPr="00AC57EA">
              <w:rPr>
                <w:rStyle w:val="Hipervnculo"/>
                <w:i/>
                <w:noProof/>
                <w:sz w:val="18"/>
                <w:szCs w:val="18"/>
                <w:lang w:val="en-US"/>
              </w:rPr>
              <w:t xml:space="preserve"> and </w:t>
            </w:r>
            <w:r w:rsidR="009E569E" w:rsidRPr="00AC57EA">
              <w:rPr>
                <w:rStyle w:val="Hipervnculo"/>
                <w:i/>
                <w:noProof/>
                <w:sz w:val="18"/>
                <w:szCs w:val="18"/>
                <w:lang w:val="en-US"/>
              </w:rPr>
              <w:t>observations</w:t>
            </w:r>
            <w:r w:rsidR="00B7258C" w:rsidRPr="00AC57EA">
              <w:rPr>
                <w:rStyle w:val="Hipervnculo"/>
                <w:i/>
                <w:noProof/>
                <w:sz w:val="18"/>
                <w:szCs w:val="18"/>
                <w:lang w:val="en-US"/>
              </w:rPr>
              <w:t xml:space="preserve"> of the Commission</w:t>
            </w:r>
            <w:r w:rsidR="00171E27" w:rsidRPr="00AC57EA">
              <w:rPr>
                <w:rStyle w:val="Hipervnculo"/>
                <w:i/>
                <w:noProof/>
                <w:sz w:val="18"/>
                <w:szCs w:val="18"/>
                <w:lang w:val="en-US"/>
              </w:rPr>
              <w:t xml:space="preserve"> and the representatives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_Toc514172607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16</w:t>
            </w:r>
            <w:r w:rsidR="001D3CA2" w:rsidRPr="00AC57EA">
              <w:rPr>
                <w:noProof/>
                <w:webHidden/>
                <w:sz w:val="18"/>
                <w:szCs w:val="18"/>
                <w:lang w:val="en-US"/>
              </w:rPr>
              <w:fldChar w:fldCharType="end"/>
            </w:r>
          </w:hyperlink>
        </w:p>
        <w:p w14:paraId="06A75782" w14:textId="44F8913E" w:rsidR="001D3CA2" w:rsidRPr="00AC57EA" w:rsidRDefault="00811011" w:rsidP="001D3CA2">
          <w:pPr>
            <w:pStyle w:val="TDC2"/>
            <w:jc w:val="both"/>
            <w:rPr>
              <w:rFonts w:eastAsiaTheme="minorEastAsia" w:cstheme="minorBidi"/>
              <w:noProof/>
              <w:sz w:val="18"/>
              <w:szCs w:val="18"/>
              <w:lang w:val="en-US"/>
            </w:rPr>
          </w:pPr>
          <w:hyperlink w:anchor="_Toc514172608" w:history="1">
            <w:r w:rsidR="001D3CA2" w:rsidRPr="00AC57EA">
              <w:rPr>
                <w:rStyle w:val="Hipervnculo"/>
                <w:i/>
                <w:noProof/>
                <w:sz w:val="18"/>
                <w:szCs w:val="18"/>
                <w:lang w:val="en-US"/>
              </w:rPr>
              <w:t xml:space="preserve">B.2 </w:t>
            </w:r>
            <w:r w:rsidR="001D3CA2" w:rsidRPr="00AC57EA">
              <w:rPr>
                <w:rFonts w:eastAsiaTheme="minorEastAsia" w:cstheme="minorBidi"/>
                <w:noProof/>
                <w:sz w:val="18"/>
                <w:szCs w:val="18"/>
                <w:lang w:val="en-US"/>
              </w:rPr>
              <w:tab/>
            </w:r>
            <w:r w:rsidR="002223C8" w:rsidRPr="00AC57EA">
              <w:rPr>
                <w:rStyle w:val="Hipervnculo"/>
                <w:i/>
                <w:noProof/>
                <w:sz w:val="18"/>
                <w:szCs w:val="18"/>
                <w:lang w:val="en-US"/>
              </w:rPr>
              <w:t>Considerations</w:t>
            </w:r>
            <w:r w:rsidR="00B7258C" w:rsidRPr="00AC57EA">
              <w:rPr>
                <w:rStyle w:val="Hipervnculo"/>
                <w:i/>
                <w:noProof/>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_Toc514172608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17</w:t>
            </w:r>
            <w:r w:rsidR="001D3CA2" w:rsidRPr="00AC57EA">
              <w:rPr>
                <w:noProof/>
                <w:webHidden/>
                <w:sz w:val="18"/>
                <w:szCs w:val="18"/>
                <w:lang w:val="en-US"/>
              </w:rPr>
              <w:fldChar w:fldCharType="end"/>
            </w:r>
          </w:hyperlink>
        </w:p>
        <w:p w14:paraId="5CD4C1FC" w14:textId="4A2F4643"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09" w:history="1">
            <w:r w:rsidR="001D3CA2" w:rsidRPr="00AC57EA">
              <w:rPr>
                <w:rStyle w:val="Hipervnculo"/>
                <w:rFonts w:cs="Verdana"/>
                <w:b/>
                <w:bCs/>
                <w:caps/>
                <w:noProof/>
                <w:snapToGrid w:val="0"/>
                <w:sz w:val="18"/>
                <w:szCs w:val="18"/>
                <w:lang w:val="en-US"/>
              </w:rPr>
              <w:t xml:space="preserve">VI </w:t>
            </w:r>
            <w:r w:rsidR="00E07E41" w:rsidRPr="00AC57EA">
              <w:rPr>
                <w:rStyle w:val="Hipervnculo"/>
                <w:rFonts w:cs="Verdana"/>
                <w:b/>
                <w:bCs/>
                <w:caps/>
                <w:noProof/>
                <w:snapToGrid w:val="0"/>
                <w:sz w:val="18"/>
                <w:szCs w:val="18"/>
                <w:lang w:val="en-US"/>
              </w:rPr>
              <w:t>EVIDENCE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_Toc514172609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A870C2" w:rsidRPr="00AC57EA">
              <w:rPr>
                <w:noProof/>
                <w:webHidden/>
                <w:sz w:val="18"/>
                <w:szCs w:val="18"/>
                <w:lang w:val="en-US"/>
              </w:rPr>
              <w:t>7</w:t>
            </w:r>
            <w:r w:rsidR="001D3CA2" w:rsidRPr="00AC57EA">
              <w:rPr>
                <w:noProof/>
                <w:webHidden/>
                <w:sz w:val="18"/>
                <w:szCs w:val="18"/>
                <w:lang w:val="en-US"/>
              </w:rPr>
              <w:fldChar w:fldCharType="end"/>
            </w:r>
          </w:hyperlink>
        </w:p>
        <w:p w14:paraId="6922BD61" w14:textId="35A43BEE" w:rsidR="001D3CA2" w:rsidRPr="00AC57EA" w:rsidRDefault="00811011" w:rsidP="001D3CA2">
          <w:pPr>
            <w:pStyle w:val="TDC2"/>
            <w:jc w:val="both"/>
            <w:rPr>
              <w:rFonts w:eastAsiaTheme="minorEastAsia" w:cstheme="minorBidi"/>
              <w:noProof/>
              <w:sz w:val="18"/>
              <w:szCs w:val="18"/>
              <w:lang w:val="en-US"/>
            </w:rPr>
          </w:pPr>
          <w:hyperlink w:anchor="_Toc514172610" w:history="1">
            <w:r w:rsidR="001D3CA2" w:rsidRPr="00AC57EA">
              <w:rPr>
                <w:rStyle w:val="Hipervnculo"/>
                <w:rFonts w:eastAsia="MS Mincho"/>
                <w:b/>
                <w:bCs/>
                <w:i/>
                <w:noProof/>
                <w:sz w:val="18"/>
                <w:szCs w:val="18"/>
                <w:lang w:val="en-US"/>
              </w:rPr>
              <w:t>A.</w:t>
            </w:r>
            <w:r w:rsidR="001D3CA2" w:rsidRPr="00AC57EA">
              <w:rPr>
                <w:rFonts w:eastAsiaTheme="minorEastAsia" w:cstheme="minorBidi"/>
                <w:noProof/>
                <w:sz w:val="18"/>
                <w:szCs w:val="18"/>
                <w:lang w:val="en-US"/>
              </w:rPr>
              <w:tab/>
            </w:r>
            <w:r w:rsidR="00E07E41" w:rsidRPr="00AC57EA">
              <w:rPr>
                <w:rStyle w:val="Hipervnculo"/>
                <w:rFonts w:eastAsia="MS Mincho"/>
                <w:b/>
                <w:bCs/>
                <w:i/>
                <w:noProof/>
                <w:sz w:val="18"/>
                <w:szCs w:val="18"/>
                <w:lang w:val="en-US"/>
              </w:rPr>
              <w:t>Documentary, testimonial and expert evidence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_Toc514172610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A870C2" w:rsidRPr="00AC57EA">
              <w:rPr>
                <w:noProof/>
                <w:webHidden/>
                <w:sz w:val="18"/>
                <w:szCs w:val="18"/>
                <w:lang w:val="en-US"/>
              </w:rPr>
              <w:t>7</w:t>
            </w:r>
            <w:r w:rsidR="001D3CA2" w:rsidRPr="00AC57EA">
              <w:rPr>
                <w:noProof/>
                <w:webHidden/>
                <w:sz w:val="18"/>
                <w:szCs w:val="18"/>
                <w:lang w:val="en-US"/>
              </w:rPr>
              <w:fldChar w:fldCharType="end"/>
            </w:r>
          </w:hyperlink>
        </w:p>
        <w:p w14:paraId="74C83476" w14:textId="1AFD5E49" w:rsidR="001D3CA2" w:rsidRPr="00AC57EA" w:rsidRDefault="00811011" w:rsidP="001D3CA2">
          <w:pPr>
            <w:pStyle w:val="TDC2"/>
            <w:jc w:val="both"/>
            <w:rPr>
              <w:rFonts w:eastAsiaTheme="minorEastAsia" w:cstheme="minorBidi"/>
              <w:noProof/>
              <w:sz w:val="18"/>
              <w:szCs w:val="18"/>
              <w:lang w:val="en-US"/>
            </w:rPr>
          </w:pPr>
          <w:hyperlink w:anchor="_Toc514172611" w:history="1">
            <w:r w:rsidR="001D3CA2" w:rsidRPr="00AC57EA">
              <w:rPr>
                <w:rStyle w:val="Hipervnculo"/>
                <w:rFonts w:eastAsia="MS Mincho"/>
                <w:b/>
                <w:bCs/>
                <w:i/>
                <w:noProof/>
                <w:sz w:val="18"/>
                <w:szCs w:val="18"/>
                <w:lang w:val="en-US"/>
              </w:rPr>
              <w:t xml:space="preserve">B. </w:t>
            </w:r>
            <w:r w:rsidR="001D3CA2" w:rsidRPr="00AC57EA">
              <w:rPr>
                <w:rFonts w:eastAsiaTheme="minorEastAsia" w:cstheme="minorBidi"/>
                <w:noProof/>
                <w:sz w:val="18"/>
                <w:szCs w:val="18"/>
                <w:lang w:val="en-US"/>
              </w:rPr>
              <w:tab/>
            </w:r>
            <w:r w:rsidR="00A55E54" w:rsidRPr="00AC57EA">
              <w:rPr>
                <w:rStyle w:val="Hipervnculo"/>
                <w:rFonts w:eastAsia="MS Mincho"/>
                <w:b/>
                <w:bCs/>
                <w:i/>
                <w:noProof/>
                <w:sz w:val="18"/>
                <w:szCs w:val="18"/>
                <w:lang w:val="en-US"/>
              </w:rPr>
              <w:t>Admission of the evidence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18</w:t>
            </w:r>
            <w:r w:rsidR="001D3CA2" w:rsidRPr="00AC57EA">
              <w:rPr>
                <w:noProof/>
                <w:webHidden/>
                <w:sz w:val="18"/>
                <w:szCs w:val="18"/>
                <w:lang w:val="en-US"/>
              </w:rPr>
              <w:fldChar w:fldCharType="end"/>
            </w:r>
          </w:hyperlink>
        </w:p>
        <w:p w14:paraId="3F91873B" w14:textId="60FA3392" w:rsidR="001D3CA2" w:rsidRPr="00AC57EA" w:rsidRDefault="00811011" w:rsidP="001D3CA2">
          <w:pPr>
            <w:pStyle w:val="TDC2"/>
            <w:jc w:val="both"/>
            <w:rPr>
              <w:rFonts w:eastAsiaTheme="minorEastAsia" w:cstheme="minorBidi"/>
              <w:noProof/>
              <w:sz w:val="18"/>
              <w:szCs w:val="18"/>
              <w:lang w:val="en-US"/>
            </w:rPr>
          </w:pPr>
          <w:hyperlink w:anchor="_Toc514172612" w:history="1">
            <w:r w:rsidR="001D3CA2" w:rsidRPr="00AC57EA">
              <w:rPr>
                <w:rStyle w:val="Hipervnculo"/>
                <w:i/>
                <w:noProof/>
                <w:sz w:val="18"/>
                <w:szCs w:val="18"/>
                <w:lang w:val="en-US"/>
              </w:rPr>
              <w:t xml:space="preserve">B.1 </w:t>
            </w:r>
            <w:r w:rsidR="001D3CA2" w:rsidRPr="00AC57EA">
              <w:rPr>
                <w:rFonts w:eastAsiaTheme="minorEastAsia" w:cstheme="minorBidi"/>
                <w:noProof/>
                <w:sz w:val="18"/>
                <w:szCs w:val="18"/>
                <w:lang w:val="en-US"/>
              </w:rPr>
              <w:tab/>
            </w:r>
            <w:r w:rsidR="00A55E54" w:rsidRPr="00AC57EA">
              <w:rPr>
                <w:rStyle w:val="Hipervnculo"/>
                <w:i/>
                <w:noProof/>
                <w:sz w:val="18"/>
                <w:szCs w:val="18"/>
                <w:lang w:val="en-US"/>
              </w:rPr>
              <w:t>Admission of the documentary evidence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18</w:t>
            </w:r>
            <w:r w:rsidR="001D3CA2" w:rsidRPr="00AC57EA">
              <w:rPr>
                <w:noProof/>
                <w:webHidden/>
                <w:sz w:val="18"/>
                <w:szCs w:val="18"/>
                <w:lang w:val="en-US"/>
              </w:rPr>
              <w:fldChar w:fldCharType="end"/>
            </w:r>
          </w:hyperlink>
        </w:p>
        <w:p w14:paraId="4CFDBFB8" w14:textId="7AAD091B" w:rsidR="001D3CA2" w:rsidRPr="00AC57EA" w:rsidRDefault="00811011" w:rsidP="001D3CA2">
          <w:pPr>
            <w:pStyle w:val="TDC2"/>
            <w:jc w:val="both"/>
            <w:rPr>
              <w:rFonts w:eastAsiaTheme="minorEastAsia" w:cstheme="minorBidi"/>
              <w:noProof/>
              <w:sz w:val="18"/>
              <w:szCs w:val="18"/>
              <w:lang w:val="en-US"/>
            </w:rPr>
          </w:pPr>
          <w:hyperlink w:anchor="_Toc514172613" w:history="1">
            <w:r w:rsidR="001D3CA2" w:rsidRPr="00AC57EA">
              <w:rPr>
                <w:rStyle w:val="Hipervnculo"/>
                <w:i/>
                <w:noProof/>
                <w:sz w:val="18"/>
                <w:szCs w:val="18"/>
                <w:lang w:val="en-US"/>
              </w:rPr>
              <w:t xml:space="preserve">B.2 </w:t>
            </w:r>
            <w:r w:rsidR="001D3CA2" w:rsidRPr="00AC57EA">
              <w:rPr>
                <w:rFonts w:eastAsiaTheme="minorEastAsia" w:cstheme="minorBidi"/>
                <w:noProof/>
                <w:sz w:val="18"/>
                <w:szCs w:val="18"/>
                <w:lang w:val="en-US"/>
              </w:rPr>
              <w:tab/>
            </w:r>
            <w:r w:rsidR="00A55E54" w:rsidRPr="00AC57EA">
              <w:rPr>
                <w:rStyle w:val="Hipervnculo"/>
                <w:i/>
                <w:noProof/>
                <w:sz w:val="18"/>
                <w:szCs w:val="18"/>
                <w:lang w:val="en-US"/>
              </w:rPr>
              <w:t>Admission of the statements and expert opinions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D4020E" w:rsidRPr="00AC57EA">
              <w:rPr>
                <w:noProof/>
                <w:webHidden/>
                <w:sz w:val="18"/>
                <w:szCs w:val="18"/>
                <w:lang w:val="en-US"/>
              </w:rPr>
              <w:t>8</w:t>
            </w:r>
            <w:r w:rsidR="001D3CA2" w:rsidRPr="00AC57EA">
              <w:rPr>
                <w:noProof/>
                <w:webHidden/>
                <w:sz w:val="18"/>
                <w:szCs w:val="18"/>
                <w:lang w:val="en-US"/>
              </w:rPr>
              <w:fldChar w:fldCharType="end"/>
            </w:r>
          </w:hyperlink>
        </w:p>
        <w:p w14:paraId="3DB0D527" w14:textId="1EC6136C" w:rsidR="001D3CA2" w:rsidRPr="00AC57EA" w:rsidRDefault="00811011" w:rsidP="001D3CA2">
          <w:pPr>
            <w:pStyle w:val="TDC2"/>
            <w:jc w:val="both"/>
            <w:rPr>
              <w:rFonts w:eastAsiaTheme="minorEastAsia" w:cstheme="minorBidi"/>
              <w:noProof/>
              <w:sz w:val="18"/>
              <w:szCs w:val="18"/>
              <w:lang w:val="en-US"/>
            </w:rPr>
          </w:pPr>
          <w:hyperlink w:anchor="_Toc514172614" w:history="1">
            <w:r w:rsidR="001D3CA2" w:rsidRPr="00AC57EA">
              <w:rPr>
                <w:rStyle w:val="Hipervnculo"/>
                <w:rFonts w:eastAsia="MS Mincho"/>
                <w:b/>
                <w:bCs/>
                <w:i/>
                <w:noProof/>
                <w:sz w:val="18"/>
                <w:szCs w:val="18"/>
                <w:lang w:val="en-US"/>
              </w:rPr>
              <w:t xml:space="preserve">C. </w:t>
            </w:r>
            <w:r w:rsidR="001D3CA2" w:rsidRPr="00AC57EA">
              <w:rPr>
                <w:rFonts w:eastAsiaTheme="minorEastAsia" w:cstheme="minorBidi"/>
                <w:noProof/>
                <w:sz w:val="18"/>
                <w:szCs w:val="18"/>
                <w:lang w:val="en-US"/>
              </w:rPr>
              <w:tab/>
            </w:r>
            <w:r w:rsidR="00A55E54" w:rsidRPr="00AC57EA">
              <w:rPr>
                <w:rStyle w:val="Hipervnculo"/>
                <w:rFonts w:eastAsia="MS Mincho"/>
                <w:b/>
                <w:bCs/>
                <w:i/>
                <w:noProof/>
                <w:sz w:val="18"/>
                <w:szCs w:val="18"/>
                <w:lang w:val="en-US"/>
              </w:rPr>
              <w:t>Assessment of the evidence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19</w:t>
            </w:r>
            <w:r w:rsidR="001D3CA2" w:rsidRPr="00AC57EA">
              <w:rPr>
                <w:noProof/>
                <w:webHidden/>
                <w:sz w:val="18"/>
                <w:szCs w:val="18"/>
                <w:lang w:val="en-US"/>
              </w:rPr>
              <w:fldChar w:fldCharType="end"/>
            </w:r>
          </w:hyperlink>
        </w:p>
        <w:p w14:paraId="43EE14CE" w14:textId="51A3DAF5"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15" w:history="1">
            <w:r w:rsidR="001D3CA2" w:rsidRPr="00AC57EA">
              <w:rPr>
                <w:rStyle w:val="Hipervnculo"/>
                <w:rFonts w:cs="Verdana"/>
                <w:b/>
                <w:bCs/>
                <w:caps/>
                <w:noProof/>
                <w:snapToGrid w:val="0"/>
                <w:sz w:val="18"/>
                <w:szCs w:val="18"/>
                <w:lang w:val="en-US"/>
              </w:rPr>
              <w:t xml:space="preserve">ViI </w:t>
            </w:r>
            <w:r w:rsidR="00E07E41" w:rsidRPr="00AC57EA">
              <w:rPr>
                <w:rStyle w:val="Hipervnculo"/>
                <w:rFonts w:cs="Verdana"/>
                <w:b/>
                <w:bCs/>
                <w:caps/>
                <w:noProof/>
                <w:snapToGrid w:val="0"/>
                <w:sz w:val="18"/>
                <w:szCs w:val="18"/>
                <w:lang w:val="en-US"/>
              </w:rPr>
              <w:t>FACTS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_Toc514172615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19</w:t>
            </w:r>
            <w:r w:rsidR="001D3CA2" w:rsidRPr="00AC57EA">
              <w:rPr>
                <w:noProof/>
                <w:webHidden/>
                <w:sz w:val="18"/>
                <w:szCs w:val="18"/>
                <w:lang w:val="en-US"/>
              </w:rPr>
              <w:fldChar w:fldCharType="end"/>
            </w:r>
          </w:hyperlink>
        </w:p>
        <w:p w14:paraId="1FA1024C" w14:textId="0F4154AF" w:rsidR="001D3CA2" w:rsidRPr="00AC57EA" w:rsidRDefault="00811011" w:rsidP="001D3CA2">
          <w:pPr>
            <w:pStyle w:val="TDC2"/>
            <w:jc w:val="both"/>
            <w:rPr>
              <w:rFonts w:eastAsiaTheme="minorEastAsia" w:cstheme="minorBidi"/>
              <w:noProof/>
              <w:sz w:val="18"/>
              <w:szCs w:val="18"/>
              <w:lang w:val="en-US"/>
            </w:rPr>
          </w:pPr>
          <w:hyperlink w:anchor="_Toc514172616" w:history="1">
            <w:r w:rsidR="001D3CA2" w:rsidRPr="00AC57EA">
              <w:rPr>
                <w:rStyle w:val="Hipervnculo"/>
                <w:rFonts w:eastAsia="MS Mincho"/>
                <w:b/>
                <w:bCs/>
                <w:i/>
                <w:noProof/>
                <w:sz w:val="18"/>
                <w:szCs w:val="18"/>
                <w:lang w:val="en-US"/>
              </w:rPr>
              <w:t>A.</w:t>
            </w:r>
            <w:r w:rsidR="001D3CA2" w:rsidRPr="00AC57EA">
              <w:rPr>
                <w:rFonts w:eastAsiaTheme="minorEastAsia" w:cstheme="minorBidi"/>
                <w:noProof/>
                <w:sz w:val="18"/>
                <w:szCs w:val="18"/>
                <w:lang w:val="en-US"/>
              </w:rPr>
              <w:tab/>
            </w:r>
            <w:r w:rsidR="00A55E54" w:rsidRPr="00AC57EA">
              <w:rPr>
                <w:rStyle w:val="Hipervnculo"/>
                <w:rFonts w:eastAsia="MS Mincho"/>
                <w:b/>
                <w:bCs/>
                <w:i/>
                <w:noProof/>
                <w:sz w:val="18"/>
                <w:szCs w:val="18"/>
                <w:lang w:val="en-US"/>
              </w:rPr>
              <w:t>Background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_Toc514172616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19</w:t>
            </w:r>
            <w:r w:rsidR="001D3CA2" w:rsidRPr="00AC57EA">
              <w:rPr>
                <w:noProof/>
                <w:webHidden/>
                <w:sz w:val="18"/>
                <w:szCs w:val="18"/>
                <w:lang w:val="en-US"/>
              </w:rPr>
              <w:fldChar w:fldCharType="end"/>
            </w:r>
          </w:hyperlink>
        </w:p>
        <w:p w14:paraId="7EE1E0D1" w14:textId="5AE9B882" w:rsidR="001D3CA2" w:rsidRPr="00AC57EA" w:rsidRDefault="00811011" w:rsidP="001D3CA2">
          <w:pPr>
            <w:pStyle w:val="TDC2"/>
            <w:jc w:val="both"/>
            <w:rPr>
              <w:rFonts w:eastAsiaTheme="minorEastAsia" w:cstheme="minorBidi"/>
              <w:noProof/>
              <w:sz w:val="18"/>
              <w:szCs w:val="18"/>
              <w:lang w:val="en-US"/>
            </w:rPr>
          </w:pPr>
          <w:hyperlink w:anchor="_Toc514172617" w:history="1">
            <w:r w:rsidR="001D3CA2" w:rsidRPr="00AC57EA">
              <w:rPr>
                <w:rStyle w:val="Hipervnculo"/>
                <w:rFonts w:eastAsia="MS Mincho"/>
                <w:b/>
                <w:bCs/>
                <w:i/>
                <w:noProof/>
                <w:sz w:val="18"/>
                <w:szCs w:val="18"/>
                <w:lang w:val="en-US"/>
              </w:rPr>
              <w:t>B.</w:t>
            </w:r>
            <w:r w:rsidR="001D3CA2" w:rsidRPr="00AC57EA">
              <w:rPr>
                <w:rFonts w:eastAsiaTheme="minorEastAsia" w:cstheme="minorBidi"/>
                <w:noProof/>
                <w:sz w:val="18"/>
                <w:szCs w:val="18"/>
                <w:lang w:val="en-US"/>
              </w:rPr>
              <w:tab/>
            </w:r>
            <w:r w:rsidR="001E3561" w:rsidRPr="00AC57EA">
              <w:rPr>
                <w:rStyle w:val="Hipervnculo"/>
                <w:rFonts w:eastAsia="MS Mincho"/>
                <w:b/>
                <w:bCs/>
                <w:i/>
                <w:noProof/>
                <w:sz w:val="18"/>
                <w:szCs w:val="18"/>
                <w:lang w:val="en-US"/>
              </w:rPr>
              <w:t>The events that occurred in</w:t>
            </w:r>
            <w:r w:rsidR="001D3CA2" w:rsidRPr="00AC57EA">
              <w:rPr>
                <w:rStyle w:val="Hipervnculo"/>
                <w:rFonts w:eastAsia="MS Mincho"/>
                <w:b/>
                <w:bCs/>
                <w:i/>
                <w:noProof/>
                <w:sz w:val="18"/>
                <w:szCs w:val="18"/>
                <w:lang w:val="en-US"/>
              </w:rPr>
              <w:t xml:space="preserve"> 2000</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_Toc514172617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20</w:t>
            </w:r>
            <w:r w:rsidR="001D3CA2" w:rsidRPr="00AC57EA">
              <w:rPr>
                <w:noProof/>
                <w:webHidden/>
                <w:sz w:val="18"/>
                <w:szCs w:val="18"/>
                <w:lang w:val="en-US"/>
              </w:rPr>
              <w:fldChar w:fldCharType="end"/>
            </w:r>
          </w:hyperlink>
        </w:p>
        <w:p w14:paraId="3A7AAF82" w14:textId="5075BD81" w:rsidR="001D3CA2" w:rsidRPr="00AC57EA" w:rsidRDefault="00811011" w:rsidP="001D3CA2">
          <w:pPr>
            <w:pStyle w:val="TDC2"/>
            <w:jc w:val="both"/>
            <w:rPr>
              <w:rFonts w:eastAsiaTheme="minorEastAsia" w:cstheme="minorBidi"/>
              <w:noProof/>
              <w:sz w:val="18"/>
              <w:szCs w:val="18"/>
              <w:lang w:val="en-US"/>
            </w:rPr>
          </w:pPr>
          <w:hyperlink w:anchor="_Toc514172618" w:history="1">
            <w:r w:rsidR="001D3CA2" w:rsidRPr="00AC57EA">
              <w:rPr>
                <w:rStyle w:val="Hipervnculo"/>
                <w:rFonts w:eastAsia="MS Mincho"/>
                <w:b/>
                <w:bCs/>
                <w:i/>
                <w:noProof/>
                <w:sz w:val="18"/>
                <w:szCs w:val="18"/>
                <w:lang w:val="en-US"/>
              </w:rPr>
              <w:t>C.</w:t>
            </w:r>
            <w:r w:rsidR="001D3CA2" w:rsidRPr="00AC57EA">
              <w:rPr>
                <w:rFonts w:eastAsiaTheme="minorEastAsia" w:cstheme="minorBidi"/>
                <w:noProof/>
                <w:sz w:val="18"/>
                <w:szCs w:val="18"/>
                <w:lang w:val="en-US"/>
              </w:rPr>
              <w:tab/>
            </w:r>
            <w:r w:rsidR="001E3561" w:rsidRPr="00AC57EA">
              <w:rPr>
                <w:rStyle w:val="Hipervnculo"/>
                <w:rFonts w:eastAsia="MS Mincho"/>
                <w:b/>
                <w:bCs/>
                <w:i/>
                <w:noProof/>
                <w:sz w:val="18"/>
                <w:szCs w:val="18"/>
                <w:lang w:val="en-US"/>
              </w:rPr>
              <w:t>The criminal complaint and the start of the investigation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_Toc514172618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20</w:t>
            </w:r>
            <w:r w:rsidR="001D3CA2" w:rsidRPr="00AC57EA">
              <w:rPr>
                <w:noProof/>
                <w:webHidden/>
                <w:sz w:val="18"/>
                <w:szCs w:val="18"/>
                <w:lang w:val="en-US"/>
              </w:rPr>
              <w:fldChar w:fldCharType="end"/>
            </w:r>
          </w:hyperlink>
        </w:p>
        <w:p w14:paraId="0FABD231" w14:textId="42539D25" w:rsidR="001D3CA2" w:rsidRPr="00AC57EA" w:rsidRDefault="00811011" w:rsidP="001D3CA2">
          <w:pPr>
            <w:pStyle w:val="TDC2"/>
            <w:jc w:val="both"/>
            <w:rPr>
              <w:rFonts w:eastAsiaTheme="minorEastAsia" w:cstheme="minorBidi"/>
              <w:noProof/>
              <w:sz w:val="18"/>
              <w:szCs w:val="18"/>
              <w:lang w:val="en-US"/>
            </w:rPr>
          </w:pPr>
          <w:hyperlink w:anchor="_Toc514172619" w:history="1">
            <w:r w:rsidR="001D3CA2" w:rsidRPr="00AC57EA">
              <w:rPr>
                <w:rStyle w:val="Hipervnculo"/>
                <w:rFonts w:eastAsia="MS Mincho"/>
                <w:b/>
                <w:bCs/>
                <w:i/>
                <w:noProof/>
                <w:sz w:val="18"/>
                <w:szCs w:val="18"/>
                <w:lang w:val="en-US"/>
              </w:rPr>
              <w:t>D.</w:t>
            </w:r>
            <w:r w:rsidR="001D3CA2" w:rsidRPr="00AC57EA">
              <w:rPr>
                <w:rFonts w:eastAsiaTheme="minorEastAsia" w:cstheme="minorBidi"/>
                <w:noProof/>
                <w:sz w:val="18"/>
                <w:szCs w:val="18"/>
                <w:lang w:val="en-US"/>
              </w:rPr>
              <w:tab/>
            </w:r>
            <w:r w:rsidR="00EB7A83" w:rsidRPr="00AC57EA">
              <w:rPr>
                <w:rStyle w:val="Hipervnculo"/>
                <w:rFonts w:eastAsia="MS Mincho"/>
                <w:b/>
                <w:bCs/>
                <w:i/>
                <w:noProof/>
                <w:sz w:val="18"/>
                <w:szCs w:val="18"/>
                <w:lang w:val="en-US"/>
              </w:rPr>
              <w:t>The evidentiary measures ordered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_Toc514172619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2</w:t>
            </w:r>
            <w:r w:rsidR="00D4020E" w:rsidRPr="00AC57EA">
              <w:rPr>
                <w:noProof/>
                <w:webHidden/>
                <w:sz w:val="18"/>
                <w:szCs w:val="18"/>
                <w:lang w:val="en-US"/>
              </w:rPr>
              <w:t>1</w:t>
            </w:r>
            <w:r w:rsidR="001D3CA2" w:rsidRPr="00AC57EA">
              <w:rPr>
                <w:noProof/>
                <w:webHidden/>
                <w:sz w:val="18"/>
                <w:szCs w:val="18"/>
                <w:lang w:val="en-US"/>
              </w:rPr>
              <w:fldChar w:fldCharType="end"/>
            </w:r>
          </w:hyperlink>
        </w:p>
        <w:p w14:paraId="4DAB4B9C" w14:textId="1D39B2FF" w:rsidR="001D3CA2" w:rsidRPr="00AC57EA" w:rsidRDefault="00811011" w:rsidP="001D3CA2">
          <w:pPr>
            <w:pStyle w:val="TDC2"/>
            <w:jc w:val="both"/>
            <w:rPr>
              <w:rFonts w:eastAsiaTheme="minorEastAsia" w:cstheme="minorBidi"/>
              <w:noProof/>
              <w:sz w:val="18"/>
              <w:szCs w:val="18"/>
              <w:lang w:val="en-US"/>
            </w:rPr>
          </w:pPr>
          <w:hyperlink w:anchor="_Toc514172620" w:history="1">
            <w:r w:rsidR="001D3CA2" w:rsidRPr="00AC57EA">
              <w:rPr>
                <w:rStyle w:val="Hipervnculo"/>
                <w:rFonts w:eastAsia="MS Mincho"/>
                <w:b/>
                <w:bCs/>
                <w:i/>
                <w:noProof/>
                <w:sz w:val="18"/>
                <w:szCs w:val="18"/>
                <w:lang w:val="en-US"/>
              </w:rPr>
              <w:t>E.</w:t>
            </w:r>
            <w:r w:rsidR="001D3CA2" w:rsidRPr="00AC57EA">
              <w:rPr>
                <w:rFonts w:eastAsiaTheme="minorEastAsia" w:cstheme="minorBidi"/>
                <w:noProof/>
                <w:sz w:val="18"/>
                <w:szCs w:val="18"/>
                <w:lang w:val="en-US"/>
              </w:rPr>
              <w:tab/>
            </w:r>
            <w:r w:rsidR="0035434D" w:rsidRPr="00AC57EA">
              <w:rPr>
                <w:rStyle w:val="Hipervnculo"/>
                <w:rFonts w:eastAsia="MS Mincho"/>
                <w:b/>
                <w:bCs/>
                <w:i/>
                <w:noProof/>
                <w:sz w:val="18"/>
                <w:szCs w:val="18"/>
                <w:lang w:val="en-US"/>
              </w:rPr>
              <w:t xml:space="preserve">The preventive </w:t>
            </w:r>
            <w:r w:rsidR="009E1B73" w:rsidRPr="00AC57EA">
              <w:rPr>
                <w:rStyle w:val="Hipervnculo"/>
                <w:rFonts w:eastAsia="MS Mincho"/>
                <w:b/>
                <w:bCs/>
                <w:i/>
                <w:noProof/>
                <w:sz w:val="18"/>
                <w:szCs w:val="18"/>
                <w:lang w:val="en-US"/>
              </w:rPr>
              <w:t>detention of the accused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_Toc514172620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2</w:t>
            </w:r>
            <w:r w:rsidR="00D4020E" w:rsidRPr="00AC57EA">
              <w:rPr>
                <w:noProof/>
                <w:webHidden/>
                <w:sz w:val="18"/>
                <w:szCs w:val="18"/>
                <w:lang w:val="en-US"/>
              </w:rPr>
              <w:t>5</w:t>
            </w:r>
            <w:r w:rsidR="001D3CA2" w:rsidRPr="00AC57EA">
              <w:rPr>
                <w:noProof/>
                <w:webHidden/>
                <w:sz w:val="18"/>
                <w:szCs w:val="18"/>
                <w:lang w:val="en-US"/>
              </w:rPr>
              <w:fldChar w:fldCharType="end"/>
            </w:r>
          </w:hyperlink>
        </w:p>
        <w:p w14:paraId="3F808726" w14:textId="63C0D12E" w:rsidR="001D3CA2" w:rsidRPr="00AC57EA" w:rsidRDefault="00811011" w:rsidP="001D3CA2">
          <w:pPr>
            <w:pStyle w:val="TDC2"/>
            <w:jc w:val="both"/>
            <w:rPr>
              <w:rFonts w:eastAsiaTheme="minorEastAsia" w:cstheme="minorBidi"/>
              <w:noProof/>
              <w:sz w:val="18"/>
              <w:szCs w:val="18"/>
              <w:lang w:val="en-US"/>
            </w:rPr>
          </w:pPr>
          <w:hyperlink w:anchor="_Toc514172621" w:history="1">
            <w:r w:rsidR="001D3CA2" w:rsidRPr="00AC57EA">
              <w:rPr>
                <w:rStyle w:val="Hipervnculo"/>
                <w:rFonts w:eastAsia="MS Mincho"/>
                <w:b/>
                <w:bCs/>
                <w:i/>
                <w:noProof/>
                <w:sz w:val="18"/>
                <w:szCs w:val="18"/>
                <w:lang w:val="en-US"/>
              </w:rPr>
              <w:t>F.</w:t>
            </w:r>
            <w:r w:rsidR="001D3CA2" w:rsidRPr="00AC57EA">
              <w:rPr>
                <w:rFonts w:eastAsiaTheme="minorEastAsia" w:cstheme="minorBidi"/>
                <w:noProof/>
                <w:sz w:val="18"/>
                <w:szCs w:val="18"/>
                <w:lang w:val="en-US"/>
              </w:rPr>
              <w:tab/>
            </w:r>
            <w:r w:rsidR="000C7467" w:rsidRPr="00AC57EA">
              <w:rPr>
                <w:rStyle w:val="Hipervnculo"/>
                <w:rFonts w:eastAsia="MS Mincho"/>
                <w:b/>
                <w:bCs/>
                <w:i/>
                <w:noProof/>
                <w:sz w:val="18"/>
                <w:szCs w:val="18"/>
                <w:lang w:val="en-US"/>
              </w:rPr>
              <w:t xml:space="preserve">The trial by jury court and </w:t>
            </w:r>
            <w:r w:rsidR="009E1B73" w:rsidRPr="00AC57EA">
              <w:rPr>
                <w:rStyle w:val="Hipervnculo"/>
                <w:rFonts w:eastAsia="MS Mincho"/>
                <w:b/>
                <w:bCs/>
                <w:i/>
                <w:noProof/>
                <w:sz w:val="18"/>
                <w:szCs w:val="18"/>
                <w:lang w:val="en-US"/>
              </w:rPr>
              <w:t>the acquittal of the accused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2</w:t>
            </w:r>
            <w:r w:rsidR="00D4020E" w:rsidRPr="00AC57EA">
              <w:rPr>
                <w:noProof/>
                <w:webHidden/>
                <w:sz w:val="18"/>
                <w:szCs w:val="18"/>
                <w:lang w:val="en-US"/>
              </w:rPr>
              <w:t>5</w:t>
            </w:r>
            <w:r w:rsidR="001D3CA2" w:rsidRPr="00AC57EA">
              <w:rPr>
                <w:noProof/>
                <w:webHidden/>
                <w:sz w:val="18"/>
                <w:szCs w:val="18"/>
                <w:lang w:val="en-US"/>
              </w:rPr>
              <w:fldChar w:fldCharType="end"/>
            </w:r>
          </w:hyperlink>
        </w:p>
        <w:p w14:paraId="40CD90BA" w14:textId="7DD69380" w:rsidR="001D3CA2" w:rsidRPr="00AC57EA" w:rsidRDefault="00811011" w:rsidP="001D3CA2">
          <w:pPr>
            <w:pStyle w:val="TDC2"/>
            <w:jc w:val="both"/>
            <w:rPr>
              <w:rFonts w:eastAsiaTheme="minorEastAsia" w:cstheme="minorBidi"/>
              <w:noProof/>
              <w:sz w:val="18"/>
              <w:szCs w:val="18"/>
              <w:lang w:val="en-US"/>
            </w:rPr>
          </w:pPr>
          <w:hyperlink w:anchor="_Toc514172622" w:history="1">
            <w:r w:rsidR="001D3CA2" w:rsidRPr="00AC57EA">
              <w:rPr>
                <w:rStyle w:val="Hipervnculo"/>
                <w:rFonts w:eastAsia="MS Mincho"/>
                <w:b/>
                <w:bCs/>
                <w:i/>
                <w:noProof/>
                <w:sz w:val="18"/>
                <w:szCs w:val="18"/>
                <w:lang w:val="en-US"/>
              </w:rPr>
              <w:t>G.</w:t>
            </w:r>
            <w:r w:rsidR="001D3CA2" w:rsidRPr="00AC57EA">
              <w:rPr>
                <w:rFonts w:eastAsiaTheme="minorEastAsia" w:cstheme="minorBidi"/>
                <w:noProof/>
                <w:sz w:val="18"/>
                <w:szCs w:val="18"/>
                <w:lang w:val="en-US"/>
              </w:rPr>
              <w:tab/>
            </w:r>
            <w:r w:rsidR="00CA0BBF" w:rsidRPr="00AC57EA">
              <w:rPr>
                <w:rStyle w:val="Hipervnculo"/>
                <w:rFonts w:eastAsia="MS Mincho"/>
                <w:b/>
                <w:bCs/>
                <w:i/>
                <w:noProof/>
                <w:sz w:val="18"/>
                <w:szCs w:val="18"/>
                <w:lang w:val="en-US"/>
              </w:rPr>
              <w:t>Continuation of the proceedings and confirmation of the acquittal</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2</w:t>
            </w:r>
            <w:r w:rsidR="00D4020E" w:rsidRPr="00AC57EA">
              <w:rPr>
                <w:noProof/>
                <w:webHidden/>
                <w:sz w:val="18"/>
                <w:szCs w:val="18"/>
                <w:lang w:val="en-US"/>
              </w:rPr>
              <w:t>7</w:t>
            </w:r>
            <w:r w:rsidR="001D3CA2" w:rsidRPr="00AC57EA">
              <w:rPr>
                <w:noProof/>
                <w:webHidden/>
                <w:sz w:val="18"/>
                <w:szCs w:val="18"/>
                <w:lang w:val="en-US"/>
              </w:rPr>
              <w:fldChar w:fldCharType="end"/>
            </w:r>
          </w:hyperlink>
        </w:p>
        <w:p w14:paraId="2935F3D5" w14:textId="20373CF4" w:rsidR="001D3CA2" w:rsidRPr="00AC57EA" w:rsidRDefault="00811011" w:rsidP="001D3CA2">
          <w:pPr>
            <w:pStyle w:val="TDC2"/>
            <w:jc w:val="both"/>
            <w:rPr>
              <w:rFonts w:eastAsiaTheme="minorEastAsia" w:cstheme="minorBidi"/>
              <w:noProof/>
              <w:sz w:val="18"/>
              <w:szCs w:val="18"/>
              <w:lang w:val="en-US"/>
            </w:rPr>
          </w:pPr>
          <w:hyperlink w:anchor="_Toc514172623" w:history="1">
            <w:r w:rsidR="001D3CA2" w:rsidRPr="00AC57EA">
              <w:rPr>
                <w:rStyle w:val="Hipervnculo"/>
                <w:rFonts w:eastAsia="MS Mincho"/>
                <w:b/>
                <w:bCs/>
                <w:i/>
                <w:noProof/>
                <w:sz w:val="18"/>
                <w:szCs w:val="18"/>
                <w:lang w:val="en-US"/>
              </w:rPr>
              <w:t>H.</w:t>
            </w:r>
            <w:r w:rsidR="001D3CA2" w:rsidRPr="00AC57EA">
              <w:rPr>
                <w:rFonts w:eastAsiaTheme="minorEastAsia" w:cstheme="minorBidi"/>
                <w:noProof/>
                <w:sz w:val="18"/>
                <w:szCs w:val="18"/>
                <w:lang w:val="en-US"/>
              </w:rPr>
              <w:tab/>
            </w:r>
            <w:r w:rsidR="00246365" w:rsidRPr="00AC57EA">
              <w:rPr>
                <w:rStyle w:val="Hipervnculo"/>
                <w:rFonts w:eastAsia="MS Mincho"/>
                <w:b/>
                <w:bCs/>
                <w:i/>
                <w:noProof/>
                <w:sz w:val="18"/>
                <w:szCs w:val="18"/>
                <w:lang w:val="en-US"/>
              </w:rPr>
              <w:t>Complaints filed by V.P.C. for irregularities in the investigation and the proceedings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3</w:t>
            </w:r>
            <w:r w:rsidR="00D4020E" w:rsidRPr="00AC57EA">
              <w:rPr>
                <w:noProof/>
                <w:webHidden/>
                <w:sz w:val="18"/>
                <w:szCs w:val="18"/>
                <w:lang w:val="en-US"/>
              </w:rPr>
              <w:t>2</w:t>
            </w:r>
            <w:r w:rsidR="001D3CA2" w:rsidRPr="00AC57EA">
              <w:rPr>
                <w:noProof/>
                <w:webHidden/>
                <w:sz w:val="18"/>
                <w:szCs w:val="18"/>
                <w:lang w:val="en-US"/>
              </w:rPr>
              <w:fldChar w:fldCharType="end"/>
            </w:r>
          </w:hyperlink>
        </w:p>
        <w:p w14:paraId="15D7F811" w14:textId="237F77A6" w:rsidR="001D3CA2" w:rsidRPr="00AC57EA" w:rsidRDefault="00811011" w:rsidP="001D3CA2">
          <w:pPr>
            <w:pStyle w:val="TDC2"/>
            <w:jc w:val="both"/>
            <w:rPr>
              <w:rFonts w:eastAsiaTheme="minorEastAsia" w:cstheme="minorBidi"/>
              <w:noProof/>
              <w:sz w:val="18"/>
              <w:szCs w:val="18"/>
              <w:lang w:val="en-US"/>
            </w:rPr>
          </w:pPr>
          <w:hyperlink w:anchor="_Toc514172624" w:history="1">
            <w:r w:rsidR="001D3CA2" w:rsidRPr="00AC57EA">
              <w:rPr>
                <w:rStyle w:val="Hipervnculo"/>
                <w:rFonts w:eastAsia="MS Mincho"/>
                <w:b/>
                <w:bCs/>
                <w:i/>
                <w:noProof/>
                <w:sz w:val="18"/>
                <w:szCs w:val="18"/>
                <w:lang w:val="en-US"/>
              </w:rPr>
              <w:t>I.</w:t>
            </w:r>
            <w:r w:rsidR="001D3CA2" w:rsidRPr="00AC57EA">
              <w:rPr>
                <w:rFonts w:eastAsiaTheme="minorEastAsia" w:cstheme="minorBidi"/>
                <w:noProof/>
                <w:sz w:val="18"/>
                <w:szCs w:val="18"/>
                <w:lang w:val="en-US"/>
              </w:rPr>
              <w:tab/>
            </w:r>
            <w:r w:rsidR="0045213C" w:rsidRPr="00AC57EA">
              <w:rPr>
                <w:rStyle w:val="Hipervnculo"/>
                <w:rFonts w:eastAsia="MS Mincho"/>
                <w:b/>
                <w:bCs/>
                <w:i/>
                <w:noProof/>
                <w:sz w:val="18"/>
                <w:szCs w:val="18"/>
                <w:lang w:val="en-US"/>
              </w:rPr>
              <w:t>Legal actions filed against V.P.C. and her family members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3</w:t>
            </w:r>
            <w:r w:rsidR="00D4020E" w:rsidRPr="00AC57EA">
              <w:rPr>
                <w:noProof/>
                <w:webHidden/>
                <w:sz w:val="18"/>
                <w:szCs w:val="18"/>
                <w:lang w:val="en-US"/>
              </w:rPr>
              <w:t>4</w:t>
            </w:r>
            <w:r w:rsidR="001D3CA2" w:rsidRPr="00AC57EA">
              <w:rPr>
                <w:noProof/>
                <w:webHidden/>
                <w:sz w:val="18"/>
                <w:szCs w:val="18"/>
                <w:lang w:val="en-US"/>
              </w:rPr>
              <w:fldChar w:fldCharType="end"/>
            </w:r>
          </w:hyperlink>
        </w:p>
        <w:p w14:paraId="195454CF" w14:textId="51E2B12E" w:rsidR="001D3CA2" w:rsidRPr="00AC57EA" w:rsidRDefault="00811011" w:rsidP="001D3CA2">
          <w:pPr>
            <w:pStyle w:val="TDC2"/>
            <w:jc w:val="both"/>
            <w:rPr>
              <w:rFonts w:eastAsiaTheme="minorEastAsia" w:cstheme="minorBidi"/>
              <w:noProof/>
              <w:sz w:val="18"/>
              <w:szCs w:val="18"/>
              <w:lang w:val="en-US"/>
            </w:rPr>
          </w:pPr>
          <w:hyperlink w:anchor="_Toc514172625" w:history="1">
            <w:r w:rsidR="001D3CA2" w:rsidRPr="00AC57EA">
              <w:rPr>
                <w:rStyle w:val="Hipervnculo"/>
                <w:rFonts w:eastAsia="MS Mincho"/>
                <w:b/>
                <w:bCs/>
                <w:i/>
                <w:noProof/>
                <w:sz w:val="18"/>
                <w:szCs w:val="18"/>
                <w:lang w:val="en-US"/>
              </w:rPr>
              <w:t>J.</w:t>
            </w:r>
            <w:r w:rsidR="001D3CA2" w:rsidRPr="00AC57EA">
              <w:rPr>
                <w:rFonts w:eastAsiaTheme="minorEastAsia" w:cstheme="minorBidi"/>
                <w:noProof/>
                <w:sz w:val="18"/>
                <w:szCs w:val="18"/>
                <w:lang w:val="en-US"/>
              </w:rPr>
              <w:tab/>
            </w:r>
            <w:r w:rsidR="00A0286E" w:rsidRPr="00AC57EA">
              <w:rPr>
                <w:rStyle w:val="Hipervnculo"/>
                <w:rFonts w:eastAsia="MS Mincho"/>
                <w:b/>
                <w:bCs/>
                <w:i/>
                <w:noProof/>
                <w:sz w:val="18"/>
                <w:szCs w:val="18"/>
                <w:lang w:val="en-US"/>
              </w:rPr>
              <w:t>V.P.C. and her daughters leave for the United States of America</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_Toc514172625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3</w:t>
            </w:r>
            <w:r w:rsidR="00D4020E" w:rsidRPr="00AC57EA">
              <w:rPr>
                <w:noProof/>
                <w:webHidden/>
                <w:sz w:val="18"/>
                <w:szCs w:val="18"/>
                <w:lang w:val="en-US"/>
              </w:rPr>
              <w:t>5</w:t>
            </w:r>
            <w:r w:rsidR="001D3CA2" w:rsidRPr="00AC57EA">
              <w:rPr>
                <w:noProof/>
                <w:webHidden/>
                <w:sz w:val="18"/>
                <w:szCs w:val="18"/>
                <w:lang w:val="en-US"/>
              </w:rPr>
              <w:fldChar w:fldCharType="end"/>
            </w:r>
          </w:hyperlink>
        </w:p>
        <w:p w14:paraId="53463841" w14:textId="1687EDC2"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26" w:history="1">
            <w:r w:rsidR="001D3CA2" w:rsidRPr="00AC57EA">
              <w:rPr>
                <w:rStyle w:val="Hipervnculo"/>
                <w:rFonts w:cs="Verdana"/>
                <w:b/>
                <w:bCs/>
                <w:caps/>
                <w:noProof/>
                <w:snapToGrid w:val="0"/>
                <w:sz w:val="18"/>
                <w:szCs w:val="18"/>
                <w:lang w:val="en-US"/>
              </w:rPr>
              <w:t xml:space="preserve">vIii </w:t>
            </w:r>
            <w:r w:rsidR="00B65C64" w:rsidRPr="00AC57EA">
              <w:rPr>
                <w:rStyle w:val="Hipervnculo"/>
                <w:rFonts w:cs="Verdana"/>
                <w:b/>
                <w:bCs/>
                <w:caps/>
                <w:noProof/>
                <w:snapToGrid w:val="0"/>
                <w:sz w:val="18"/>
                <w:szCs w:val="18"/>
                <w:lang w:val="en-US"/>
              </w:rPr>
              <w:t>MERITS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_Toc514172626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3</w:t>
            </w:r>
            <w:r w:rsidR="00D4020E" w:rsidRPr="00AC57EA">
              <w:rPr>
                <w:noProof/>
                <w:webHidden/>
                <w:sz w:val="18"/>
                <w:szCs w:val="18"/>
                <w:lang w:val="en-US"/>
              </w:rPr>
              <w:t>5</w:t>
            </w:r>
            <w:r w:rsidR="001D3CA2" w:rsidRPr="00AC57EA">
              <w:rPr>
                <w:noProof/>
                <w:webHidden/>
                <w:sz w:val="18"/>
                <w:szCs w:val="18"/>
                <w:lang w:val="en-US"/>
              </w:rPr>
              <w:fldChar w:fldCharType="end"/>
            </w:r>
          </w:hyperlink>
        </w:p>
        <w:p w14:paraId="47E8F226" w14:textId="0D78AF59"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27" w:history="1">
            <w:r w:rsidR="001D3CA2" w:rsidRPr="00AC57EA">
              <w:rPr>
                <w:rStyle w:val="Hipervnculo"/>
                <w:rFonts w:cs="Arial"/>
                <w:b/>
                <w:bCs/>
                <w:caps/>
                <w:noProof/>
                <w:kern w:val="2"/>
                <w:sz w:val="18"/>
                <w:szCs w:val="18"/>
                <w:lang w:val="en-US" w:eastAsia="en-US"/>
              </w:rPr>
              <w:t xml:space="preserve">VIII-1 </w:t>
            </w:r>
            <w:r w:rsidR="00B65C64" w:rsidRPr="00AC57EA">
              <w:rPr>
                <w:rStyle w:val="Hipervnculo"/>
                <w:rFonts w:cs="Arial"/>
                <w:b/>
                <w:bCs/>
                <w:caps/>
                <w:noProof/>
                <w:kern w:val="2"/>
                <w:sz w:val="18"/>
                <w:szCs w:val="18"/>
                <w:lang w:val="en-US" w:eastAsia="en-US"/>
              </w:rPr>
              <w:t>RIGHTS TO PERSONAL INTEGRITY,</w:t>
            </w:r>
            <w:r w:rsidR="001D3CA2" w:rsidRPr="00AC57EA">
              <w:rPr>
                <w:rStyle w:val="Hipervnculo"/>
                <w:rFonts w:cs="Arial"/>
                <w:b/>
                <w:bCs/>
                <w:caps/>
                <w:noProof/>
                <w:kern w:val="2"/>
                <w:sz w:val="18"/>
                <w:szCs w:val="18"/>
                <w:lang w:val="en-US" w:eastAsia="en-US"/>
              </w:rPr>
              <w:t xml:space="preserve"> </w:t>
            </w:r>
            <w:r w:rsidR="00B65C64" w:rsidRPr="00AC57EA">
              <w:rPr>
                <w:rStyle w:val="Hipervnculo"/>
                <w:rFonts w:cs="Arial"/>
                <w:b/>
                <w:bCs/>
                <w:caps/>
                <w:noProof/>
                <w:kern w:val="2"/>
                <w:sz w:val="18"/>
                <w:szCs w:val="18"/>
                <w:lang w:val="en-US" w:eastAsia="en-US"/>
              </w:rPr>
              <w:t>PRIVATE AND FAMILY LIFE,</w:t>
            </w:r>
            <w:r w:rsidR="001D3CA2" w:rsidRPr="00AC57EA">
              <w:rPr>
                <w:rStyle w:val="Hipervnculo"/>
                <w:rFonts w:cs="Arial"/>
                <w:b/>
                <w:bCs/>
                <w:caps/>
                <w:noProof/>
                <w:kern w:val="2"/>
                <w:sz w:val="18"/>
                <w:szCs w:val="18"/>
                <w:lang w:val="en-US" w:eastAsia="en-US"/>
              </w:rPr>
              <w:t xml:space="preserve"> </w:t>
            </w:r>
            <w:r w:rsidR="00B65C64" w:rsidRPr="00AC57EA">
              <w:rPr>
                <w:rStyle w:val="Hipervnculo"/>
                <w:rFonts w:cs="Arial"/>
                <w:b/>
                <w:bCs/>
                <w:caps/>
                <w:noProof/>
                <w:kern w:val="2"/>
                <w:sz w:val="18"/>
                <w:szCs w:val="18"/>
                <w:lang w:val="en-US" w:eastAsia="en-US"/>
              </w:rPr>
              <w:t>RIGHTS OF THE CHILD,</w:t>
            </w:r>
            <w:r w:rsidR="001D3CA2" w:rsidRPr="00AC57EA">
              <w:rPr>
                <w:rStyle w:val="Hipervnculo"/>
                <w:rFonts w:cs="Arial"/>
                <w:b/>
                <w:bCs/>
                <w:caps/>
                <w:noProof/>
                <w:kern w:val="2"/>
                <w:sz w:val="18"/>
                <w:szCs w:val="18"/>
                <w:lang w:val="en-US" w:eastAsia="en-US"/>
              </w:rPr>
              <w:t xml:space="preserve"> </w:t>
            </w:r>
            <w:r w:rsidR="00B65C64" w:rsidRPr="00AC57EA">
              <w:rPr>
                <w:rStyle w:val="Hipervnculo"/>
                <w:rFonts w:cs="Arial"/>
                <w:b/>
                <w:bCs/>
                <w:caps/>
                <w:noProof/>
                <w:kern w:val="2"/>
                <w:sz w:val="18"/>
                <w:szCs w:val="18"/>
                <w:lang w:val="en-US" w:eastAsia="en-US"/>
              </w:rPr>
              <w:t>EQUALITY BEFORE THE LAW</w:t>
            </w:r>
            <w:r w:rsidR="001D3CA2" w:rsidRPr="00AC57EA">
              <w:rPr>
                <w:rStyle w:val="Hipervnculo"/>
                <w:rFonts w:cs="Arial"/>
                <w:b/>
                <w:bCs/>
                <w:caps/>
                <w:noProof/>
                <w:kern w:val="2"/>
                <w:sz w:val="18"/>
                <w:szCs w:val="18"/>
                <w:lang w:val="en-US" w:eastAsia="en-US"/>
              </w:rPr>
              <w:t xml:space="preserve">, </w:t>
            </w:r>
            <w:r w:rsidR="00B65C64" w:rsidRPr="00AC57EA">
              <w:rPr>
                <w:rStyle w:val="Hipervnculo"/>
                <w:rFonts w:cs="Verdana"/>
                <w:b/>
                <w:bCs/>
                <w:caps/>
                <w:noProof/>
                <w:snapToGrid w:val="0"/>
                <w:sz w:val="18"/>
                <w:szCs w:val="18"/>
                <w:lang w:val="en-US"/>
              </w:rPr>
              <w:t>JUDICIAL GUARANTEES</w:t>
            </w:r>
            <w:r w:rsidR="001D3CA2" w:rsidRPr="00AC57EA">
              <w:rPr>
                <w:rStyle w:val="Hipervnculo"/>
                <w:rFonts w:cs="Verdana"/>
                <w:b/>
                <w:bCs/>
                <w:caps/>
                <w:noProof/>
                <w:snapToGrid w:val="0"/>
                <w:sz w:val="18"/>
                <w:szCs w:val="18"/>
                <w:lang w:val="en-US"/>
              </w:rPr>
              <w:t xml:space="preserve"> </w:t>
            </w:r>
            <w:r w:rsidR="00B65C64" w:rsidRPr="00AC57EA">
              <w:rPr>
                <w:rStyle w:val="Hipervnculo"/>
                <w:rFonts w:cs="Verdana"/>
                <w:b/>
                <w:bCs/>
                <w:caps/>
                <w:noProof/>
                <w:snapToGrid w:val="0"/>
                <w:sz w:val="18"/>
                <w:szCs w:val="18"/>
                <w:lang w:val="en-US"/>
              </w:rPr>
              <w:t>AND JUDICIAL PROTECTION</w:t>
            </w:r>
            <w:r w:rsidR="001D3CA2" w:rsidRPr="00AC57EA">
              <w:rPr>
                <w:rStyle w:val="Hipervnculo"/>
                <w:rFonts w:cs="Verdana"/>
                <w:b/>
                <w:bCs/>
                <w:caps/>
                <w:noProof/>
                <w:snapToGrid w:val="0"/>
                <w:sz w:val="18"/>
                <w:szCs w:val="18"/>
                <w:lang w:val="en-US"/>
              </w:rPr>
              <w:t xml:space="preserve">, </w:t>
            </w:r>
            <w:r w:rsidR="00B65C64" w:rsidRPr="00AC57EA">
              <w:rPr>
                <w:rStyle w:val="Hipervnculo"/>
                <w:rFonts w:cs="Verdana"/>
                <w:b/>
                <w:bCs/>
                <w:caps/>
                <w:noProof/>
                <w:snapToGrid w:val="0"/>
                <w:sz w:val="18"/>
                <w:szCs w:val="18"/>
                <w:lang w:val="en-US"/>
              </w:rPr>
              <w:t>IN RELATION TO THE OBLIGATION TO RESPECT AND TO ENSURE RIGHTS</w:t>
            </w:r>
            <w:r w:rsidR="00171E27" w:rsidRPr="00AC57EA">
              <w:rPr>
                <w:rStyle w:val="Hipervnculo"/>
                <w:rFonts w:cs="Verdana"/>
                <w:b/>
                <w:bCs/>
                <w:caps/>
                <w:noProof/>
                <w:snapToGrid w:val="0"/>
                <w:sz w:val="18"/>
                <w:szCs w:val="18"/>
                <w:lang w:val="en-US"/>
              </w:rPr>
              <w:t xml:space="preserve"> </w:t>
            </w:r>
            <w:r w:rsidR="00B65C64" w:rsidRPr="00AC57EA">
              <w:rPr>
                <w:rStyle w:val="Hipervnculo"/>
                <w:rFonts w:cs="Verdana"/>
                <w:b/>
                <w:bCs/>
                <w:caps/>
                <w:noProof/>
                <w:snapToGrid w:val="0"/>
                <w:sz w:val="18"/>
                <w:szCs w:val="18"/>
                <w:lang w:val="en-US"/>
              </w:rPr>
              <w:t xml:space="preserve">AND </w:t>
            </w:r>
            <w:r w:rsidR="00597F82" w:rsidRPr="00AC57EA">
              <w:rPr>
                <w:rStyle w:val="Hipervnculo"/>
                <w:rFonts w:cs="Verdana"/>
                <w:b/>
                <w:bCs/>
                <w:caps/>
                <w:noProof/>
                <w:snapToGrid w:val="0"/>
                <w:sz w:val="18"/>
                <w:szCs w:val="18"/>
                <w:lang w:val="en-US"/>
              </w:rPr>
              <w:t>NOT TO DISCRIMINATE</w:t>
            </w:r>
            <w:r w:rsidR="001D3CA2" w:rsidRPr="00AC57EA">
              <w:rPr>
                <w:rStyle w:val="Hipervnculo"/>
                <w:rFonts w:cs="Arial"/>
                <w:b/>
                <w:bCs/>
                <w:caps/>
                <w:noProof/>
                <w:kern w:val="2"/>
                <w:sz w:val="18"/>
                <w:szCs w:val="18"/>
                <w:lang w:val="en-US" w:eastAsia="en-US"/>
              </w:rPr>
              <w:t xml:space="preserve">, </w:t>
            </w:r>
            <w:r w:rsidR="00B65C64" w:rsidRPr="00AC57EA">
              <w:rPr>
                <w:rStyle w:val="Hipervnculo"/>
                <w:rFonts w:cs="Arial"/>
                <w:b/>
                <w:bCs/>
                <w:caps/>
                <w:noProof/>
                <w:kern w:val="2"/>
                <w:sz w:val="18"/>
                <w:szCs w:val="18"/>
                <w:lang w:val="en-US" w:eastAsia="en-US"/>
              </w:rPr>
              <w:t>AN</w:t>
            </w:r>
            <w:r w:rsidR="009E1B73" w:rsidRPr="00AC57EA">
              <w:rPr>
                <w:rStyle w:val="Hipervnculo"/>
                <w:rFonts w:cs="Arial"/>
                <w:b/>
                <w:bCs/>
                <w:caps/>
                <w:noProof/>
                <w:kern w:val="2"/>
                <w:sz w:val="18"/>
                <w:szCs w:val="18"/>
                <w:lang w:val="en-US" w:eastAsia="en-US"/>
              </w:rPr>
              <w:t>D</w:t>
            </w:r>
            <w:r w:rsidR="00B65C64" w:rsidRPr="00AC57EA">
              <w:rPr>
                <w:rStyle w:val="Hipervnculo"/>
                <w:rFonts w:cs="Arial"/>
                <w:b/>
                <w:bCs/>
                <w:caps/>
                <w:noProof/>
                <w:kern w:val="2"/>
                <w:sz w:val="18"/>
                <w:szCs w:val="18"/>
                <w:lang w:val="en-US" w:eastAsia="en-US"/>
              </w:rPr>
              <w:t xml:space="preserve"> ALSO TO ARTICLE</w:t>
            </w:r>
            <w:r w:rsidR="001D3CA2" w:rsidRPr="00AC57EA">
              <w:rPr>
                <w:rStyle w:val="Hipervnculo"/>
                <w:rFonts w:cs="Arial"/>
                <w:b/>
                <w:bCs/>
                <w:caps/>
                <w:noProof/>
                <w:kern w:val="2"/>
                <w:sz w:val="18"/>
                <w:szCs w:val="18"/>
                <w:lang w:val="en-US" w:eastAsia="en-US"/>
              </w:rPr>
              <w:t xml:space="preserve"> 7</w:t>
            </w:r>
            <w:r w:rsidR="001120B6" w:rsidRPr="00AC57EA">
              <w:rPr>
                <w:rStyle w:val="Hipervnculo"/>
                <w:rFonts w:cs="Arial"/>
                <w:b/>
                <w:bCs/>
                <w:caps/>
                <w:noProof/>
                <w:kern w:val="2"/>
                <w:sz w:val="18"/>
                <w:szCs w:val="18"/>
                <w:lang w:val="en-US" w:eastAsia="en-US"/>
              </w:rPr>
              <w:t>(</w:t>
            </w:r>
            <w:r w:rsidR="001D3CA2" w:rsidRPr="00AC57EA">
              <w:rPr>
                <w:rStyle w:val="Hipervnculo"/>
                <w:rFonts w:cs="Arial"/>
                <w:b/>
                <w:bCs/>
                <w:caps/>
                <w:noProof/>
                <w:kern w:val="2"/>
                <w:sz w:val="18"/>
                <w:szCs w:val="18"/>
                <w:lang w:val="en-US" w:eastAsia="en-US"/>
              </w:rPr>
              <w:t>B)</w:t>
            </w:r>
            <w:r w:rsidR="00B7258C" w:rsidRPr="00AC57EA">
              <w:rPr>
                <w:rStyle w:val="Hipervnculo"/>
                <w:rFonts w:cs="Arial"/>
                <w:b/>
                <w:bCs/>
                <w:caps/>
                <w:noProof/>
                <w:kern w:val="2"/>
                <w:sz w:val="18"/>
                <w:szCs w:val="18"/>
                <w:lang w:val="en-US" w:eastAsia="en-US"/>
              </w:rPr>
              <w:t xml:space="preserve"> of the </w:t>
            </w:r>
            <w:r w:rsidR="00171E27" w:rsidRPr="00AC57EA">
              <w:rPr>
                <w:rStyle w:val="Hipervnculo"/>
                <w:rFonts w:cs="Arial"/>
                <w:b/>
                <w:bCs/>
                <w:caps/>
                <w:noProof/>
                <w:kern w:val="2"/>
                <w:sz w:val="18"/>
                <w:szCs w:val="18"/>
                <w:lang w:val="en-US" w:eastAsia="en-US"/>
              </w:rPr>
              <w:t>Convention of Belém</w:t>
            </w:r>
            <w:r w:rsidR="001D3CA2" w:rsidRPr="00AC57EA">
              <w:rPr>
                <w:rStyle w:val="Hipervnculo"/>
                <w:rFonts w:cs="Arial"/>
                <w:b/>
                <w:bCs/>
                <w:caps/>
                <w:noProof/>
                <w:kern w:val="2"/>
                <w:sz w:val="18"/>
                <w:szCs w:val="18"/>
                <w:lang w:val="en-US" w:eastAsia="en-US"/>
              </w:rPr>
              <w:t xml:space="preserve"> do pará</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_Toc514172627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3</w:t>
            </w:r>
            <w:r w:rsidR="00D4020E" w:rsidRPr="00AC57EA">
              <w:rPr>
                <w:noProof/>
                <w:webHidden/>
                <w:sz w:val="18"/>
                <w:szCs w:val="18"/>
                <w:lang w:val="en-US"/>
              </w:rPr>
              <w:t>6</w:t>
            </w:r>
            <w:r w:rsidR="001D3CA2" w:rsidRPr="00AC57EA">
              <w:rPr>
                <w:noProof/>
                <w:webHidden/>
                <w:sz w:val="18"/>
                <w:szCs w:val="18"/>
                <w:lang w:val="en-US"/>
              </w:rPr>
              <w:fldChar w:fldCharType="end"/>
            </w:r>
          </w:hyperlink>
        </w:p>
        <w:p w14:paraId="4E9E8228" w14:textId="0F5E7DB4" w:rsidR="001D3CA2" w:rsidRPr="00AC57EA" w:rsidRDefault="00811011" w:rsidP="001D3CA2">
          <w:pPr>
            <w:pStyle w:val="TDC2"/>
            <w:jc w:val="both"/>
            <w:rPr>
              <w:rFonts w:eastAsiaTheme="minorEastAsia" w:cstheme="minorBidi"/>
              <w:noProof/>
              <w:sz w:val="18"/>
              <w:szCs w:val="18"/>
              <w:lang w:val="en-US"/>
            </w:rPr>
          </w:pPr>
          <w:hyperlink w:anchor="_Toc514172628" w:history="1">
            <w:r w:rsidR="001D3CA2" w:rsidRPr="00AC57EA">
              <w:rPr>
                <w:rStyle w:val="Hipervnculo"/>
                <w:rFonts w:eastAsia="MS Mincho" w:cs="Arial"/>
                <w:b/>
                <w:bCs/>
                <w:i/>
                <w:noProof/>
                <w:kern w:val="2"/>
                <w:sz w:val="18"/>
                <w:szCs w:val="18"/>
                <w:lang w:val="en-US" w:eastAsia="en-US"/>
              </w:rPr>
              <w:t>A.</w:t>
            </w:r>
            <w:r w:rsidR="001D3CA2" w:rsidRPr="00AC57EA">
              <w:rPr>
                <w:rFonts w:eastAsiaTheme="minorEastAsia" w:cstheme="minorBidi"/>
                <w:noProof/>
                <w:sz w:val="18"/>
                <w:szCs w:val="18"/>
                <w:lang w:val="en-US"/>
              </w:rPr>
              <w:tab/>
            </w:r>
            <w:r w:rsidR="00994884" w:rsidRPr="00AC57EA">
              <w:rPr>
                <w:rStyle w:val="Hipervnculo"/>
                <w:rFonts w:eastAsia="MS Mincho" w:cs="Arial"/>
                <w:b/>
                <w:bCs/>
                <w:i/>
                <w:noProof/>
                <w:kern w:val="2"/>
                <w:sz w:val="18"/>
                <w:szCs w:val="18"/>
                <w:lang w:val="en-US" w:eastAsia="en-US"/>
              </w:rPr>
              <w:t>Enhanced due diligence</w:t>
            </w:r>
            <w:r w:rsidR="001120B6" w:rsidRPr="00AC57EA">
              <w:rPr>
                <w:rStyle w:val="Hipervnculo"/>
                <w:rFonts w:eastAsia="MS Mincho" w:cs="Arial"/>
                <w:b/>
                <w:bCs/>
                <w:i/>
                <w:noProof/>
                <w:kern w:val="2"/>
                <w:sz w:val="18"/>
                <w:szCs w:val="18"/>
                <w:lang w:val="en-US" w:eastAsia="en-US"/>
              </w:rPr>
              <w:t xml:space="preserve"> and special protection in investigations and criminal proceedings concerning sexual violence</w:t>
            </w:r>
            <w:r w:rsidR="001D3CA2" w:rsidRPr="00AC57EA">
              <w:rPr>
                <w:rStyle w:val="Hipervnculo"/>
                <w:rFonts w:eastAsia="MS Mincho" w:cs="Arial"/>
                <w:b/>
                <w:bCs/>
                <w:i/>
                <w:noProof/>
                <w:kern w:val="2"/>
                <w:sz w:val="18"/>
                <w:szCs w:val="18"/>
                <w:lang w:val="en-US" w:eastAsia="en-US"/>
              </w:rPr>
              <w:t xml:space="preserve"> </w:t>
            </w:r>
            <w:r w:rsidR="001120B6" w:rsidRPr="00AC57EA">
              <w:rPr>
                <w:rStyle w:val="Hipervnculo"/>
                <w:rFonts w:eastAsia="MS Mincho" w:cs="Arial"/>
                <w:b/>
                <w:bCs/>
                <w:i/>
                <w:noProof/>
                <w:kern w:val="2"/>
                <w:sz w:val="18"/>
                <w:szCs w:val="18"/>
                <w:lang w:val="en-US" w:eastAsia="en-US"/>
              </w:rPr>
              <w:t>against children and adolescents and the duty of non-revictimization</w:t>
            </w:r>
            <w:r w:rsidR="001D3CA2" w:rsidRPr="00AC57EA">
              <w:rPr>
                <w:noProof/>
                <w:webHidden/>
                <w:sz w:val="18"/>
                <w:szCs w:val="18"/>
                <w:lang w:val="en-US"/>
              </w:rPr>
              <w:tab/>
            </w:r>
            <w:r w:rsidR="009E1B73" w:rsidRPr="00AC57EA">
              <w:rPr>
                <w:noProof/>
                <w:webHidden/>
                <w:sz w:val="18"/>
                <w:szCs w:val="18"/>
                <w:lang w:val="en-US"/>
              </w:rPr>
              <w:tab/>
            </w:r>
            <w:r w:rsidR="009E1B73"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_Toc514172628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3</w:t>
            </w:r>
            <w:r w:rsidR="00D4020E" w:rsidRPr="00AC57EA">
              <w:rPr>
                <w:noProof/>
                <w:webHidden/>
                <w:sz w:val="18"/>
                <w:szCs w:val="18"/>
                <w:lang w:val="en-US"/>
              </w:rPr>
              <w:t>7</w:t>
            </w:r>
            <w:r w:rsidR="001D3CA2" w:rsidRPr="00AC57EA">
              <w:rPr>
                <w:noProof/>
                <w:webHidden/>
                <w:sz w:val="18"/>
                <w:szCs w:val="18"/>
                <w:lang w:val="en-US"/>
              </w:rPr>
              <w:fldChar w:fldCharType="end"/>
            </w:r>
          </w:hyperlink>
        </w:p>
        <w:p w14:paraId="31F41704" w14:textId="70D28BC0" w:rsidR="001D3CA2" w:rsidRPr="00AC57EA" w:rsidRDefault="00811011" w:rsidP="001D3CA2">
          <w:pPr>
            <w:pStyle w:val="TDC2"/>
            <w:jc w:val="both"/>
            <w:rPr>
              <w:rFonts w:eastAsiaTheme="minorEastAsia" w:cstheme="minorBidi"/>
              <w:noProof/>
              <w:sz w:val="18"/>
              <w:szCs w:val="18"/>
              <w:lang w:val="en-US"/>
            </w:rPr>
          </w:pPr>
          <w:hyperlink w:anchor="_Toc514172629" w:history="1">
            <w:r w:rsidR="001D3CA2" w:rsidRPr="00AC57EA">
              <w:rPr>
                <w:rStyle w:val="Hipervnculo"/>
                <w:i/>
                <w:noProof/>
                <w:sz w:val="18"/>
                <w:szCs w:val="18"/>
                <w:lang w:val="en-US"/>
              </w:rPr>
              <w:t>A.1</w:t>
            </w:r>
            <w:r w:rsidR="001D3CA2" w:rsidRPr="00AC57EA">
              <w:rPr>
                <w:rFonts w:eastAsiaTheme="minorEastAsia" w:cstheme="minorBidi"/>
                <w:noProof/>
                <w:sz w:val="18"/>
                <w:szCs w:val="18"/>
                <w:lang w:val="en-US"/>
              </w:rPr>
              <w:tab/>
            </w:r>
            <w:r w:rsidR="001120B6" w:rsidRPr="00AC57EA">
              <w:rPr>
                <w:rStyle w:val="Hipervnculo"/>
                <w:i/>
                <w:noProof/>
                <w:sz w:val="18"/>
                <w:szCs w:val="18"/>
                <w:lang w:val="en-US"/>
              </w:rPr>
              <w:t>Arguments of the parties</w:t>
            </w:r>
            <w:r w:rsidR="00171E27" w:rsidRPr="00AC57EA">
              <w:rPr>
                <w:rStyle w:val="Hipervnculo"/>
                <w:i/>
                <w:noProof/>
                <w:sz w:val="18"/>
                <w:szCs w:val="18"/>
                <w:lang w:val="en-US"/>
              </w:rPr>
              <w:t xml:space="preserve"> and </w:t>
            </w:r>
            <w:r w:rsidR="00B7258C" w:rsidRPr="00AC57EA">
              <w:rPr>
                <w:rStyle w:val="Hipervnculo"/>
                <w:i/>
                <w:noProof/>
                <w:sz w:val="18"/>
                <w:szCs w:val="18"/>
                <w:lang w:val="en-US"/>
              </w:rPr>
              <w:t>of the Commission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_Toc514172629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3</w:t>
            </w:r>
            <w:r w:rsidR="00D4020E" w:rsidRPr="00AC57EA">
              <w:rPr>
                <w:noProof/>
                <w:webHidden/>
                <w:sz w:val="18"/>
                <w:szCs w:val="18"/>
                <w:lang w:val="en-US"/>
              </w:rPr>
              <w:t>7</w:t>
            </w:r>
            <w:r w:rsidR="001D3CA2" w:rsidRPr="00AC57EA">
              <w:rPr>
                <w:noProof/>
                <w:webHidden/>
                <w:sz w:val="18"/>
                <w:szCs w:val="18"/>
                <w:lang w:val="en-US"/>
              </w:rPr>
              <w:fldChar w:fldCharType="end"/>
            </w:r>
          </w:hyperlink>
        </w:p>
        <w:p w14:paraId="7C23D029" w14:textId="675098F9" w:rsidR="001D3CA2" w:rsidRPr="00AC57EA" w:rsidRDefault="00811011" w:rsidP="001D3CA2">
          <w:pPr>
            <w:pStyle w:val="TDC2"/>
            <w:jc w:val="both"/>
            <w:rPr>
              <w:rFonts w:eastAsiaTheme="minorEastAsia" w:cstheme="minorBidi"/>
              <w:noProof/>
              <w:sz w:val="18"/>
              <w:szCs w:val="18"/>
              <w:lang w:val="en-US"/>
            </w:rPr>
          </w:pPr>
          <w:hyperlink w:anchor="_Toc514172630" w:history="1">
            <w:r w:rsidR="001D3CA2" w:rsidRPr="00AC57EA">
              <w:rPr>
                <w:rStyle w:val="Hipervnculo"/>
                <w:i/>
                <w:noProof/>
                <w:sz w:val="18"/>
                <w:szCs w:val="18"/>
                <w:lang w:val="en-US"/>
              </w:rPr>
              <w:t>A.2</w:t>
            </w:r>
            <w:r w:rsidR="001D3CA2" w:rsidRPr="00AC57EA">
              <w:rPr>
                <w:rFonts w:eastAsiaTheme="minorEastAsia" w:cstheme="minorBidi"/>
                <w:noProof/>
                <w:sz w:val="18"/>
                <w:szCs w:val="18"/>
                <w:lang w:val="en-US"/>
              </w:rPr>
              <w:tab/>
            </w:r>
            <w:r w:rsidR="002223C8" w:rsidRPr="00AC57EA">
              <w:rPr>
                <w:rStyle w:val="Hipervnculo"/>
                <w:i/>
                <w:noProof/>
                <w:sz w:val="18"/>
                <w:szCs w:val="18"/>
                <w:lang w:val="en-US"/>
              </w:rPr>
              <w:t>Considerations</w:t>
            </w:r>
            <w:r w:rsidR="00B7258C" w:rsidRPr="00AC57EA">
              <w:rPr>
                <w:rStyle w:val="Hipervnculo"/>
                <w:i/>
                <w:noProof/>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_Toc514172630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4</w:t>
            </w:r>
            <w:r w:rsidR="00D4020E" w:rsidRPr="00AC57EA">
              <w:rPr>
                <w:noProof/>
                <w:webHidden/>
                <w:sz w:val="18"/>
                <w:szCs w:val="18"/>
                <w:lang w:val="en-US"/>
              </w:rPr>
              <w:t>0</w:t>
            </w:r>
            <w:r w:rsidR="001D3CA2" w:rsidRPr="00AC57EA">
              <w:rPr>
                <w:noProof/>
                <w:webHidden/>
                <w:sz w:val="18"/>
                <w:szCs w:val="18"/>
                <w:lang w:val="en-US"/>
              </w:rPr>
              <w:fldChar w:fldCharType="end"/>
            </w:r>
          </w:hyperlink>
        </w:p>
        <w:p w14:paraId="04F5C1B0" w14:textId="76E15A33" w:rsidR="001D3CA2" w:rsidRPr="00AC57EA" w:rsidRDefault="00811011" w:rsidP="001D3CA2">
          <w:pPr>
            <w:pStyle w:val="TDC3"/>
            <w:rPr>
              <w:rFonts w:eastAsiaTheme="minorEastAsia" w:cstheme="minorBidi"/>
              <w:noProof/>
              <w:sz w:val="18"/>
              <w:szCs w:val="18"/>
              <w:lang w:val="en-US"/>
            </w:rPr>
          </w:pPr>
          <w:hyperlink w:anchor="_Toc514172631" w:history="1">
            <w:r w:rsidR="001D3CA2" w:rsidRPr="00AC57EA">
              <w:rPr>
                <w:rStyle w:val="Hipervnculo"/>
                <w:i/>
                <w:noProof/>
                <w:sz w:val="18"/>
                <w:szCs w:val="18"/>
                <w:lang w:val="en-US"/>
              </w:rPr>
              <w:t xml:space="preserve">A.2.a </w:t>
            </w:r>
            <w:r w:rsidR="001D3CA2" w:rsidRPr="00AC57EA">
              <w:rPr>
                <w:rFonts w:eastAsiaTheme="minorEastAsia" w:cstheme="minorBidi"/>
                <w:noProof/>
                <w:sz w:val="18"/>
                <w:szCs w:val="18"/>
                <w:lang w:val="en-US"/>
              </w:rPr>
              <w:tab/>
            </w:r>
            <w:r w:rsidR="001567A9" w:rsidRPr="00AC57EA">
              <w:rPr>
                <w:rStyle w:val="Hipervnculo"/>
                <w:i/>
                <w:noProof/>
                <w:sz w:val="18"/>
                <w:szCs w:val="18"/>
                <w:lang w:val="en-US"/>
              </w:rPr>
              <w:t xml:space="preserve">The essential components of the </w:t>
            </w:r>
            <w:r w:rsidR="007D5AA2" w:rsidRPr="00AC57EA">
              <w:rPr>
                <w:rStyle w:val="Hipervnculo"/>
                <w:i/>
                <w:noProof/>
                <w:sz w:val="18"/>
                <w:szCs w:val="18"/>
                <w:lang w:val="en-US"/>
              </w:rPr>
              <w:t xml:space="preserve">duty of </w:t>
            </w:r>
            <w:r w:rsidR="00994884" w:rsidRPr="00AC57EA">
              <w:rPr>
                <w:rStyle w:val="Hipervnculo"/>
                <w:i/>
                <w:noProof/>
                <w:sz w:val="18"/>
                <w:szCs w:val="18"/>
                <w:lang w:val="en-US"/>
              </w:rPr>
              <w:t>enhanced due diligence</w:t>
            </w:r>
            <w:r w:rsidR="007D5AA2" w:rsidRPr="00AC57EA">
              <w:rPr>
                <w:rStyle w:val="Hipervnculo"/>
                <w:i/>
                <w:noProof/>
                <w:sz w:val="18"/>
                <w:szCs w:val="18"/>
                <w:lang w:val="en-US"/>
              </w:rPr>
              <w:t xml:space="preserve"> and special protection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_Toc514172631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4</w:t>
            </w:r>
            <w:r w:rsidR="00D4020E" w:rsidRPr="00AC57EA">
              <w:rPr>
                <w:noProof/>
                <w:webHidden/>
                <w:sz w:val="18"/>
                <w:szCs w:val="18"/>
                <w:lang w:val="en-US"/>
              </w:rPr>
              <w:t>3</w:t>
            </w:r>
            <w:r w:rsidR="001D3CA2" w:rsidRPr="00AC57EA">
              <w:rPr>
                <w:noProof/>
                <w:webHidden/>
                <w:sz w:val="18"/>
                <w:szCs w:val="18"/>
                <w:lang w:val="en-US"/>
              </w:rPr>
              <w:fldChar w:fldCharType="end"/>
            </w:r>
          </w:hyperlink>
        </w:p>
        <w:p w14:paraId="63143C1A" w14:textId="5B629822" w:rsidR="001D3CA2" w:rsidRPr="00AC57EA" w:rsidRDefault="00811011" w:rsidP="001D3CA2">
          <w:pPr>
            <w:pStyle w:val="TDC3"/>
            <w:rPr>
              <w:rFonts w:eastAsiaTheme="minorEastAsia" w:cstheme="minorBidi"/>
              <w:noProof/>
              <w:sz w:val="18"/>
              <w:szCs w:val="18"/>
              <w:lang w:val="en-US"/>
            </w:rPr>
          </w:pPr>
          <w:hyperlink w:anchor="_Toc514172632" w:history="1">
            <w:r w:rsidR="001D3CA2" w:rsidRPr="00AC57EA">
              <w:rPr>
                <w:rStyle w:val="Hipervnculo"/>
                <w:i/>
                <w:noProof/>
                <w:sz w:val="18"/>
                <w:szCs w:val="18"/>
                <w:lang w:val="en-US"/>
              </w:rPr>
              <w:t xml:space="preserve">A.2.b </w:t>
            </w:r>
            <w:r w:rsidR="001D3CA2" w:rsidRPr="00AC57EA">
              <w:rPr>
                <w:rFonts w:eastAsiaTheme="minorEastAsia" w:cstheme="minorBidi"/>
                <w:noProof/>
                <w:sz w:val="18"/>
                <w:szCs w:val="18"/>
                <w:lang w:val="en-US"/>
              </w:rPr>
              <w:tab/>
            </w:r>
            <w:r w:rsidR="00F92CDF" w:rsidRPr="00AC57EA">
              <w:rPr>
                <w:rStyle w:val="Hipervnculo"/>
                <w:i/>
                <w:noProof/>
                <w:sz w:val="18"/>
                <w:szCs w:val="18"/>
                <w:lang w:val="en-US"/>
              </w:rPr>
              <w:t>The forensic medical examination to which V.R.P. was subjected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_Toc514172632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5</w:t>
            </w:r>
            <w:r w:rsidR="00D4020E" w:rsidRPr="00AC57EA">
              <w:rPr>
                <w:noProof/>
                <w:webHidden/>
                <w:sz w:val="18"/>
                <w:szCs w:val="18"/>
                <w:lang w:val="en-US"/>
              </w:rPr>
              <w:t>1</w:t>
            </w:r>
            <w:r w:rsidR="001D3CA2" w:rsidRPr="00AC57EA">
              <w:rPr>
                <w:noProof/>
                <w:webHidden/>
                <w:sz w:val="18"/>
                <w:szCs w:val="18"/>
                <w:lang w:val="en-US"/>
              </w:rPr>
              <w:fldChar w:fldCharType="end"/>
            </w:r>
          </w:hyperlink>
        </w:p>
        <w:p w14:paraId="1A529002" w14:textId="11005F1E" w:rsidR="001D3CA2" w:rsidRPr="00AC57EA" w:rsidRDefault="00811011" w:rsidP="001D3CA2">
          <w:pPr>
            <w:pStyle w:val="TDC3"/>
            <w:rPr>
              <w:rFonts w:eastAsiaTheme="minorEastAsia" w:cstheme="minorBidi"/>
              <w:noProof/>
              <w:sz w:val="18"/>
              <w:szCs w:val="18"/>
              <w:lang w:val="en-US"/>
            </w:rPr>
          </w:pPr>
          <w:hyperlink w:anchor="_Toc514172633" w:history="1">
            <w:r w:rsidR="001D3CA2" w:rsidRPr="00AC57EA">
              <w:rPr>
                <w:rStyle w:val="Hipervnculo"/>
                <w:i/>
                <w:noProof/>
                <w:sz w:val="18"/>
                <w:szCs w:val="18"/>
                <w:lang w:val="en-US"/>
              </w:rPr>
              <w:t xml:space="preserve">A.2.c </w:t>
            </w:r>
            <w:r w:rsidR="001D3CA2" w:rsidRPr="00AC57EA">
              <w:rPr>
                <w:rFonts w:eastAsiaTheme="minorEastAsia" w:cstheme="minorBidi"/>
                <w:noProof/>
                <w:sz w:val="18"/>
                <w:szCs w:val="18"/>
                <w:lang w:val="en-US"/>
              </w:rPr>
              <w:tab/>
            </w:r>
            <w:r w:rsidR="005B71A5" w:rsidRPr="00AC57EA">
              <w:rPr>
                <w:rStyle w:val="Hipervnculo"/>
                <w:i/>
                <w:noProof/>
                <w:sz w:val="18"/>
                <w:szCs w:val="18"/>
                <w:lang w:val="en-US"/>
              </w:rPr>
              <w:t>V.R.P.’s statement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_Toc514172633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5</w:t>
            </w:r>
            <w:r w:rsidR="00D4020E" w:rsidRPr="00AC57EA">
              <w:rPr>
                <w:noProof/>
                <w:webHidden/>
                <w:sz w:val="18"/>
                <w:szCs w:val="18"/>
                <w:lang w:val="en-US"/>
              </w:rPr>
              <w:t>4</w:t>
            </w:r>
            <w:r w:rsidR="001D3CA2" w:rsidRPr="00AC57EA">
              <w:rPr>
                <w:noProof/>
                <w:webHidden/>
                <w:sz w:val="18"/>
                <w:szCs w:val="18"/>
                <w:lang w:val="en-US"/>
              </w:rPr>
              <w:fldChar w:fldCharType="end"/>
            </w:r>
          </w:hyperlink>
        </w:p>
        <w:p w14:paraId="6C6B590B" w14:textId="7F08ABF9" w:rsidR="001D3CA2" w:rsidRPr="00AC57EA" w:rsidRDefault="00811011" w:rsidP="001D3CA2">
          <w:pPr>
            <w:pStyle w:val="TDC3"/>
            <w:rPr>
              <w:rFonts w:eastAsiaTheme="minorEastAsia" w:cstheme="minorBidi"/>
              <w:noProof/>
              <w:sz w:val="18"/>
              <w:szCs w:val="18"/>
              <w:lang w:val="en-US"/>
            </w:rPr>
          </w:pPr>
          <w:hyperlink w:anchor="_Toc514172634" w:history="1">
            <w:r w:rsidR="001D3CA2" w:rsidRPr="00AC57EA">
              <w:rPr>
                <w:rStyle w:val="Hipervnculo"/>
                <w:i/>
                <w:noProof/>
                <w:sz w:val="18"/>
                <w:szCs w:val="18"/>
                <w:lang w:val="en-US"/>
              </w:rPr>
              <w:t>A.2.d</w:t>
            </w:r>
            <w:r w:rsidR="001D3CA2" w:rsidRPr="00AC57EA">
              <w:rPr>
                <w:rFonts w:eastAsiaTheme="minorEastAsia" w:cstheme="minorBidi"/>
                <w:noProof/>
                <w:sz w:val="18"/>
                <w:szCs w:val="18"/>
                <w:lang w:val="en-US"/>
              </w:rPr>
              <w:tab/>
            </w:r>
            <w:r w:rsidR="005B71A5" w:rsidRPr="00AC57EA">
              <w:rPr>
                <w:rStyle w:val="Hipervnculo"/>
                <w:i/>
                <w:noProof/>
                <w:sz w:val="18"/>
                <w:szCs w:val="18"/>
                <w:lang w:val="en-US"/>
              </w:rPr>
              <w:t xml:space="preserve">The participation of V.R.P. in the visual </w:t>
            </w:r>
            <w:r w:rsidR="009E1B73" w:rsidRPr="00AC57EA">
              <w:rPr>
                <w:rStyle w:val="Hipervnculo"/>
                <w:i/>
                <w:noProof/>
                <w:sz w:val="18"/>
                <w:szCs w:val="18"/>
                <w:lang w:val="en-US"/>
              </w:rPr>
              <w:t>inspection and reconstruction</w:t>
            </w:r>
            <w:r w:rsidR="005B71A5" w:rsidRPr="00AC57EA">
              <w:rPr>
                <w:rStyle w:val="Hipervnculo"/>
                <w:i/>
                <w:noProof/>
                <w:sz w:val="18"/>
                <w:szCs w:val="18"/>
                <w:lang w:val="en-US"/>
              </w:rPr>
              <w:t xml:space="preserve"> of the events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_Toc514172634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5</w:t>
            </w:r>
            <w:r w:rsidR="00D4020E" w:rsidRPr="00AC57EA">
              <w:rPr>
                <w:noProof/>
                <w:webHidden/>
                <w:sz w:val="18"/>
                <w:szCs w:val="18"/>
                <w:lang w:val="en-US"/>
              </w:rPr>
              <w:t>4</w:t>
            </w:r>
            <w:r w:rsidR="001D3CA2" w:rsidRPr="00AC57EA">
              <w:rPr>
                <w:noProof/>
                <w:webHidden/>
                <w:sz w:val="18"/>
                <w:szCs w:val="18"/>
                <w:lang w:val="en-US"/>
              </w:rPr>
              <w:fldChar w:fldCharType="end"/>
            </w:r>
          </w:hyperlink>
        </w:p>
        <w:p w14:paraId="6D43DD4D" w14:textId="2D93F58E" w:rsidR="001D3CA2" w:rsidRPr="00AC57EA" w:rsidRDefault="00811011" w:rsidP="001D3CA2">
          <w:pPr>
            <w:pStyle w:val="TDC3"/>
            <w:rPr>
              <w:rFonts w:eastAsiaTheme="minorEastAsia" w:cstheme="minorBidi"/>
              <w:noProof/>
              <w:sz w:val="18"/>
              <w:szCs w:val="18"/>
              <w:lang w:val="en-US"/>
            </w:rPr>
          </w:pPr>
          <w:hyperlink w:anchor="_Toc514172635" w:history="1">
            <w:r w:rsidR="001D3CA2" w:rsidRPr="00AC57EA">
              <w:rPr>
                <w:rStyle w:val="Hipervnculo"/>
                <w:i/>
                <w:noProof/>
                <w:sz w:val="18"/>
                <w:szCs w:val="18"/>
                <w:lang w:val="en-US"/>
              </w:rPr>
              <w:t xml:space="preserve">A.2.e </w:t>
            </w:r>
            <w:r w:rsidR="001D3CA2" w:rsidRPr="00AC57EA">
              <w:rPr>
                <w:rFonts w:eastAsiaTheme="minorEastAsia" w:cstheme="minorBidi"/>
                <w:noProof/>
                <w:sz w:val="18"/>
                <w:szCs w:val="18"/>
                <w:lang w:val="en-US"/>
              </w:rPr>
              <w:tab/>
            </w:r>
            <w:r w:rsidR="005B71A5" w:rsidRPr="00AC57EA">
              <w:rPr>
                <w:rStyle w:val="Hipervnculo"/>
                <w:i/>
                <w:noProof/>
                <w:sz w:val="18"/>
                <w:szCs w:val="18"/>
                <w:lang w:val="en-US"/>
              </w:rPr>
              <w:t>The lack of support and comprehensive care for the child V.R.P.</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_Toc514172635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5</w:t>
            </w:r>
            <w:r w:rsidR="00D4020E" w:rsidRPr="00AC57EA">
              <w:rPr>
                <w:noProof/>
                <w:webHidden/>
                <w:sz w:val="18"/>
                <w:szCs w:val="18"/>
                <w:lang w:val="en-US"/>
              </w:rPr>
              <w:t>6</w:t>
            </w:r>
            <w:r w:rsidR="001D3CA2" w:rsidRPr="00AC57EA">
              <w:rPr>
                <w:noProof/>
                <w:webHidden/>
                <w:sz w:val="18"/>
                <w:szCs w:val="18"/>
                <w:lang w:val="en-US"/>
              </w:rPr>
              <w:fldChar w:fldCharType="end"/>
            </w:r>
          </w:hyperlink>
        </w:p>
        <w:p w14:paraId="5F8DB8CC" w14:textId="0EF39A42" w:rsidR="001D3CA2" w:rsidRPr="00AC57EA" w:rsidRDefault="00811011" w:rsidP="001D3CA2">
          <w:pPr>
            <w:pStyle w:val="TDC3"/>
            <w:rPr>
              <w:rFonts w:eastAsiaTheme="minorEastAsia" w:cstheme="minorBidi"/>
              <w:noProof/>
              <w:sz w:val="18"/>
              <w:szCs w:val="18"/>
              <w:lang w:val="en-US"/>
            </w:rPr>
          </w:pPr>
          <w:hyperlink w:anchor="_Toc514172636" w:history="1">
            <w:r w:rsidR="001D3CA2" w:rsidRPr="00AC57EA">
              <w:rPr>
                <w:rStyle w:val="Hipervnculo"/>
                <w:i/>
                <w:noProof/>
                <w:sz w:val="18"/>
                <w:szCs w:val="18"/>
                <w:lang w:val="en-US"/>
              </w:rPr>
              <w:t xml:space="preserve">A.2.f </w:t>
            </w:r>
            <w:r w:rsidR="001D3CA2" w:rsidRPr="00AC57EA">
              <w:rPr>
                <w:rFonts w:eastAsiaTheme="minorEastAsia" w:cstheme="minorBidi"/>
                <w:noProof/>
                <w:sz w:val="18"/>
                <w:szCs w:val="18"/>
                <w:lang w:val="en-US"/>
              </w:rPr>
              <w:tab/>
            </w:r>
            <w:r w:rsidR="0025395E" w:rsidRPr="00AC57EA">
              <w:rPr>
                <w:rStyle w:val="Hipervnculo"/>
                <w:i/>
                <w:noProof/>
                <w:sz w:val="18"/>
                <w:szCs w:val="18"/>
                <w:lang w:val="en-US"/>
              </w:rPr>
              <w:t>Conclusion</w:t>
            </w:r>
            <w:r w:rsidR="001D3CA2" w:rsidRPr="00AC57EA">
              <w:rPr>
                <w:noProof/>
                <w:webHidden/>
                <w:sz w:val="18"/>
                <w:szCs w:val="18"/>
                <w:lang w:val="en-US"/>
              </w:rPr>
              <w:tab/>
            </w:r>
            <w:r w:rsidR="00D4020E" w:rsidRPr="00AC57EA">
              <w:rPr>
                <w:noProof/>
                <w:webHidden/>
                <w:sz w:val="18"/>
                <w:szCs w:val="18"/>
                <w:lang w:val="en-US"/>
              </w:rPr>
              <w:t>58</w:t>
            </w:r>
          </w:hyperlink>
        </w:p>
        <w:p w14:paraId="5AF7649E" w14:textId="017EBFE4" w:rsidR="001D3CA2" w:rsidRPr="00AC57EA" w:rsidRDefault="00811011" w:rsidP="001D3CA2">
          <w:pPr>
            <w:pStyle w:val="TDC2"/>
            <w:jc w:val="both"/>
            <w:rPr>
              <w:rFonts w:eastAsiaTheme="minorEastAsia" w:cstheme="minorBidi"/>
              <w:noProof/>
              <w:sz w:val="18"/>
              <w:szCs w:val="18"/>
              <w:lang w:val="en-US"/>
            </w:rPr>
          </w:pPr>
          <w:hyperlink w:anchor="_Toc514172637" w:history="1">
            <w:r w:rsidR="001D3CA2" w:rsidRPr="00AC57EA">
              <w:rPr>
                <w:rStyle w:val="Hipervnculo"/>
                <w:rFonts w:eastAsia="MS Mincho" w:cs="Arial"/>
                <w:b/>
                <w:bCs/>
                <w:i/>
                <w:noProof/>
                <w:kern w:val="2"/>
                <w:sz w:val="18"/>
                <w:szCs w:val="18"/>
                <w:lang w:val="en-US" w:eastAsia="en-US"/>
              </w:rPr>
              <w:t>B.</w:t>
            </w:r>
            <w:r w:rsidR="001D3CA2" w:rsidRPr="00AC57EA">
              <w:rPr>
                <w:rFonts w:eastAsiaTheme="minorEastAsia" w:cstheme="minorBidi"/>
                <w:noProof/>
                <w:sz w:val="18"/>
                <w:szCs w:val="18"/>
                <w:lang w:val="en-US"/>
              </w:rPr>
              <w:tab/>
            </w:r>
            <w:r w:rsidR="0025395E" w:rsidRPr="00AC57EA">
              <w:rPr>
                <w:rStyle w:val="Hipervnculo"/>
                <w:rFonts w:eastAsia="MS Mincho" w:cs="Arial"/>
                <w:b/>
                <w:bCs/>
                <w:i/>
                <w:noProof/>
                <w:kern w:val="2"/>
                <w:sz w:val="18"/>
                <w:szCs w:val="18"/>
                <w:lang w:val="en-US" w:eastAsia="en-US"/>
              </w:rPr>
              <w:t>Application of the requirements of due process to jury trials</w:t>
            </w:r>
            <w:r w:rsidR="001D3CA2" w:rsidRPr="00AC57EA">
              <w:rPr>
                <w:noProof/>
                <w:webHidden/>
                <w:sz w:val="18"/>
                <w:szCs w:val="18"/>
                <w:lang w:val="en-US"/>
              </w:rPr>
              <w:tab/>
            </w:r>
            <w:r w:rsidR="00D4020E" w:rsidRPr="00AC57EA">
              <w:rPr>
                <w:noProof/>
                <w:webHidden/>
                <w:sz w:val="18"/>
                <w:szCs w:val="18"/>
                <w:lang w:val="en-US"/>
              </w:rPr>
              <w:t>58</w:t>
            </w:r>
          </w:hyperlink>
        </w:p>
        <w:p w14:paraId="5FDBDA90" w14:textId="0A4F4E5E" w:rsidR="001D3CA2" w:rsidRPr="00AC57EA" w:rsidRDefault="00811011" w:rsidP="001D3CA2">
          <w:pPr>
            <w:pStyle w:val="TDC2"/>
            <w:jc w:val="both"/>
            <w:rPr>
              <w:rFonts w:eastAsiaTheme="minorEastAsia" w:cstheme="minorBidi"/>
              <w:noProof/>
              <w:sz w:val="18"/>
              <w:szCs w:val="18"/>
              <w:lang w:val="en-US"/>
            </w:rPr>
          </w:pPr>
          <w:hyperlink w:anchor="_Toc514172638" w:history="1">
            <w:r w:rsidR="001D3CA2" w:rsidRPr="00AC57EA">
              <w:rPr>
                <w:rStyle w:val="Hipervnculo"/>
                <w:bCs/>
                <w:i/>
                <w:noProof/>
                <w:sz w:val="18"/>
                <w:szCs w:val="18"/>
                <w:lang w:val="en-US"/>
              </w:rPr>
              <w:t xml:space="preserve">B.1 </w:t>
            </w:r>
            <w:r w:rsidR="001D3CA2" w:rsidRPr="00AC57EA">
              <w:rPr>
                <w:rFonts w:eastAsiaTheme="minorEastAsia" w:cstheme="minorBidi"/>
                <w:noProof/>
                <w:sz w:val="18"/>
                <w:szCs w:val="18"/>
                <w:lang w:val="en-US"/>
              </w:rPr>
              <w:tab/>
            </w:r>
            <w:r w:rsidR="009E569E" w:rsidRPr="00AC57EA">
              <w:rPr>
                <w:rStyle w:val="Hipervnculo"/>
                <w:bCs/>
                <w:i/>
                <w:noProof/>
                <w:sz w:val="18"/>
                <w:szCs w:val="18"/>
                <w:lang w:val="en-US"/>
              </w:rPr>
              <w:t>Arguments</w:t>
            </w:r>
            <w:r w:rsidR="001D3CA2" w:rsidRPr="00AC57EA">
              <w:rPr>
                <w:rStyle w:val="Hipervnculo"/>
                <w:noProof/>
                <w:sz w:val="18"/>
                <w:szCs w:val="18"/>
                <w:lang w:val="en-US"/>
              </w:rPr>
              <w:t xml:space="preserve"> </w:t>
            </w:r>
            <w:r w:rsidR="0025395E" w:rsidRPr="00AC57EA">
              <w:rPr>
                <w:rStyle w:val="Hipervnculo"/>
                <w:bCs/>
                <w:i/>
                <w:noProof/>
                <w:sz w:val="18"/>
                <w:szCs w:val="18"/>
                <w:lang w:val="en-US"/>
              </w:rPr>
              <w:t>of the parties</w:t>
            </w:r>
            <w:r w:rsidR="00171E27" w:rsidRPr="00AC57EA">
              <w:rPr>
                <w:rStyle w:val="Hipervnculo"/>
                <w:bCs/>
                <w:i/>
                <w:noProof/>
                <w:sz w:val="18"/>
                <w:szCs w:val="18"/>
                <w:lang w:val="en-US"/>
              </w:rPr>
              <w:t xml:space="preserve"> and </w:t>
            </w:r>
            <w:r w:rsidR="00B7258C" w:rsidRPr="00AC57EA">
              <w:rPr>
                <w:rStyle w:val="Hipervnculo"/>
                <w:bCs/>
                <w:i/>
                <w:noProof/>
                <w:sz w:val="18"/>
                <w:szCs w:val="18"/>
                <w:lang w:val="en-US"/>
              </w:rPr>
              <w:t>of the Commission</w:t>
            </w:r>
            <w:r w:rsidR="001D3CA2" w:rsidRPr="00AC57EA">
              <w:rPr>
                <w:rStyle w:val="Hipervnculo"/>
                <w:bCs/>
                <w:i/>
                <w:noProof/>
                <w:sz w:val="18"/>
                <w:szCs w:val="18"/>
                <w:lang w:val="en-US"/>
              </w:rPr>
              <w:t xml:space="preserve"> </w:t>
            </w:r>
            <w:r w:rsidR="0025395E" w:rsidRPr="00AC57EA">
              <w:rPr>
                <w:rStyle w:val="Hipervnculo"/>
                <w:bCs/>
                <w:i/>
                <w:noProof/>
                <w:sz w:val="18"/>
                <w:szCs w:val="18"/>
                <w:lang w:val="en-US"/>
              </w:rPr>
              <w:t>on impartiality</w:t>
            </w:r>
            <w:r w:rsidR="001D3CA2" w:rsidRPr="00AC57EA">
              <w:rPr>
                <w:noProof/>
                <w:webHidden/>
                <w:sz w:val="18"/>
                <w:szCs w:val="18"/>
                <w:lang w:val="en-US"/>
              </w:rPr>
              <w:tab/>
            </w:r>
            <w:r w:rsidR="00D4020E" w:rsidRPr="00AC57EA">
              <w:rPr>
                <w:noProof/>
                <w:webHidden/>
                <w:sz w:val="18"/>
                <w:szCs w:val="18"/>
                <w:lang w:val="en-US"/>
              </w:rPr>
              <w:t>58</w:t>
            </w:r>
          </w:hyperlink>
        </w:p>
        <w:p w14:paraId="105CA600" w14:textId="43AAE206" w:rsidR="001D3CA2" w:rsidRPr="00AC57EA" w:rsidRDefault="00811011" w:rsidP="001D3CA2">
          <w:pPr>
            <w:pStyle w:val="TDC2"/>
            <w:jc w:val="both"/>
            <w:rPr>
              <w:rFonts w:eastAsiaTheme="minorEastAsia" w:cstheme="minorBidi"/>
              <w:noProof/>
              <w:sz w:val="18"/>
              <w:szCs w:val="18"/>
              <w:lang w:val="en-US"/>
            </w:rPr>
          </w:pPr>
          <w:hyperlink w:anchor="_Toc514172639" w:history="1">
            <w:r w:rsidR="001D3CA2" w:rsidRPr="00AC57EA">
              <w:rPr>
                <w:rStyle w:val="Hipervnculo"/>
                <w:bCs/>
                <w:i/>
                <w:noProof/>
                <w:sz w:val="18"/>
                <w:szCs w:val="18"/>
                <w:lang w:val="en-US"/>
              </w:rPr>
              <w:t xml:space="preserve">B.2 </w:t>
            </w:r>
            <w:r w:rsidR="001D3CA2" w:rsidRPr="00AC57EA">
              <w:rPr>
                <w:rFonts w:eastAsiaTheme="minorEastAsia" w:cstheme="minorBidi"/>
                <w:noProof/>
                <w:sz w:val="18"/>
                <w:szCs w:val="18"/>
                <w:lang w:val="en-US"/>
              </w:rPr>
              <w:tab/>
            </w:r>
            <w:r w:rsidR="009E569E" w:rsidRPr="00AC57EA">
              <w:rPr>
                <w:rStyle w:val="Hipervnculo"/>
                <w:bCs/>
                <w:i/>
                <w:noProof/>
                <w:sz w:val="18"/>
                <w:szCs w:val="18"/>
                <w:lang w:val="en-US"/>
              </w:rPr>
              <w:t>Arguments</w:t>
            </w:r>
            <w:r w:rsidR="001D3CA2" w:rsidRPr="00AC57EA">
              <w:rPr>
                <w:rStyle w:val="Hipervnculo"/>
                <w:bCs/>
                <w:i/>
                <w:noProof/>
                <w:sz w:val="18"/>
                <w:szCs w:val="18"/>
                <w:lang w:val="en-US"/>
              </w:rPr>
              <w:t xml:space="preserve"> </w:t>
            </w:r>
            <w:r w:rsidR="0025395E" w:rsidRPr="00AC57EA">
              <w:rPr>
                <w:rStyle w:val="Hipervnculo"/>
                <w:bCs/>
                <w:i/>
                <w:noProof/>
                <w:sz w:val="18"/>
                <w:szCs w:val="18"/>
                <w:lang w:val="en-US"/>
              </w:rPr>
              <w:t>of the parties</w:t>
            </w:r>
            <w:r w:rsidR="00171E27" w:rsidRPr="00AC57EA">
              <w:rPr>
                <w:rStyle w:val="Hipervnculo"/>
                <w:bCs/>
                <w:i/>
                <w:noProof/>
                <w:sz w:val="18"/>
                <w:szCs w:val="18"/>
                <w:lang w:val="en-US"/>
              </w:rPr>
              <w:t xml:space="preserve"> and </w:t>
            </w:r>
            <w:r w:rsidR="00B7258C" w:rsidRPr="00AC57EA">
              <w:rPr>
                <w:rStyle w:val="Hipervnculo"/>
                <w:bCs/>
                <w:i/>
                <w:noProof/>
                <w:sz w:val="18"/>
                <w:szCs w:val="18"/>
                <w:lang w:val="en-US"/>
              </w:rPr>
              <w:t>of the Commission</w:t>
            </w:r>
            <w:r w:rsidR="001D3CA2" w:rsidRPr="00AC57EA">
              <w:rPr>
                <w:rStyle w:val="Hipervnculo"/>
                <w:bCs/>
                <w:i/>
                <w:noProof/>
                <w:sz w:val="18"/>
                <w:szCs w:val="18"/>
                <w:lang w:val="en-US"/>
              </w:rPr>
              <w:t xml:space="preserve"> </w:t>
            </w:r>
            <w:r w:rsidR="009438E3" w:rsidRPr="00AC57EA">
              <w:rPr>
                <w:rStyle w:val="Hipervnculo"/>
                <w:bCs/>
                <w:i/>
                <w:noProof/>
                <w:sz w:val="18"/>
                <w:szCs w:val="18"/>
                <w:lang w:val="en-US"/>
              </w:rPr>
              <w:t xml:space="preserve">on the </w:t>
            </w:r>
            <w:r w:rsidR="0000301E" w:rsidRPr="00AC57EA">
              <w:rPr>
                <w:rStyle w:val="Hipervnculo"/>
                <w:bCs/>
                <w:i/>
                <w:noProof/>
                <w:sz w:val="18"/>
                <w:szCs w:val="18"/>
                <w:lang w:val="en-US"/>
              </w:rPr>
              <w:t>obligation to justify decisions</w:t>
            </w:r>
            <w:r w:rsidR="001D3CA2" w:rsidRPr="00AC57EA">
              <w:rPr>
                <w:noProof/>
                <w:webHidden/>
                <w:sz w:val="18"/>
                <w:szCs w:val="18"/>
                <w:lang w:val="en-US"/>
              </w:rPr>
              <w:tab/>
            </w:r>
            <w:r w:rsidR="00D4020E" w:rsidRPr="00AC57EA">
              <w:rPr>
                <w:noProof/>
                <w:webHidden/>
                <w:sz w:val="18"/>
                <w:szCs w:val="18"/>
                <w:lang w:val="en-US"/>
              </w:rPr>
              <w:t>59</w:t>
            </w:r>
          </w:hyperlink>
        </w:p>
        <w:p w14:paraId="4D58FFC0" w14:textId="6169854C" w:rsidR="001D3CA2" w:rsidRPr="00AC57EA" w:rsidRDefault="00811011" w:rsidP="001D3CA2">
          <w:pPr>
            <w:pStyle w:val="TDC2"/>
            <w:jc w:val="both"/>
            <w:rPr>
              <w:rFonts w:eastAsiaTheme="minorEastAsia" w:cstheme="minorBidi"/>
              <w:noProof/>
              <w:sz w:val="18"/>
              <w:szCs w:val="18"/>
              <w:lang w:val="en-US"/>
            </w:rPr>
          </w:pPr>
          <w:hyperlink w:anchor="_Toc514172640" w:history="1">
            <w:r w:rsidR="001D3CA2" w:rsidRPr="00AC57EA">
              <w:rPr>
                <w:rStyle w:val="Hipervnculo"/>
                <w:bCs/>
                <w:i/>
                <w:noProof/>
                <w:sz w:val="18"/>
                <w:szCs w:val="18"/>
                <w:lang w:val="en-US"/>
              </w:rPr>
              <w:t>B.3</w:t>
            </w:r>
            <w:r w:rsidR="001D3CA2" w:rsidRPr="00AC57EA">
              <w:rPr>
                <w:rFonts w:eastAsiaTheme="minorEastAsia" w:cstheme="minorBidi"/>
                <w:noProof/>
                <w:sz w:val="18"/>
                <w:szCs w:val="18"/>
                <w:lang w:val="en-US"/>
              </w:rPr>
              <w:tab/>
            </w:r>
            <w:r w:rsidR="002223C8" w:rsidRPr="00AC57EA">
              <w:rPr>
                <w:rStyle w:val="Hipervnculo"/>
                <w:bCs/>
                <w:i/>
                <w:noProof/>
                <w:sz w:val="18"/>
                <w:szCs w:val="18"/>
                <w:lang w:val="en-US"/>
              </w:rPr>
              <w:t>Considerations</w:t>
            </w:r>
            <w:r w:rsidR="00B7258C" w:rsidRPr="00AC57EA">
              <w:rPr>
                <w:rStyle w:val="Hipervnculo"/>
                <w:bCs/>
                <w:i/>
                <w:noProof/>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_Toc514172640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6</w:t>
            </w:r>
            <w:r w:rsidR="00D4020E" w:rsidRPr="00AC57EA">
              <w:rPr>
                <w:noProof/>
                <w:webHidden/>
                <w:sz w:val="18"/>
                <w:szCs w:val="18"/>
                <w:lang w:val="en-US"/>
              </w:rPr>
              <w:t>1</w:t>
            </w:r>
            <w:r w:rsidR="001D3CA2" w:rsidRPr="00AC57EA">
              <w:rPr>
                <w:noProof/>
                <w:webHidden/>
                <w:sz w:val="18"/>
                <w:szCs w:val="18"/>
                <w:lang w:val="en-US"/>
              </w:rPr>
              <w:fldChar w:fldCharType="end"/>
            </w:r>
          </w:hyperlink>
        </w:p>
        <w:p w14:paraId="6A5859F7" w14:textId="2CD902DC" w:rsidR="001D3CA2" w:rsidRPr="00AC57EA" w:rsidRDefault="00811011" w:rsidP="009E1B73">
          <w:pPr>
            <w:pStyle w:val="TDC3"/>
            <w:tabs>
              <w:tab w:val="clear" w:pos="1560"/>
              <w:tab w:val="left" w:pos="1350"/>
            </w:tabs>
            <w:rPr>
              <w:rFonts w:eastAsiaTheme="minorEastAsia" w:cstheme="minorBidi"/>
              <w:noProof/>
              <w:sz w:val="18"/>
              <w:szCs w:val="18"/>
              <w:lang w:val="en-US"/>
            </w:rPr>
          </w:pPr>
          <w:hyperlink w:anchor="_Toc514172641" w:history="1">
            <w:r w:rsidR="001D3CA2" w:rsidRPr="00AC57EA">
              <w:rPr>
                <w:rStyle w:val="Hipervnculo"/>
                <w:i/>
                <w:noProof/>
                <w:sz w:val="18"/>
                <w:szCs w:val="18"/>
                <w:lang w:val="en-US"/>
              </w:rPr>
              <w:t>B.3.a</w:t>
            </w:r>
            <w:r w:rsidR="001D3CA2" w:rsidRPr="00AC57EA">
              <w:rPr>
                <w:rFonts w:eastAsiaTheme="minorEastAsia" w:cstheme="minorBidi"/>
                <w:noProof/>
                <w:sz w:val="18"/>
                <w:szCs w:val="18"/>
                <w:lang w:val="en-US"/>
              </w:rPr>
              <w:tab/>
            </w:r>
            <w:r w:rsidR="00C7746C" w:rsidRPr="00AC57EA">
              <w:rPr>
                <w:rStyle w:val="Hipervnculo"/>
                <w:i/>
                <w:noProof/>
                <w:sz w:val="18"/>
                <w:szCs w:val="18"/>
                <w:lang w:val="en-US"/>
              </w:rPr>
              <w:t>Nicaraguan criminal procedure legislation on juries</w:t>
            </w:r>
            <w:r w:rsidR="00D43778" w:rsidRPr="00AC57EA">
              <w:rPr>
                <w:rStyle w:val="Hipervnculo"/>
                <w:i/>
                <w:noProof/>
                <w:sz w:val="18"/>
                <w:szCs w:val="18"/>
                <w:lang w:val="en-US"/>
              </w:rPr>
              <w:t xml:space="preserve"> at the time of the fact</w:t>
            </w:r>
            <w:r w:rsidR="001D3CA2" w:rsidRPr="00AC57EA">
              <w:rPr>
                <w:rStyle w:val="Hipervnculo"/>
                <w:i/>
                <w:noProof/>
                <w:sz w:val="18"/>
                <w:szCs w:val="18"/>
                <w:lang w:val="en-US"/>
              </w:rPr>
              <w:t>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_Toc514172641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6</w:t>
            </w:r>
            <w:r w:rsidR="00D4020E" w:rsidRPr="00AC57EA">
              <w:rPr>
                <w:noProof/>
                <w:webHidden/>
                <w:sz w:val="18"/>
                <w:szCs w:val="18"/>
                <w:lang w:val="en-US"/>
              </w:rPr>
              <w:t>3</w:t>
            </w:r>
            <w:r w:rsidR="001D3CA2" w:rsidRPr="00AC57EA">
              <w:rPr>
                <w:noProof/>
                <w:webHidden/>
                <w:sz w:val="18"/>
                <w:szCs w:val="18"/>
                <w:lang w:val="en-US"/>
              </w:rPr>
              <w:fldChar w:fldCharType="end"/>
            </w:r>
          </w:hyperlink>
        </w:p>
        <w:p w14:paraId="5A80442D" w14:textId="0E8B7E8E" w:rsidR="001D3CA2" w:rsidRPr="00AC57EA" w:rsidRDefault="00811011" w:rsidP="009E1B73">
          <w:pPr>
            <w:pStyle w:val="TDC3"/>
            <w:tabs>
              <w:tab w:val="clear" w:pos="1560"/>
              <w:tab w:val="left" w:pos="1350"/>
            </w:tabs>
            <w:rPr>
              <w:rFonts w:eastAsiaTheme="minorEastAsia" w:cstheme="minorBidi"/>
              <w:noProof/>
              <w:sz w:val="18"/>
              <w:szCs w:val="18"/>
              <w:lang w:val="en-US"/>
            </w:rPr>
          </w:pPr>
          <w:hyperlink w:anchor="_Toc514172642" w:history="1">
            <w:r w:rsidR="001D3CA2" w:rsidRPr="00AC57EA">
              <w:rPr>
                <w:rStyle w:val="Hipervnculo"/>
                <w:i/>
                <w:noProof/>
                <w:sz w:val="18"/>
                <w:szCs w:val="18"/>
                <w:lang w:val="en-US"/>
              </w:rPr>
              <w:t>B.3.b</w:t>
            </w:r>
            <w:r w:rsidR="001D3CA2" w:rsidRPr="00AC57EA">
              <w:rPr>
                <w:rFonts w:eastAsiaTheme="minorEastAsia" w:cstheme="minorBidi"/>
                <w:noProof/>
                <w:sz w:val="18"/>
                <w:szCs w:val="18"/>
                <w:lang w:val="en-US"/>
              </w:rPr>
              <w:tab/>
            </w:r>
            <w:r w:rsidR="00FD3686" w:rsidRPr="00AC57EA">
              <w:rPr>
                <w:rStyle w:val="Hipervnculo"/>
                <w:i/>
                <w:noProof/>
                <w:sz w:val="18"/>
                <w:szCs w:val="18"/>
                <w:lang w:val="en-US"/>
              </w:rPr>
              <w:t xml:space="preserve">The guarantee </w:t>
            </w:r>
            <w:r w:rsidR="00442DEE" w:rsidRPr="00AC57EA">
              <w:rPr>
                <w:rStyle w:val="Hipervnculo"/>
                <w:i/>
                <w:noProof/>
                <w:sz w:val="18"/>
                <w:szCs w:val="18"/>
                <w:lang w:val="en-US"/>
              </w:rPr>
              <w:t>of juror impartiality</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_Toc514172642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6</w:t>
            </w:r>
            <w:r w:rsidR="00D4020E" w:rsidRPr="00AC57EA">
              <w:rPr>
                <w:noProof/>
                <w:webHidden/>
                <w:sz w:val="18"/>
                <w:szCs w:val="18"/>
                <w:lang w:val="en-US"/>
              </w:rPr>
              <w:t>6</w:t>
            </w:r>
            <w:r w:rsidR="001D3CA2" w:rsidRPr="00AC57EA">
              <w:rPr>
                <w:noProof/>
                <w:webHidden/>
                <w:sz w:val="18"/>
                <w:szCs w:val="18"/>
                <w:lang w:val="en-US"/>
              </w:rPr>
              <w:fldChar w:fldCharType="end"/>
            </w:r>
          </w:hyperlink>
        </w:p>
        <w:p w14:paraId="05C45E53" w14:textId="28D97836" w:rsidR="001D3CA2" w:rsidRPr="00AC57EA" w:rsidRDefault="00811011" w:rsidP="009E1B73">
          <w:pPr>
            <w:pStyle w:val="TDC3"/>
            <w:tabs>
              <w:tab w:val="clear" w:pos="1560"/>
              <w:tab w:val="left" w:pos="1350"/>
            </w:tabs>
            <w:rPr>
              <w:rFonts w:eastAsiaTheme="minorEastAsia" w:cstheme="minorBidi"/>
              <w:noProof/>
              <w:sz w:val="18"/>
              <w:szCs w:val="18"/>
              <w:lang w:val="en-US"/>
            </w:rPr>
          </w:pPr>
          <w:hyperlink w:anchor="_Toc514172643" w:history="1">
            <w:r w:rsidR="001D3CA2" w:rsidRPr="00AC57EA">
              <w:rPr>
                <w:rStyle w:val="Hipervnculo"/>
                <w:i/>
                <w:noProof/>
                <w:sz w:val="18"/>
                <w:szCs w:val="18"/>
                <w:lang w:val="en-US"/>
              </w:rPr>
              <w:t xml:space="preserve">B.3.c </w:t>
            </w:r>
            <w:r w:rsidR="001D3CA2" w:rsidRPr="00AC57EA">
              <w:rPr>
                <w:rFonts w:eastAsiaTheme="minorEastAsia" w:cstheme="minorBidi"/>
                <w:noProof/>
                <w:sz w:val="18"/>
                <w:szCs w:val="18"/>
                <w:lang w:val="en-US"/>
              </w:rPr>
              <w:tab/>
            </w:r>
            <w:r w:rsidR="00FB0EBD" w:rsidRPr="00AC57EA">
              <w:rPr>
                <w:rStyle w:val="Hipervnculo"/>
                <w:i/>
                <w:noProof/>
                <w:sz w:val="18"/>
                <w:szCs w:val="18"/>
                <w:lang w:val="en-US"/>
              </w:rPr>
              <w:t xml:space="preserve">The duty to provide </w:t>
            </w:r>
            <w:r w:rsidR="00513081" w:rsidRPr="00AC57EA">
              <w:rPr>
                <w:rStyle w:val="Hipervnculo"/>
                <w:i/>
                <w:noProof/>
                <w:sz w:val="18"/>
                <w:szCs w:val="18"/>
                <w:lang w:val="en-US"/>
              </w:rPr>
              <w:t>the grounds for a decision</w:t>
            </w:r>
            <w:r w:rsidR="00FB0EBD" w:rsidRPr="00AC57EA">
              <w:rPr>
                <w:rStyle w:val="Hipervnculo"/>
                <w:i/>
                <w:noProof/>
                <w:sz w:val="18"/>
                <w:szCs w:val="18"/>
                <w:lang w:val="en-US"/>
              </w:rPr>
              <w:t xml:space="preserve"> and the guarantees against an arbitrary verdict</w:t>
            </w:r>
            <w:r w:rsidR="001D3CA2" w:rsidRPr="00AC57EA">
              <w:rPr>
                <w:noProof/>
                <w:webHidden/>
                <w:sz w:val="18"/>
                <w:szCs w:val="18"/>
                <w:lang w:val="en-US"/>
              </w:rPr>
              <w:tab/>
            </w:r>
            <w:r w:rsidR="00380659" w:rsidRPr="00AC57EA">
              <w:rPr>
                <w:noProof/>
                <w:webHidden/>
                <w:sz w:val="18"/>
                <w:szCs w:val="18"/>
                <w:lang w:val="en-US"/>
              </w:rPr>
              <w:tab/>
            </w:r>
            <w:r w:rsidR="009E1B73" w:rsidRPr="00AC57EA">
              <w:rPr>
                <w:noProof/>
                <w:webHidden/>
                <w:sz w:val="18"/>
                <w:szCs w:val="18"/>
                <w:lang w:val="en-US"/>
              </w:rPr>
              <w:tab/>
            </w:r>
            <w:r w:rsidR="00D4020E" w:rsidRPr="00AC57EA">
              <w:rPr>
                <w:noProof/>
                <w:webHidden/>
                <w:sz w:val="18"/>
                <w:szCs w:val="18"/>
                <w:lang w:val="en-US"/>
              </w:rPr>
              <w:t>69</w:t>
            </w:r>
          </w:hyperlink>
        </w:p>
        <w:p w14:paraId="59633FD0" w14:textId="3302BFC4" w:rsidR="001D3CA2" w:rsidRPr="00AC57EA" w:rsidRDefault="00811011" w:rsidP="001D3CA2">
          <w:pPr>
            <w:pStyle w:val="TDC3"/>
            <w:rPr>
              <w:rFonts w:eastAsiaTheme="minorEastAsia" w:cstheme="minorBidi"/>
              <w:noProof/>
              <w:sz w:val="18"/>
              <w:szCs w:val="18"/>
              <w:lang w:val="en-US"/>
            </w:rPr>
          </w:pPr>
          <w:hyperlink w:anchor="_Toc514172644" w:history="1">
            <w:r w:rsidR="001D3CA2" w:rsidRPr="00AC57EA">
              <w:rPr>
                <w:rStyle w:val="Hipervnculo"/>
                <w:i/>
                <w:noProof/>
                <w:sz w:val="18"/>
                <w:szCs w:val="18"/>
                <w:lang w:val="en-US"/>
              </w:rPr>
              <w:t xml:space="preserve">B.3.d </w:t>
            </w:r>
            <w:r w:rsidR="001D3CA2" w:rsidRPr="00AC57EA">
              <w:rPr>
                <w:rFonts w:eastAsiaTheme="minorEastAsia" w:cstheme="minorBidi"/>
                <w:noProof/>
                <w:sz w:val="18"/>
                <w:szCs w:val="18"/>
                <w:lang w:val="en-US"/>
              </w:rPr>
              <w:tab/>
            </w:r>
            <w:r w:rsidR="0025395E" w:rsidRPr="00AC57EA">
              <w:rPr>
                <w:rStyle w:val="Hipervnculo"/>
                <w:i/>
                <w:noProof/>
                <w:sz w:val="18"/>
                <w:szCs w:val="18"/>
                <w:lang w:val="en-US"/>
              </w:rPr>
              <w:t>Conclusion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_Toc514172644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7</w:t>
            </w:r>
            <w:r w:rsidR="00D4020E" w:rsidRPr="00AC57EA">
              <w:rPr>
                <w:noProof/>
                <w:webHidden/>
                <w:sz w:val="18"/>
                <w:szCs w:val="18"/>
                <w:lang w:val="en-US"/>
              </w:rPr>
              <w:t>4</w:t>
            </w:r>
            <w:r w:rsidR="001D3CA2" w:rsidRPr="00AC57EA">
              <w:rPr>
                <w:noProof/>
                <w:webHidden/>
                <w:sz w:val="18"/>
                <w:szCs w:val="18"/>
                <w:lang w:val="en-US"/>
              </w:rPr>
              <w:fldChar w:fldCharType="end"/>
            </w:r>
          </w:hyperlink>
        </w:p>
        <w:p w14:paraId="4F93E81A" w14:textId="535C5FCA" w:rsidR="001D3CA2" w:rsidRPr="00AC57EA" w:rsidRDefault="00811011" w:rsidP="001D3CA2">
          <w:pPr>
            <w:pStyle w:val="TDC2"/>
            <w:jc w:val="both"/>
            <w:rPr>
              <w:rFonts w:eastAsiaTheme="minorEastAsia" w:cstheme="minorBidi"/>
              <w:noProof/>
              <w:sz w:val="18"/>
              <w:szCs w:val="18"/>
              <w:lang w:val="en-US"/>
            </w:rPr>
          </w:pPr>
          <w:hyperlink w:anchor="_Toc514172645" w:history="1">
            <w:r w:rsidR="001D3CA2" w:rsidRPr="00AC57EA">
              <w:rPr>
                <w:rStyle w:val="Hipervnculo"/>
                <w:rFonts w:eastAsia="MS Mincho" w:cs="Arial"/>
                <w:b/>
                <w:bCs/>
                <w:i/>
                <w:noProof/>
                <w:kern w:val="2"/>
                <w:sz w:val="18"/>
                <w:szCs w:val="18"/>
                <w:lang w:val="en-US" w:eastAsia="en-US"/>
              </w:rPr>
              <w:t>C.</w:t>
            </w:r>
            <w:r w:rsidR="001D3CA2" w:rsidRPr="00AC57EA">
              <w:rPr>
                <w:rFonts w:eastAsiaTheme="minorEastAsia" w:cstheme="minorBidi"/>
                <w:noProof/>
                <w:sz w:val="18"/>
                <w:szCs w:val="18"/>
                <w:lang w:val="en-US"/>
              </w:rPr>
              <w:tab/>
            </w:r>
            <w:r w:rsidR="009F3BE2" w:rsidRPr="00AC57EA">
              <w:rPr>
                <w:rStyle w:val="Hipervnculo"/>
                <w:rFonts w:eastAsia="MS Mincho" w:cs="Arial"/>
                <w:b/>
                <w:bCs/>
                <w:i/>
                <w:noProof/>
                <w:kern w:val="2"/>
                <w:sz w:val="18"/>
                <w:szCs w:val="18"/>
                <w:lang w:val="en-US" w:eastAsia="en-US"/>
              </w:rPr>
              <w:t>Reasonable time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_Toc514172645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7</w:t>
            </w:r>
            <w:r w:rsidR="00D4020E" w:rsidRPr="00AC57EA">
              <w:rPr>
                <w:noProof/>
                <w:webHidden/>
                <w:sz w:val="18"/>
                <w:szCs w:val="18"/>
                <w:lang w:val="en-US"/>
              </w:rPr>
              <w:t>4</w:t>
            </w:r>
            <w:r w:rsidR="001D3CA2" w:rsidRPr="00AC57EA">
              <w:rPr>
                <w:noProof/>
                <w:webHidden/>
                <w:sz w:val="18"/>
                <w:szCs w:val="18"/>
                <w:lang w:val="en-US"/>
              </w:rPr>
              <w:fldChar w:fldCharType="end"/>
            </w:r>
          </w:hyperlink>
        </w:p>
        <w:p w14:paraId="783C099B" w14:textId="65AA45E5" w:rsidR="001D3CA2" w:rsidRPr="00AC57EA" w:rsidRDefault="00811011" w:rsidP="001D3CA2">
          <w:pPr>
            <w:pStyle w:val="TDC2"/>
            <w:jc w:val="both"/>
            <w:rPr>
              <w:rFonts w:eastAsiaTheme="minorEastAsia" w:cstheme="minorBidi"/>
              <w:noProof/>
              <w:sz w:val="18"/>
              <w:szCs w:val="18"/>
              <w:lang w:val="en-US"/>
            </w:rPr>
          </w:pPr>
          <w:hyperlink w:anchor="_Toc514172646" w:history="1">
            <w:r w:rsidR="001D3CA2" w:rsidRPr="00AC57EA">
              <w:rPr>
                <w:rStyle w:val="Hipervnculo"/>
                <w:bCs/>
                <w:i/>
                <w:noProof/>
                <w:sz w:val="18"/>
                <w:szCs w:val="18"/>
                <w:lang w:val="en-US"/>
              </w:rPr>
              <w:t xml:space="preserve">C.1 </w:t>
            </w:r>
            <w:r w:rsidR="001D3CA2" w:rsidRPr="00AC57EA">
              <w:rPr>
                <w:rFonts w:eastAsiaTheme="minorEastAsia" w:cstheme="minorBidi"/>
                <w:noProof/>
                <w:sz w:val="18"/>
                <w:szCs w:val="18"/>
                <w:lang w:val="en-US"/>
              </w:rPr>
              <w:tab/>
            </w:r>
            <w:r w:rsidR="009E569E" w:rsidRPr="00AC57EA">
              <w:rPr>
                <w:rStyle w:val="Hipervnculo"/>
                <w:bCs/>
                <w:i/>
                <w:noProof/>
                <w:sz w:val="18"/>
                <w:szCs w:val="18"/>
                <w:lang w:val="en-US"/>
              </w:rPr>
              <w:t>Arguments</w:t>
            </w:r>
            <w:r w:rsidR="001D3CA2" w:rsidRPr="00AC57EA">
              <w:rPr>
                <w:rStyle w:val="Hipervnculo"/>
                <w:bCs/>
                <w:i/>
                <w:noProof/>
                <w:sz w:val="18"/>
                <w:szCs w:val="18"/>
                <w:lang w:val="en-US"/>
              </w:rPr>
              <w:t xml:space="preserve"> </w:t>
            </w:r>
            <w:r w:rsidR="0025395E" w:rsidRPr="00AC57EA">
              <w:rPr>
                <w:rStyle w:val="Hipervnculo"/>
                <w:bCs/>
                <w:i/>
                <w:noProof/>
                <w:sz w:val="18"/>
                <w:szCs w:val="18"/>
                <w:lang w:val="en-US"/>
              </w:rPr>
              <w:t>of the parties</w:t>
            </w:r>
            <w:r w:rsidR="00171E27" w:rsidRPr="00AC57EA">
              <w:rPr>
                <w:rStyle w:val="Hipervnculo"/>
                <w:bCs/>
                <w:i/>
                <w:noProof/>
                <w:sz w:val="18"/>
                <w:szCs w:val="18"/>
                <w:lang w:val="en-US"/>
              </w:rPr>
              <w:t xml:space="preserve"> and </w:t>
            </w:r>
            <w:r w:rsidR="00B7258C" w:rsidRPr="00AC57EA">
              <w:rPr>
                <w:rStyle w:val="Hipervnculo"/>
                <w:bCs/>
                <w:i/>
                <w:noProof/>
                <w:sz w:val="18"/>
                <w:szCs w:val="18"/>
                <w:lang w:val="en-US"/>
              </w:rPr>
              <w:t>of the Commission</w:t>
            </w:r>
            <w:r w:rsidR="001D3CA2" w:rsidRPr="00AC57EA">
              <w:rPr>
                <w:rStyle w:val="Hipervnculo"/>
                <w:bCs/>
                <w:i/>
                <w:noProof/>
                <w:sz w:val="18"/>
                <w:szCs w:val="18"/>
                <w:lang w:val="en-US"/>
              </w:rPr>
              <w:t xml:space="preserve"> </w:t>
            </w:r>
            <w:r w:rsidR="009F3BE2" w:rsidRPr="00AC57EA">
              <w:rPr>
                <w:rStyle w:val="Hipervnculo"/>
                <w:bCs/>
                <w:i/>
                <w:noProof/>
                <w:sz w:val="18"/>
                <w:szCs w:val="18"/>
                <w:lang w:val="en-US"/>
              </w:rPr>
              <w:t>concerning</w:t>
            </w:r>
            <w:r w:rsidR="001D3CA2" w:rsidRPr="00AC57EA">
              <w:rPr>
                <w:rStyle w:val="Hipervnculo"/>
                <w:bCs/>
                <w:i/>
                <w:noProof/>
                <w:sz w:val="18"/>
                <w:szCs w:val="18"/>
                <w:lang w:val="en-US"/>
              </w:rPr>
              <w:t xml:space="preserve"> </w:t>
            </w:r>
            <w:r w:rsidR="009F3BE2" w:rsidRPr="00AC57EA">
              <w:rPr>
                <w:rStyle w:val="Hipervnculo"/>
                <w:bCs/>
                <w:i/>
                <w:noProof/>
                <w:sz w:val="18"/>
                <w:szCs w:val="18"/>
                <w:lang w:val="en-US"/>
              </w:rPr>
              <w:t>reasonable time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_Toc514172646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7</w:t>
            </w:r>
            <w:r w:rsidR="00D4020E" w:rsidRPr="00AC57EA">
              <w:rPr>
                <w:noProof/>
                <w:webHidden/>
                <w:sz w:val="18"/>
                <w:szCs w:val="18"/>
                <w:lang w:val="en-US"/>
              </w:rPr>
              <w:t>4</w:t>
            </w:r>
            <w:r w:rsidR="001D3CA2" w:rsidRPr="00AC57EA">
              <w:rPr>
                <w:noProof/>
                <w:webHidden/>
                <w:sz w:val="18"/>
                <w:szCs w:val="18"/>
                <w:lang w:val="en-US"/>
              </w:rPr>
              <w:fldChar w:fldCharType="end"/>
            </w:r>
          </w:hyperlink>
        </w:p>
        <w:p w14:paraId="3249692F" w14:textId="7C9BB9F3" w:rsidR="001D3CA2" w:rsidRPr="00AC57EA" w:rsidRDefault="00811011" w:rsidP="001D3CA2">
          <w:pPr>
            <w:pStyle w:val="TDC2"/>
            <w:jc w:val="both"/>
            <w:rPr>
              <w:rFonts w:eastAsiaTheme="minorEastAsia" w:cstheme="minorBidi"/>
              <w:noProof/>
              <w:sz w:val="18"/>
              <w:szCs w:val="18"/>
              <w:lang w:val="en-US"/>
            </w:rPr>
          </w:pPr>
          <w:hyperlink w:anchor="_Toc514172647" w:history="1">
            <w:r w:rsidR="001D3CA2" w:rsidRPr="00AC57EA">
              <w:rPr>
                <w:rStyle w:val="Hipervnculo"/>
                <w:bCs/>
                <w:i/>
                <w:noProof/>
                <w:sz w:val="18"/>
                <w:szCs w:val="18"/>
                <w:lang w:val="en-US"/>
              </w:rPr>
              <w:t>C.2</w:t>
            </w:r>
            <w:r w:rsidR="001D3CA2" w:rsidRPr="00AC57EA">
              <w:rPr>
                <w:rFonts w:eastAsiaTheme="minorEastAsia" w:cstheme="minorBidi"/>
                <w:noProof/>
                <w:sz w:val="18"/>
                <w:szCs w:val="18"/>
                <w:lang w:val="en-US"/>
              </w:rPr>
              <w:tab/>
            </w:r>
            <w:r w:rsidR="002223C8" w:rsidRPr="00AC57EA">
              <w:rPr>
                <w:rStyle w:val="Hipervnculo"/>
                <w:bCs/>
                <w:i/>
                <w:noProof/>
                <w:sz w:val="18"/>
                <w:szCs w:val="18"/>
                <w:lang w:val="en-US"/>
              </w:rPr>
              <w:t>Considerations</w:t>
            </w:r>
            <w:r w:rsidR="00B7258C" w:rsidRPr="00AC57EA">
              <w:rPr>
                <w:rStyle w:val="Hipervnculo"/>
                <w:bCs/>
                <w:i/>
                <w:noProof/>
                <w:sz w:val="18"/>
                <w:szCs w:val="18"/>
                <w:lang w:val="en-US"/>
              </w:rPr>
              <w:t xml:space="preserve"> of the Court</w:t>
            </w:r>
            <w:r w:rsidR="001D3CA2" w:rsidRPr="00AC57EA">
              <w:rPr>
                <w:noProof/>
                <w:webHidden/>
                <w:sz w:val="18"/>
                <w:szCs w:val="18"/>
                <w:lang w:val="en-US"/>
              </w:rPr>
              <w:tab/>
            </w:r>
            <w:r w:rsidR="00D4020E" w:rsidRPr="00AC57EA">
              <w:rPr>
                <w:noProof/>
                <w:webHidden/>
                <w:sz w:val="18"/>
                <w:szCs w:val="18"/>
                <w:lang w:val="en-US"/>
              </w:rPr>
              <w:t>75</w:t>
            </w:r>
          </w:hyperlink>
        </w:p>
        <w:p w14:paraId="4554FCE0" w14:textId="58F85C8D" w:rsidR="001D3CA2" w:rsidRPr="00AC57EA" w:rsidRDefault="00811011" w:rsidP="001D3CA2">
          <w:pPr>
            <w:pStyle w:val="TDC2"/>
            <w:jc w:val="both"/>
            <w:rPr>
              <w:rFonts w:eastAsiaTheme="minorEastAsia" w:cstheme="minorBidi"/>
              <w:noProof/>
              <w:sz w:val="18"/>
              <w:szCs w:val="18"/>
              <w:lang w:val="en-US"/>
            </w:rPr>
          </w:pPr>
          <w:hyperlink w:anchor="_Toc514172648" w:history="1">
            <w:r w:rsidR="001D3CA2" w:rsidRPr="00AC57EA">
              <w:rPr>
                <w:rStyle w:val="Hipervnculo"/>
                <w:rFonts w:eastAsia="MS Mincho" w:cs="Arial"/>
                <w:b/>
                <w:bCs/>
                <w:i/>
                <w:noProof/>
                <w:kern w:val="2"/>
                <w:sz w:val="18"/>
                <w:szCs w:val="18"/>
                <w:lang w:val="en-US" w:eastAsia="en-US"/>
              </w:rPr>
              <w:t>D.</w:t>
            </w:r>
            <w:r w:rsidR="001D3CA2" w:rsidRPr="00AC57EA">
              <w:rPr>
                <w:rFonts w:eastAsiaTheme="minorEastAsia" w:cstheme="minorBidi"/>
                <w:noProof/>
                <w:sz w:val="18"/>
                <w:szCs w:val="18"/>
                <w:lang w:val="en-US"/>
              </w:rPr>
              <w:tab/>
            </w:r>
            <w:r w:rsidR="00837200" w:rsidRPr="00AC57EA">
              <w:rPr>
                <w:rStyle w:val="Hipervnculo"/>
                <w:rFonts w:eastAsia="MS Mincho" w:cs="Arial"/>
                <w:b/>
                <w:bCs/>
                <w:i/>
                <w:noProof/>
                <w:kern w:val="2"/>
                <w:sz w:val="18"/>
                <w:szCs w:val="18"/>
                <w:lang w:val="en-US" w:eastAsia="en-US"/>
              </w:rPr>
              <w:t>The principle of equality and non-discrimination in the</w:t>
            </w:r>
            <w:r w:rsidR="001D3CA2" w:rsidRPr="00AC57EA">
              <w:rPr>
                <w:rStyle w:val="Hipervnculo"/>
                <w:rFonts w:eastAsia="MS Mincho" w:cs="Arial"/>
                <w:b/>
                <w:bCs/>
                <w:i/>
                <w:noProof/>
                <w:kern w:val="2"/>
                <w:sz w:val="18"/>
                <w:szCs w:val="18"/>
                <w:lang w:val="en-US" w:eastAsia="en-US"/>
              </w:rPr>
              <w:t xml:space="preserve"> </w:t>
            </w:r>
            <w:r w:rsidR="002A5974" w:rsidRPr="00AC57EA">
              <w:rPr>
                <w:rStyle w:val="Hipervnculo"/>
                <w:rFonts w:eastAsia="MS Mincho" w:cs="Arial"/>
                <w:b/>
                <w:bCs/>
                <w:i/>
                <w:noProof/>
                <w:kern w:val="2"/>
                <w:sz w:val="18"/>
                <w:szCs w:val="18"/>
                <w:lang w:val="en-US" w:eastAsia="en-US"/>
              </w:rPr>
              <w:t>access to justice</w:t>
            </w:r>
            <w:r w:rsidR="001D3CA2" w:rsidRPr="00AC57EA">
              <w:rPr>
                <w:rStyle w:val="Hipervnculo"/>
                <w:rFonts w:eastAsia="MS Mincho" w:cs="Arial"/>
                <w:b/>
                <w:bCs/>
                <w:i/>
                <w:noProof/>
                <w:kern w:val="2"/>
                <w:sz w:val="18"/>
                <w:szCs w:val="18"/>
                <w:lang w:val="en-US" w:eastAsia="en-US"/>
              </w:rPr>
              <w:t xml:space="preserve"> </w:t>
            </w:r>
            <w:r w:rsidR="00837200" w:rsidRPr="00AC57EA">
              <w:rPr>
                <w:rStyle w:val="Hipervnculo"/>
                <w:rFonts w:eastAsia="MS Mincho" w:cs="Arial"/>
                <w:b/>
                <w:bCs/>
                <w:i/>
                <w:noProof/>
                <w:kern w:val="2"/>
                <w:sz w:val="18"/>
                <w:szCs w:val="18"/>
                <w:lang w:val="en-US" w:eastAsia="en-US"/>
              </w:rPr>
              <w:t>of the child V.R.P. and institutional violence</w:t>
            </w:r>
            <w:r w:rsidR="001D3CA2" w:rsidRPr="00AC57EA">
              <w:rPr>
                <w:noProof/>
                <w:webHidden/>
                <w:sz w:val="18"/>
                <w:szCs w:val="18"/>
                <w:lang w:val="en-US"/>
              </w:rPr>
              <w:tab/>
            </w:r>
            <w:r w:rsidR="00D4020E" w:rsidRPr="00AC57EA">
              <w:rPr>
                <w:noProof/>
                <w:webHidden/>
                <w:sz w:val="18"/>
                <w:szCs w:val="18"/>
                <w:lang w:val="en-US"/>
              </w:rPr>
              <w:t>77</w:t>
            </w:r>
          </w:hyperlink>
        </w:p>
        <w:p w14:paraId="6875FE2E" w14:textId="0502A456" w:rsidR="001D3CA2" w:rsidRPr="00AC57EA" w:rsidRDefault="00811011" w:rsidP="001D3CA2">
          <w:pPr>
            <w:pStyle w:val="TDC2"/>
            <w:jc w:val="both"/>
            <w:rPr>
              <w:rFonts w:eastAsiaTheme="minorEastAsia" w:cstheme="minorBidi"/>
              <w:noProof/>
              <w:sz w:val="18"/>
              <w:szCs w:val="18"/>
              <w:lang w:val="en-US"/>
            </w:rPr>
          </w:pPr>
          <w:hyperlink w:anchor="_Toc514172649" w:history="1">
            <w:r w:rsidR="001D3CA2" w:rsidRPr="00AC57EA">
              <w:rPr>
                <w:rStyle w:val="Hipervnculo"/>
                <w:bCs/>
                <w:i/>
                <w:noProof/>
                <w:sz w:val="18"/>
                <w:szCs w:val="18"/>
                <w:lang w:val="en-US"/>
              </w:rPr>
              <w:t xml:space="preserve">D.1 </w:t>
            </w:r>
            <w:r w:rsidR="001D3CA2" w:rsidRPr="00AC57EA">
              <w:rPr>
                <w:rFonts w:eastAsiaTheme="minorEastAsia" w:cstheme="minorBidi"/>
                <w:noProof/>
                <w:sz w:val="18"/>
                <w:szCs w:val="18"/>
                <w:lang w:val="en-US"/>
              </w:rPr>
              <w:tab/>
            </w:r>
            <w:r w:rsidR="009E569E" w:rsidRPr="00AC57EA">
              <w:rPr>
                <w:rStyle w:val="Hipervnculo"/>
                <w:bCs/>
                <w:i/>
                <w:noProof/>
                <w:sz w:val="18"/>
                <w:szCs w:val="18"/>
                <w:lang w:val="en-US"/>
              </w:rPr>
              <w:t>Arguments</w:t>
            </w:r>
            <w:r w:rsidR="001D3CA2" w:rsidRPr="00AC57EA">
              <w:rPr>
                <w:rStyle w:val="Hipervnculo"/>
                <w:bCs/>
                <w:i/>
                <w:noProof/>
                <w:sz w:val="18"/>
                <w:szCs w:val="18"/>
                <w:lang w:val="en-US"/>
              </w:rPr>
              <w:t xml:space="preserve"> </w:t>
            </w:r>
            <w:r w:rsidR="0025395E" w:rsidRPr="00AC57EA">
              <w:rPr>
                <w:rStyle w:val="Hipervnculo"/>
                <w:bCs/>
                <w:i/>
                <w:noProof/>
                <w:sz w:val="18"/>
                <w:szCs w:val="18"/>
                <w:lang w:val="en-US"/>
              </w:rPr>
              <w:t>of the parties</w:t>
            </w:r>
            <w:r w:rsidR="00171E27" w:rsidRPr="00AC57EA">
              <w:rPr>
                <w:rStyle w:val="Hipervnculo"/>
                <w:bCs/>
                <w:i/>
                <w:noProof/>
                <w:sz w:val="18"/>
                <w:szCs w:val="18"/>
                <w:lang w:val="en-US"/>
              </w:rPr>
              <w:t xml:space="preserve"> and </w:t>
            </w:r>
            <w:r w:rsidR="00B7258C" w:rsidRPr="00AC57EA">
              <w:rPr>
                <w:rStyle w:val="Hipervnculo"/>
                <w:bCs/>
                <w:i/>
                <w:noProof/>
                <w:sz w:val="18"/>
                <w:szCs w:val="18"/>
                <w:lang w:val="en-US"/>
              </w:rPr>
              <w:t>of the Commission</w:t>
            </w:r>
            <w:r w:rsidR="001D3CA2" w:rsidRPr="00AC57EA">
              <w:rPr>
                <w:noProof/>
                <w:webHidden/>
                <w:sz w:val="18"/>
                <w:szCs w:val="18"/>
                <w:lang w:val="en-US"/>
              </w:rPr>
              <w:tab/>
            </w:r>
            <w:r w:rsidR="00D4020E" w:rsidRPr="00AC57EA">
              <w:rPr>
                <w:noProof/>
                <w:webHidden/>
                <w:sz w:val="18"/>
                <w:szCs w:val="18"/>
                <w:lang w:val="en-US"/>
              </w:rPr>
              <w:t>77</w:t>
            </w:r>
          </w:hyperlink>
        </w:p>
        <w:p w14:paraId="11A51EA1" w14:textId="6799D5BF" w:rsidR="001D3CA2" w:rsidRPr="00AC57EA" w:rsidRDefault="00811011" w:rsidP="001D3CA2">
          <w:pPr>
            <w:pStyle w:val="TDC2"/>
            <w:jc w:val="both"/>
            <w:rPr>
              <w:rFonts w:eastAsiaTheme="minorEastAsia" w:cstheme="minorBidi"/>
              <w:noProof/>
              <w:sz w:val="18"/>
              <w:szCs w:val="18"/>
              <w:lang w:val="en-US"/>
            </w:rPr>
          </w:pPr>
          <w:hyperlink w:anchor="_Toc514172650" w:history="1">
            <w:r w:rsidR="001D3CA2" w:rsidRPr="00AC57EA">
              <w:rPr>
                <w:rStyle w:val="Hipervnculo"/>
                <w:bCs/>
                <w:i/>
                <w:noProof/>
                <w:sz w:val="18"/>
                <w:szCs w:val="18"/>
                <w:lang w:val="en-US"/>
              </w:rPr>
              <w:t xml:space="preserve">D.2 </w:t>
            </w:r>
            <w:r w:rsidR="001D3CA2" w:rsidRPr="00AC57EA">
              <w:rPr>
                <w:rFonts w:eastAsiaTheme="minorEastAsia" w:cstheme="minorBidi"/>
                <w:noProof/>
                <w:sz w:val="18"/>
                <w:szCs w:val="18"/>
                <w:lang w:val="en-US"/>
              </w:rPr>
              <w:tab/>
            </w:r>
            <w:r w:rsidR="002223C8" w:rsidRPr="00AC57EA">
              <w:rPr>
                <w:rStyle w:val="Hipervnculo"/>
                <w:bCs/>
                <w:i/>
                <w:noProof/>
                <w:sz w:val="18"/>
                <w:szCs w:val="18"/>
                <w:lang w:val="en-US"/>
              </w:rPr>
              <w:t>Considerations</w:t>
            </w:r>
            <w:r w:rsidR="00B7258C" w:rsidRPr="00AC57EA">
              <w:rPr>
                <w:rStyle w:val="Hipervnculo"/>
                <w:bCs/>
                <w:i/>
                <w:noProof/>
                <w:sz w:val="18"/>
                <w:szCs w:val="18"/>
                <w:lang w:val="en-US"/>
              </w:rPr>
              <w:t xml:space="preserve"> of the Court</w:t>
            </w:r>
            <w:r w:rsidR="001D3CA2" w:rsidRPr="00AC57EA">
              <w:rPr>
                <w:noProof/>
                <w:webHidden/>
                <w:sz w:val="18"/>
                <w:szCs w:val="18"/>
                <w:lang w:val="en-US"/>
              </w:rPr>
              <w:tab/>
            </w:r>
            <w:r w:rsidR="00D4020E" w:rsidRPr="00AC57EA">
              <w:rPr>
                <w:noProof/>
                <w:webHidden/>
                <w:sz w:val="18"/>
                <w:szCs w:val="18"/>
                <w:lang w:val="en-US"/>
              </w:rPr>
              <w:t>78</w:t>
            </w:r>
          </w:hyperlink>
        </w:p>
        <w:p w14:paraId="0694B9E5" w14:textId="78EE94AB" w:rsidR="001D3CA2" w:rsidRPr="00AC57EA" w:rsidRDefault="00811011" w:rsidP="001D3CA2">
          <w:pPr>
            <w:pStyle w:val="TDC2"/>
            <w:jc w:val="both"/>
            <w:rPr>
              <w:rFonts w:eastAsiaTheme="minorEastAsia" w:cstheme="minorBidi"/>
              <w:noProof/>
              <w:sz w:val="18"/>
              <w:szCs w:val="18"/>
              <w:lang w:val="en-US"/>
            </w:rPr>
          </w:pPr>
          <w:hyperlink w:anchor="_Toc514172651" w:history="1">
            <w:r w:rsidR="001D3CA2" w:rsidRPr="00AC57EA">
              <w:rPr>
                <w:rStyle w:val="Hipervnculo"/>
                <w:rFonts w:eastAsia="MS Mincho" w:cs="Arial"/>
                <w:b/>
                <w:bCs/>
                <w:i/>
                <w:noProof/>
                <w:kern w:val="2"/>
                <w:sz w:val="18"/>
                <w:szCs w:val="18"/>
                <w:lang w:val="en-US" w:eastAsia="en-US"/>
              </w:rPr>
              <w:t>E.</w:t>
            </w:r>
            <w:r w:rsidR="001D3CA2" w:rsidRPr="00AC57EA">
              <w:rPr>
                <w:rFonts w:eastAsiaTheme="minorEastAsia" w:cstheme="minorBidi"/>
                <w:noProof/>
                <w:sz w:val="18"/>
                <w:szCs w:val="18"/>
                <w:lang w:val="en-US"/>
              </w:rPr>
              <w:tab/>
            </w:r>
            <w:r w:rsidR="004A7A03" w:rsidRPr="00AC57EA">
              <w:rPr>
                <w:rStyle w:val="Hipervnculo"/>
                <w:rFonts w:eastAsia="MS Mincho" w:cs="Arial"/>
                <w:b/>
                <w:bCs/>
                <w:i/>
                <w:noProof/>
                <w:kern w:val="2"/>
                <w:sz w:val="18"/>
                <w:szCs w:val="18"/>
                <w:lang w:val="en-US" w:eastAsia="en-US"/>
              </w:rPr>
              <w:t>An effective remedy and the right to know the truth</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_Toc514172651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D4020E" w:rsidRPr="00AC57EA">
              <w:rPr>
                <w:noProof/>
                <w:webHidden/>
                <w:sz w:val="18"/>
                <w:szCs w:val="18"/>
                <w:lang w:val="en-US"/>
              </w:rPr>
              <w:t>1</w:t>
            </w:r>
            <w:r w:rsidR="001D3CA2" w:rsidRPr="00AC57EA">
              <w:rPr>
                <w:noProof/>
                <w:webHidden/>
                <w:sz w:val="18"/>
                <w:szCs w:val="18"/>
                <w:lang w:val="en-US"/>
              </w:rPr>
              <w:fldChar w:fldCharType="end"/>
            </w:r>
          </w:hyperlink>
        </w:p>
        <w:p w14:paraId="12AC2A89" w14:textId="32B78118" w:rsidR="001D3CA2" w:rsidRPr="00AC57EA" w:rsidRDefault="00811011" w:rsidP="001D3CA2">
          <w:pPr>
            <w:pStyle w:val="TDC2"/>
            <w:jc w:val="both"/>
            <w:rPr>
              <w:rFonts w:eastAsiaTheme="minorEastAsia" w:cstheme="minorBidi"/>
              <w:noProof/>
              <w:sz w:val="18"/>
              <w:szCs w:val="18"/>
              <w:lang w:val="en-US"/>
            </w:rPr>
          </w:pPr>
          <w:hyperlink w:anchor="_Toc514172652" w:history="1">
            <w:r w:rsidR="001D3CA2" w:rsidRPr="00AC57EA">
              <w:rPr>
                <w:rStyle w:val="Hipervnculo"/>
                <w:i/>
                <w:noProof/>
                <w:sz w:val="18"/>
                <w:szCs w:val="18"/>
                <w:lang w:val="en-US"/>
              </w:rPr>
              <w:t>E.1</w:t>
            </w:r>
            <w:r w:rsidR="001D3CA2" w:rsidRPr="00AC57EA">
              <w:rPr>
                <w:rFonts w:eastAsiaTheme="minorEastAsia" w:cstheme="minorBidi"/>
                <w:noProof/>
                <w:sz w:val="18"/>
                <w:szCs w:val="18"/>
                <w:lang w:val="en-US"/>
              </w:rPr>
              <w:tab/>
            </w:r>
            <w:r w:rsidR="001120B6" w:rsidRPr="00AC57EA">
              <w:rPr>
                <w:rStyle w:val="Hipervnculo"/>
                <w:i/>
                <w:noProof/>
                <w:sz w:val="18"/>
                <w:szCs w:val="18"/>
                <w:lang w:val="en-US"/>
              </w:rPr>
              <w:t>Arguments of the parties</w:t>
            </w:r>
            <w:r w:rsidR="00171E27" w:rsidRPr="00AC57EA">
              <w:rPr>
                <w:rStyle w:val="Hipervnculo"/>
                <w:i/>
                <w:noProof/>
                <w:sz w:val="18"/>
                <w:szCs w:val="18"/>
                <w:lang w:val="en-US"/>
              </w:rPr>
              <w:t xml:space="preserve"> and </w:t>
            </w:r>
            <w:r w:rsidR="00B7258C" w:rsidRPr="00AC57EA">
              <w:rPr>
                <w:rStyle w:val="Hipervnculo"/>
                <w:i/>
                <w:noProof/>
                <w:sz w:val="18"/>
                <w:szCs w:val="18"/>
                <w:lang w:val="en-US"/>
              </w:rPr>
              <w:t>of the Commission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_Toc514172652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D4020E" w:rsidRPr="00AC57EA">
              <w:rPr>
                <w:noProof/>
                <w:webHidden/>
                <w:sz w:val="18"/>
                <w:szCs w:val="18"/>
                <w:lang w:val="en-US"/>
              </w:rPr>
              <w:t>1</w:t>
            </w:r>
            <w:r w:rsidR="001D3CA2" w:rsidRPr="00AC57EA">
              <w:rPr>
                <w:noProof/>
                <w:webHidden/>
                <w:sz w:val="18"/>
                <w:szCs w:val="18"/>
                <w:lang w:val="en-US"/>
              </w:rPr>
              <w:fldChar w:fldCharType="end"/>
            </w:r>
          </w:hyperlink>
        </w:p>
        <w:p w14:paraId="71E880EA" w14:textId="6CA3AF42" w:rsidR="001D3CA2" w:rsidRPr="00AC57EA" w:rsidRDefault="00811011" w:rsidP="001D3CA2">
          <w:pPr>
            <w:pStyle w:val="TDC2"/>
            <w:jc w:val="both"/>
            <w:rPr>
              <w:rFonts w:eastAsiaTheme="minorEastAsia" w:cstheme="minorBidi"/>
              <w:noProof/>
              <w:sz w:val="18"/>
              <w:szCs w:val="18"/>
              <w:lang w:val="en-US"/>
            </w:rPr>
          </w:pPr>
          <w:hyperlink w:anchor="_Toc514172653" w:history="1">
            <w:r w:rsidR="001D3CA2" w:rsidRPr="00AC57EA">
              <w:rPr>
                <w:rStyle w:val="Hipervnculo"/>
                <w:bCs/>
                <w:i/>
                <w:noProof/>
                <w:sz w:val="18"/>
                <w:szCs w:val="18"/>
                <w:lang w:val="en-US"/>
              </w:rPr>
              <w:t xml:space="preserve">E.2 </w:t>
            </w:r>
            <w:r w:rsidR="001D3CA2" w:rsidRPr="00AC57EA">
              <w:rPr>
                <w:rFonts w:eastAsiaTheme="minorEastAsia" w:cstheme="minorBidi"/>
                <w:noProof/>
                <w:sz w:val="18"/>
                <w:szCs w:val="18"/>
                <w:lang w:val="en-US"/>
              </w:rPr>
              <w:tab/>
            </w:r>
            <w:r w:rsidR="002223C8" w:rsidRPr="00AC57EA">
              <w:rPr>
                <w:rStyle w:val="Hipervnculo"/>
                <w:bCs/>
                <w:i/>
                <w:noProof/>
                <w:sz w:val="18"/>
                <w:szCs w:val="18"/>
                <w:lang w:val="en-US"/>
              </w:rPr>
              <w:t>Considerations</w:t>
            </w:r>
            <w:r w:rsidR="00B7258C" w:rsidRPr="00AC57EA">
              <w:rPr>
                <w:rStyle w:val="Hipervnculo"/>
                <w:bCs/>
                <w:i/>
                <w:noProof/>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_Toc514172653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D4020E" w:rsidRPr="00AC57EA">
              <w:rPr>
                <w:noProof/>
                <w:webHidden/>
                <w:sz w:val="18"/>
                <w:szCs w:val="18"/>
                <w:lang w:val="en-US"/>
              </w:rPr>
              <w:t>1</w:t>
            </w:r>
            <w:r w:rsidR="001D3CA2" w:rsidRPr="00AC57EA">
              <w:rPr>
                <w:noProof/>
                <w:webHidden/>
                <w:sz w:val="18"/>
                <w:szCs w:val="18"/>
                <w:lang w:val="en-US"/>
              </w:rPr>
              <w:fldChar w:fldCharType="end"/>
            </w:r>
          </w:hyperlink>
        </w:p>
        <w:p w14:paraId="7FA68538" w14:textId="0953A6BE" w:rsidR="001D3CA2" w:rsidRPr="00AC57EA" w:rsidRDefault="00811011" w:rsidP="001D3CA2">
          <w:pPr>
            <w:pStyle w:val="TDC2"/>
            <w:jc w:val="both"/>
            <w:rPr>
              <w:rFonts w:eastAsiaTheme="minorEastAsia" w:cstheme="minorBidi"/>
              <w:noProof/>
              <w:sz w:val="18"/>
              <w:szCs w:val="18"/>
              <w:lang w:val="en-US"/>
            </w:rPr>
          </w:pPr>
          <w:hyperlink w:anchor="_Toc514172654" w:history="1">
            <w:r w:rsidR="001D3CA2" w:rsidRPr="00AC57EA">
              <w:rPr>
                <w:rStyle w:val="Hipervnculo"/>
                <w:rFonts w:eastAsia="MS Mincho" w:cs="Arial"/>
                <w:b/>
                <w:bCs/>
                <w:i/>
                <w:noProof/>
                <w:kern w:val="2"/>
                <w:sz w:val="18"/>
                <w:szCs w:val="18"/>
                <w:lang w:val="en-US" w:eastAsia="en-US"/>
              </w:rPr>
              <w:t>F.</w:t>
            </w:r>
            <w:r w:rsidR="001D3CA2" w:rsidRPr="00AC57EA">
              <w:rPr>
                <w:rFonts w:eastAsiaTheme="minorEastAsia" w:cstheme="minorBidi"/>
                <w:noProof/>
                <w:sz w:val="18"/>
                <w:szCs w:val="18"/>
                <w:lang w:val="en-US"/>
              </w:rPr>
              <w:tab/>
            </w:r>
            <w:r w:rsidR="0025395E" w:rsidRPr="00AC57EA">
              <w:rPr>
                <w:rStyle w:val="Hipervnculo"/>
                <w:rFonts w:eastAsia="MS Mincho" w:cs="Arial"/>
                <w:b/>
                <w:bCs/>
                <w:i/>
                <w:noProof/>
                <w:kern w:val="2"/>
                <w:sz w:val="18"/>
                <w:szCs w:val="18"/>
                <w:lang w:val="en-US" w:eastAsia="en-US"/>
              </w:rPr>
              <w:t>Conclusion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_Toc514172654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D4020E" w:rsidRPr="00AC57EA">
              <w:rPr>
                <w:noProof/>
                <w:webHidden/>
                <w:sz w:val="18"/>
                <w:szCs w:val="18"/>
                <w:lang w:val="en-US"/>
              </w:rPr>
              <w:t>1</w:t>
            </w:r>
            <w:r w:rsidR="001D3CA2" w:rsidRPr="00AC57EA">
              <w:rPr>
                <w:noProof/>
                <w:webHidden/>
                <w:sz w:val="18"/>
                <w:szCs w:val="18"/>
                <w:lang w:val="en-US"/>
              </w:rPr>
              <w:fldChar w:fldCharType="end"/>
            </w:r>
          </w:hyperlink>
        </w:p>
        <w:p w14:paraId="3251AB0F" w14:textId="064DD5DA"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55" w:history="1">
            <w:r w:rsidR="001D3CA2" w:rsidRPr="00AC57EA">
              <w:rPr>
                <w:rStyle w:val="Hipervnculo"/>
                <w:rFonts w:cs="Arial"/>
                <w:b/>
                <w:bCs/>
                <w:caps/>
                <w:noProof/>
                <w:kern w:val="2"/>
                <w:sz w:val="18"/>
                <w:szCs w:val="18"/>
                <w:lang w:val="en-US" w:eastAsia="en-US"/>
              </w:rPr>
              <w:t xml:space="preserve">VIII-2 </w:t>
            </w:r>
            <w:r w:rsidR="00537C04" w:rsidRPr="00AC57EA">
              <w:rPr>
                <w:rStyle w:val="Hipervnculo"/>
                <w:rFonts w:cs="Arial"/>
                <w:b/>
                <w:bCs/>
                <w:caps/>
                <w:noProof/>
                <w:kern w:val="2"/>
                <w:sz w:val="18"/>
                <w:szCs w:val="18"/>
                <w:lang w:val="en-US" w:eastAsia="en-US"/>
              </w:rPr>
              <w:t>RIGHTS TO RESIDENCE</w:t>
            </w:r>
            <w:r w:rsidR="001D3CA2" w:rsidRPr="00AC57EA">
              <w:rPr>
                <w:rStyle w:val="Hipervnculo"/>
                <w:rFonts w:cs="Arial"/>
                <w:b/>
                <w:bCs/>
                <w:caps/>
                <w:noProof/>
                <w:kern w:val="2"/>
                <w:sz w:val="18"/>
                <w:szCs w:val="18"/>
                <w:lang w:val="en-US" w:eastAsia="en-US"/>
              </w:rPr>
              <w:t xml:space="preserve">, </w:t>
            </w:r>
            <w:r w:rsidR="00537C04" w:rsidRPr="00AC57EA">
              <w:rPr>
                <w:rStyle w:val="Hipervnculo"/>
                <w:rFonts w:cs="Arial"/>
                <w:b/>
                <w:bCs/>
                <w:caps/>
                <w:noProof/>
                <w:kern w:val="2"/>
                <w:sz w:val="18"/>
                <w:szCs w:val="18"/>
                <w:lang w:val="en-US" w:eastAsia="en-US"/>
              </w:rPr>
              <w:t>PROTECTION OF THE FAMILY</w:t>
            </w:r>
            <w:r w:rsidR="001D3CA2" w:rsidRPr="00AC57EA">
              <w:rPr>
                <w:rStyle w:val="Hipervnculo"/>
                <w:rFonts w:cs="Arial"/>
                <w:b/>
                <w:bCs/>
                <w:caps/>
                <w:noProof/>
                <w:kern w:val="2"/>
                <w:sz w:val="18"/>
                <w:szCs w:val="18"/>
                <w:lang w:val="en-US" w:eastAsia="en-US"/>
              </w:rPr>
              <w:t xml:space="preserve">, </w:t>
            </w:r>
            <w:r w:rsidR="00537C04" w:rsidRPr="00AC57EA">
              <w:rPr>
                <w:rStyle w:val="Hipervnculo"/>
                <w:rFonts w:cs="Arial"/>
                <w:b/>
                <w:bCs/>
                <w:caps/>
                <w:noProof/>
                <w:kern w:val="2"/>
                <w:sz w:val="18"/>
                <w:szCs w:val="18"/>
                <w:lang w:val="en-US" w:eastAsia="en-US"/>
              </w:rPr>
              <w:t>AND SPECIAL MEASURES OF PROTECTION FOR CHILDREN</w:t>
            </w:r>
            <w:r w:rsidR="001D3CA2" w:rsidRPr="00AC57EA">
              <w:rPr>
                <w:rStyle w:val="Hipervnculo"/>
                <w:rFonts w:cs="Arial"/>
                <w:b/>
                <w:bCs/>
                <w:caps/>
                <w:noProof/>
                <w:kern w:val="2"/>
                <w:sz w:val="18"/>
                <w:szCs w:val="18"/>
                <w:lang w:val="en-US" w:eastAsia="en-US"/>
              </w:rPr>
              <w:t xml:space="preserve"> </w:t>
            </w:r>
            <w:r w:rsidR="00B65C64" w:rsidRPr="00AC57EA">
              <w:rPr>
                <w:rStyle w:val="Hipervnculo"/>
                <w:rFonts w:cs="Arial"/>
                <w:b/>
                <w:bCs/>
                <w:caps/>
                <w:noProof/>
                <w:kern w:val="2"/>
                <w:sz w:val="18"/>
                <w:szCs w:val="18"/>
                <w:lang w:val="en-US" w:eastAsia="en-US"/>
              </w:rPr>
              <w:t>IN RELATION TO THE OBLIGATIONS TO RESPECT AND TO ENSURE RIGHTS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_Toc514172655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D4020E" w:rsidRPr="00AC57EA">
              <w:rPr>
                <w:noProof/>
                <w:webHidden/>
                <w:sz w:val="18"/>
                <w:szCs w:val="18"/>
                <w:lang w:val="en-US"/>
              </w:rPr>
              <w:t>2</w:t>
            </w:r>
            <w:r w:rsidR="001D3CA2" w:rsidRPr="00AC57EA">
              <w:rPr>
                <w:noProof/>
                <w:webHidden/>
                <w:sz w:val="18"/>
                <w:szCs w:val="18"/>
                <w:lang w:val="en-US"/>
              </w:rPr>
              <w:fldChar w:fldCharType="end"/>
            </w:r>
          </w:hyperlink>
        </w:p>
        <w:p w14:paraId="021C1FB7" w14:textId="0D9C3C82" w:rsidR="001D3CA2" w:rsidRPr="00AC57EA" w:rsidRDefault="00811011" w:rsidP="001D3CA2">
          <w:pPr>
            <w:pStyle w:val="TDC2"/>
            <w:jc w:val="both"/>
            <w:rPr>
              <w:rFonts w:eastAsiaTheme="minorEastAsia" w:cstheme="minorBidi"/>
              <w:noProof/>
              <w:sz w:val="18"/>
              <w:szCs w:val="18"/>
              <w:lang w:val="en-US"/>
            </w:rPr>
          </w:pPr>
          <w:hyperlink w:anchor="_Toc514172656" w:history="1">
            <w:r w:rsidR="001D3CA2" w:rsidRPr="00AC57EA">
              <w:rPr>
                <w:rStyle w:val="Hipervnculo"/>
                <w:rFonts w:eastAsia="MS Mincho" w:cs="Arial"/>
                <w:b/>
                <w:bCs/>
                <w:i/>
                <w:noProof/>
                <w:kern w:val="2"/>
                <w:sz w:val="18"/>
                <w:szCs w:val="18"/>
                <w:lang w:val="en-US" w:eastAsia="en-US"/>
              </w:rPr>
              <w:t>A.</w:t>
            </w:r>
            <w:r w:rsidR="001D3CA2" w:rsidRPr="00AC57EA">
              <w:rPr>
                <w:rFonts w:eastAsiaTheme="minorEastAsia" w:cstheme="minorBidi"/>
                <w:noProof/>
                <w:sz w:val="18"/>
                <w:szCs w:val="18"/>
                <w:lang w:val="en-US"/>
              </w:rPr>
              <w:tab/>
            </w:r>
            <w:r w:rsidR="001120B6" w:rsidRPr="00AC57EA">
              <w:rPr>
                <w:rStyle w:val="Hipervnculo"/>
                <w:rFonts w:eastAsia="MS Mincho" w:cs="Arial"/>
                <w:b/>
                <w:bCs/>
                <w:i/>
                <w:noProof/>
                <w:kern w:val="2"/>
                <w:sz w:val="18"/>
                <w:szCs w:val="18"/>
                <w:lang w:val="en-US" w:eastAsia="en-US"/>
              </w:rPr>
              <w:t>Arguments of the parties</w:t>
            </w:r>
            <w:r w:rsidR="00171E27" w:rsidRPr="00AC57EA">
              <w:rPr>
                <w:rStyle w:val="Hipervnculo"/>
                <w:rFonts w:eastAsia="MS Mincho" w:cs="Arial"/>
                <w:b/>
                <w:bCs/>
                <w:i/>
                <w:noProof/>
                <w:kern w:val="2"/>
                <w:sz w:val="18"/>
                <w:szCs w:val="18"/>
                <w:lang w:val="en-US" w:eastAsia="en-US"/>
              </w:rPr>
              <w:t xml:space="preserve"> and </w:t>
            </w:r>
            <w:r w:rsidR="00B7258C" w:rsidRPr="00AC57EA">
              <w:rPr>
                <w:rStyle w:val="Hipervnculo"/>
                <w:rFonts w:eastAsia="MS Mincho" w:cs="Arial"/>
                <w:b/>
                <w:bCs/>
                <w:i/>
                <w:noProof/>
                <w:kern w:val="2"/>
                <w:sz w:val="18"/>
                <w:szCs w:val="18"/>
                <w:lang w:val="en-US" w:eastAsia="en-US"/>
              </w:rPr>
              <w:t>of the Commission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_Toc514172656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D4020E" w:rsidRPr="00AC57EA">
              <w:rPr>
                <w:noProof/>
                <w:webHidden/>
                <w:sz w:val="18"/>
                <w:szCs w:val="18"/>
                <w:lang w:val="en-US"/>
              </w:rPr>
              <w:t>2</w:t>
            </w:r>
            <w:r w:rsidR="001D3CA2" w:rsidRPr="00AC57EA">
              <w:rPr>
                <w:noProof/>
                <w:webHidden/>
                <w:sz w:val="18"/>
                <w:szCs w:val="18"/>
                <w:lang w:val="en-US"/>
              </w:rPr>
              <w:fldChar w:fldCharType="end"/>
            </w:r>
          </w:hyperlink>
        </w:p>
        <w:p w14:paraId="0BF96AFA" w14:textId="0BB179E4" w:rsidR="001D3CA2" w:rsidRPr="00AC57EA" w:rsidRDefault="00811011" w:rsidP="001D3CA2">
          <w:pPr>
            <w:pStyle w:val="TDC2"/>
            <w:jc w:val="both"/>
            <w:rPr>
              <w:rFonts w:eastAsiaTheme="minorEastAsia" w:cstheme="minorBidi"/>
              <w:noProof/>
              <w:sz w:val="18"/>
              <w:szCs w:val="18"/>
              <w:lang w:val="en-US"/>
            </w:rPr>
          </w:pPr>
          <w:hyperlink w:anchor="_Toc514172657" w:history="1">
            <w:r w:rsidR="001D3CA2" w:rsidRPr="00AC57EA">
              <w:rPr>
                <w:rStyle w:val="Hipervnculo"/>
                <w:rFonts w:eastAsia="MS Mincho" w:cs="Arial"/>
                <w:b/>
                <w:bCs/>
                <w:i/>
                <w:noProof/>
                <w:kern w:val="2"/>
                <w:sz w:val="18"/>
                <w:szCs w:val="18"/>
                <w:lang w:val="en-US"/>
              </w:rPr>
              <w:t>B.</w:t>
            </w:r>
            <w:r w:rsidR="001D3CA2" w:rsidRPr="00AC57EA">
              <w:rPr>
                <w:rFonts w:eastAsiaTheme="minorEastAsia" w:cstheme="minorBidi"/>
                <w:noProof/>
                <w:sz w:val="18"/>
                <w:szCs w:val="18"/>
                <w:lang w:val="en-US"/>
              </w:rPr>
              <w:tab/>
            </w:r>
            <w:r w:rsidR="002223C8" w:rsidRPr="00AC57EA">
              <w:rPr>
                <w:rStyle w:val="Hipervnculo"/>
                <w:rFonts w:eastAsia="MS Mincho" w:cs="Arial"/>
                <w:b/>
                <w:bCs/>
                <w:i/>
                <w:noProof/>
                <w:kern w:val="2"/>
                <w:sz w:val="18"/>
                <w:szCs w:val="18"/>
                <w:lang w:val="en-US"/>
              </w:rPr>
              <w:t>Considerations</w:t>
            </w:r>
            <w:r w:rsidR="00B7258C" w:rsidRPr="00AC57EA">
              <w:rPr>
                <w:rStyle w:val="Hipervnculo"/>
                <w:rFonts w:eastAsia="MS Mincho" w:cs="Arial"/>
                <w:b/>
                <w:bCs/>
                <w:i/>
                <w:noProof/>
                <w:kern w:val="2"/>
                <w:sz w:val="18"/>
                <w:szCs w:val="18"/>
                <w:lang w:val="en-US"/>
              </w:rPr>
              <w:t xml:space="preserve"> of the Court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_Toc514172657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8</w:t>
            </w:r>
            <w:r w:rsidR="00D4020E" w:rsidRPr="00AC57EA">
              <w:rPr>
                <w:noProof/>
                <w:webHidden/>
                <w:sz w:val="18"/>
                <w:szCs w:val="18"/>
                <w:lang w:val="en-US"/>
              </w:rPr>
              <w:t>3</w:t>
            </w:r>
            <w:r w:rsidR="001D3CA2" w:rsidRPr="00AC57EA">
              <w:rPr>
                <w:noProof/>
                <w:webHidden/>
                <w:sz w:val="18"/>
                <w:szCs w:val="18"/>
                <w:lang w:val="en-US"/>
              </w:rPr>
              <w:fldChar w:fldCharType="end"/>
            </w:r>
          </w:hyperlink>
        </w:p>
        <w:p w14:paraId="7A89B4D6" w14:textId="717D3C04"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58" w:history="1">
            <w:r w:rsidR="001D3CA2" w:rsidRPr="00AC57EA">
              <w:rPr>
                <w:rStyle w:val="Hipervnculo"/>
                <w:rFonts w:cs="Arial"/>
                <w:b/>
                <w:bCs/>
                <w:caps/>
                <w:noProof/>
                <w:sz w:val="18"/>
                <w:szCs w:val="18"/>
                <w:lang w:val="en-US" w:eastAsia="en-US"/>
              </w:rPr>
              <w:t xml:space="preserve">VIII-3 </w:t>
            </w:r>
            <w:r w:rsidR="002A5974" w:rsidRPr="00AC57EA">
              <w:rPr>
                <w:rStyle w:val="Hipervnculo"/>
                <w:rFonts w:cs="Arial"/>
                <w:b/>
                <w:bCs/>
                <w:caps/>
                <w:noProof/>
                <w:sz w:val="18"/>
                <w:szCs w:val="18"/>
                <w:lang w:val="en-US" w:eastAsia="en-US"/>
              </w:rPr>
              <w:t>right to personal integrity</w:t>
            </w:r>
            <w:r w:rsidR="001D3CA2" w:rsidRPr="00AC57EA">
              <w:rPr>
                <w:rStyle w:val="Hipervnculo"/>
                <w:rFonts w:cs="Arial"/>
                <w:b/>
                <w:bCs/>
                <w:caps/>
                <w:noProof/>
                <w:sz w:val="18"/>
                <w:szCs w:val="18"/>
                <w:lang w:val="en-US" w:eastAsia="en-US"/>
              </w:rPr>
              <w:t xml:space="preserve"> </w:t>
            </w:r>
            <w:r w:rsidR="00474CE5" w:rsidRPr="00AC57EA">
              <w:rPr>
                <w:rStyle w:val="Hipervnculo"/>
                <w:rFonts w:cs="Arial"/>
                <w:b/>
                <w:bCs/>
                <w:caps/>
                <w:noProof/>
                <w:sz w:val="18"/>
                <w:szCs w:val="18"/>
                <w:lang w:val="en-US" w:eastAsia="en-US"/>
              </w:rPr>
              <w:t>OF THE FAMILY MEMBERS IN RELATION TO THE OBLIGATION TO RESPECT RIGHTS</w:t>
            </w:r>
            <w:r w:rsidR="001D3CA2" w:rsidRPr="00AC57EA">
              <w:rPr>
                <w:noProof/>
                <w:webHidden/>
                <w:sz w:val="18"/>
                <w:szCs w:val="18"/>
                <w:lang w:val="en-US"/>
              </w:rPr>
              <w:tab/>
            </w:r>
            <w:r w:rsidR="00D4020E" w:rsidRPr="00AC57EA">
              <w:rPr>
                <w:noProof/>
                <w:webHidden/>
                <w:sz w:val="18"/>
                <w:szCs w:val="18"/>
                <w:lang w:val="en-US"/>
              </w:rPr>
              <w:t>87</w:t>
            </w:r>
          </w:hyperlink>
        </w:p>
        <w:p w14:paraId="0FEB7989" w14:textId="2E8CC513" w:rsidR="001D3CA2" w:rsidRPr="00AC57EA" w:rsidRDefault="00811011" w:rsidP="001D3CA2">
          <w:pPr>
            <w:pStyle w:val="TDC2"/>
            <w:jc w:val="both"/>
            <w:rPr>
              <w:rFonts w:eastAsiaTheme="minorEastAsia" w:cstheme="minorBidi"/>
              <w:noProof/>
              <w:sz w:val="18"/>
              <w:szCs w:val="18"/>
              <w:lang w:val="en-US"/>
            </w:rPr>
          </w:pPr>
          <w:hyperlink w:anchor="_Toc514172659" w:history="1">
            <w:r w:rsidR="001D3CA2" w:rsidRPr="00AC57EA">
              <w:rPr>
                <w:rStyle w:val="Hipervnculo"/>
                <w:rFonts w:eastAsia="MS Mincho" w:cs="Arial"/>
                <w:b/>
                <w:bCs/>
                <w:i/>
                <w:noProof/>
                <w:sz w:val="18"/>
                <w:szCs w:val="18"/>
                <w:lang w:val="en-US" w:eastAsia="en-US"/>
              </w:rPr>
              <w:t>A.</w:t>
            </w:r>
            <w:r w:rsidR="001D3CA2" w:rsidRPr="00AC57EA">
              <w:rPr>
                <w:rFonts w:eastAsiaTheme="minorEastAsia" w:cstheme="minorBidi"/>
                <w:noProof/>
                <w:sz w:val="18"/>
                <w:szCs w:val="18"/>
                <w:lang w:val="en-US"/>
              </w:rPr>
              <w:tab/>
            </w:r>
            <w:r w:rsidR="001120B6" w:rsidRPr="00AC57EA">
              <w:rPr>
                <w:rStyle w:val="Hipervnculo"/>
                <w:rFonts w:eastAsia="MS Mincho" w:cs="Arial"/>
                <w:b/>
                <w:bCs/>
                <w:i/>
                <w:noProof/>
                <w:sz w:val="18"/>
                <w:szCs w:val="18"/>
                <w:lang w:val="en-US" w:eastAsia="en-US"/>
              </w:rPr>
              <w:t>Arguments of the parties</w:t>
            </w:r>
            <w:r w:rsidR="00171E27" w:rsidRPr="00AC57EA">
              <w:rPr>
                <w:rStyle w:val="Hipervnculo"/>
                <w:rFonts w:eastAsia="MS Mincho" w:cs="Arial"/>
                <w:b/>
                <w:bCs/>
                <w:i/>
                <w:noProof/>
                <w:sz w:val="18"/>
                <w:szCs w:val="18"/>
                <w:lang w:val="en-US" w:eastAsia="en-US"/>
              </w:rPr>
              <w:t xml:space="preserve"> and </w:t>
            </w:r>
            <w:r w:rsidR="00B7258C" w:rsidRPr="00AC57EA">
              <w:rPr>
                <w:rStyle w:val="Hipervnculo"/>
                <w:rFonts w:eastAsia="MS Mincho" w:cs="Arial"/>
                <w:b/>
                <w:bCs/>
                <w:i/>
                <w:noProof/>
                <w:sz w:val="18"/>
                <w:szCs w:val="18"/>
                <w:lang w:val="en-US" w:eastAsia="en-US"/>
              </w:rPr>
              <w:t>of the Commission</w:t>
            </w:r>
            <w:r w:rsidR="001D3CA2" w:rsidRPr="00AC57EA">
              <w:rPr>
                <w:noProof/>
                <w:webHidden/>
                <w:sz w:val="18"/>
                <w:szCs w:val="18"/>
                <w:lang w:val="en-US"/>
              </w:rPr>
              <w:tab/>
            </w:r>
            <w:r w:rsidR="00D4020E" w:rsidRPr="00AC57EA">
              <w:rPr>
                <w:noProof/>
                <w:webHidden/>
                <w:sz w:val="18"/>
                <w:szCs w:val="18"/>
                <w:lang w:val="en-US"/>
              </w:rPr>
              <w:t>87</w:t>
            </w:r>
          </w:hyperlink>
        </w:p>
        <w:p w14:paraId="57A23471" w14:textId="2B708B47" w:rsidR="001D3CA2" w:rsidRPr="00AC57EA" w:rsidRDefault="00811011" w:rsidP="001D3CA2">
          <w:pPr>
            <w:pStyle w:val="TDC2"/>
            <w:jc w:val="both"/>
            <w:rPr>
              <w:rFonts w:eastAsiaTheme="minorEastAsia" w:cstheme="minorBidi"/>
              <w:noProof/>
              <w:sz w:val="18"/>
              <w:szCs w:val="18"/>
              <w:lang w:val="en-US"/>
            </w:rPr>
          </w:pPr>
          <w:hyperlink w:anchor="_Toc514172660" w:history="1">
            <w:r w:rsidR="001D3CA2" w:rsidRPr="00AC57EA">
              <w:rPr>
                <w:rStyle w:val="Hipervnculo"/>
                <w:rFonts w:eastAsia="MS Mincho" w:cs="Arial"/>
                <w:b/>
                <w:bCs/>
                <w:i/>
                <w:noProof/>
                <w:sz w:val="18"/>
                <w:szCs w:val="18"/>
                <w:lang w:val="en-US" w:eastAsia="en-US"/>
              </w:rPr>
              <w:t>B.</w:t>
            </w:r>
            <w:r w:rsidR="001D3CA2" w:rsidRPr="00AC57EA">
              <w:rPr>
                <w:rFonts w:eastAsiaTheme="minorEastAsia" w:cstheme="minorBidi"/>
                <w:noProof/>
                <w:sz w:val="18"/>
                <w:szCs w:val="18"/>
                <w:lang w:val="en-US"/>
              </w:rPr>
              <w:tab/>
            </w:r>
            <w:r w:rsidR="002223C8" w:rsidRPr="00AC57EA">
              <w:rPr>
                <w:rStyle w:val="Hipervnculo"/>
                <w:rFonts w:eastAsia="MS Mincho" w:cs="Arial"/>
                <w:b/>
                <w:bCs/>
                <w:i/>
                <w:noProof/>
                <w:sz w:val="18"/>
                <w:szCs w:val="18"/>
                <w:lang w:val="en-US" w:eastAsia="en-US"/>
              </w:rPr>
              <w:t>Considerations</w:t>
            </w:r>
            <w:r w:rsidR="00B7258C" w:rsidRPr="00AC57EA">
              <w:rPr>
                <w:rStyle w:val="Hipervnculo"/>
                <w:rFonts w:eastAsia="MS Mincho" w:cs="Arial"/>
                <w:b/>
                <w:bCs/>
                <w:i/>
                <w:noProof/>
                <w:sz w:val="18"/>
                <w:szCs w:val="18"/>
                <w:lang w:val="en-US" w:eastAsia="en-US"/>
              </w:rPr>
              <w:t xml:space="preserve"> of the Court</w:t>
            </w:r>
            <w:r w:rsidR="001D3CA2" w:rsidRPr="00AC57EA">
              <w:rPr>
                <w:noProof/>
                <w:webHidden/>
                <w:sz w:val="18"/>
                <w:szCs w:val="18"/>
                <w:lang w:val="en-US"/>
              </w:rPr>
              <w:tab/>
            </w:r>
            <w:r w:rsidR="00D4020E" w:rsidRPr="00AC57EA">
              <w:rPr>
                <w:noProof/>
                <w:webHidden/>
                <w:sz w:val="18"/>
                <w:szCs w:val="18"/>
                <w:lang w:val="en-US"/>
              </w:rPr>
              <w:t>88</w:t>
            </w:r>
          </w:hyperlink>
        </w:p>
        <w:p w14:paraId="04C2AB52" w14:textId="3EF86F84"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61" w:history="1">
            <w:r w:rsidR="001D3CA2" w:rsidRPr="00AC57EA">
              <w:rPr>
                <w:rStyle w:val="Hipervnculo"/>
                <w:rFonts w:cs="Verdana"/>
                <w:b/>
                <w:bCs/>
                <w:caps/>
                <w:noProof/>
                <w:snapToGrid w:val="0"/>
                <w:sz w:val="18"/>
                <w:szCs w:val="18"/>
                <w:lang w:val="en-US"/>
              </w:rPr>
              <w:t xml:space="preserve">IX </w:t>
            </w:r>
            <w:r w:rsidR="00474CE5" w:rsidRPr="00AC57EA">
              <w:rPr>
                <w:rStyle w:val="Hipervnculo"/>
                <w:rFonts w:cs="Verdana"/>
                <w:b/>
                <w:bCs/>
                <w:caps/>
                <w:noProof/>
                <w:snapToGrid w:val="0"/>
                <w:sz w:val="18"/>
                <w:szCs w:val="18"/>
                <w:lang w:val="en-US"/>
              </w:rPr>
              <w:t>REPARATIONS</w:t>
            </w:r>
            <w:r w:rsidR="001D3CA2" w:rsidRPr="00AC57EA">
              <w:rPr>
                <w:rStyle w:val="Hipervnculo"/>
                <w:rFonts w:cs="Verdana"/>
                <w:b/>
                <w:bCs/>
                <w:caps/>
                <w:noProof/>
                <w:snapToGrid w:val="0"/>
                <w:sz w:val="18"/>
                <w:szCs w:val="18"/>
                <w:lang w:val="en-US"/>
              </w:rPr>
              <w:t xml:space="preserve"> (</w:t>
            </w:r>
            <w:r w:rsidR="00474CE5" w:rsidRPr="00AC57EA">
              <w:rPr>
                <w:rStyle w:val="Hipervnculo"/>
                <w:rFonts w:cs="Verdana"/>
                <w:b/>
                <w:bCs/>
                <w:noProof/>
                <w:snapToGrid w:val="0"/>
                <w:sz w:val="18"/>
                <w:szCs w:val="18"/>
                <w:lang w:val="en-US"/>
              </w:rPr>
              <w:t>Application</w:t>
            </w:r>
            <w:r w:rsidR="001D3CA2" w:rsidRPr="00AC57EA">
              <w:rPr>
                <w:rStyle w:val="Hipervnculo"/>
                <w:rFonts w:cs="Verdana"/>
                <w:b/>
                <w:bCs/>
                <w:noProof/>
                <w:snapToGrid w:val="0"/>
                <w:sz w:val="18"/>
                <w:szCs w:val="18"/>
                <w:lang w:val="en-US"/>
              </w:rPr>
              <w:t xml:space="preserve"> </w:t>
            </w:r>
            <w:r w:rsidR="00171E27" w:rsidRPr="00AC57EA">
              <w:rPr>
                <w:rStyle w:val="Hipervnculo"/>
                <w:rFonts w:cs="Verdana"/>
                <w:b/>
                <w:bCs/>
                <w:noProof/>
                <w:snapToGrid w:val="0"/>
                <w:sz w:val="18"/>
                <w:szCs w:val="18"/>
                <w:lang w:val="en-US"/>
              </w:rPr>
              <w:t>of Article</w:t>
            </w:r>
            <w:r w:rsidR="001D3CA2" w:rsidRPr="00AC57EA">
              <w:rPr>
                <w:rStyle w:val="Hipervnculo"/>
                <w:rFonts w:cs="Verdana"/>
                <w:b/>
                <w:bCs/>
                <w:noProof/>
                <w:snapToGrid w:val="0"/>
                <w:sz w:val="18"/>
                <w:szCs w:val="18"/>
                <w:lang w:val="en-US"/>
              </w:rPr>
              <w:t xml:space="preserve"> 6</w:t>
            </w:r>
            <w:r w:rsidR="00171E27" w:rsidRPr="00AC57EA">
              <w:rPr>
                <w:rStyle w:val="Hipervnculo"/>
                <w:rFonts w:cs="Verdana"/>
                <w:b/>
                <w:bCs/>
                <w:noProof/>
                <w:snapToGrid w:val="0"/>
                <w:sz w:val="18"/>
                <w:szCs w:val="18"/>
                <w:lang w:val="en-US"/>
              </w:rPr>
              <w:t>3(1)</w:t>
            </w:r>
            <w:r w:rsidR="00B7258C" w:rsidRPr="00AC57EA">
              <w:rPr>
                <w:rStyle w:val="Hipervnculo"/>
                <w:rFonts w:cs="Verdana"/>
                <w:b/>
                <w:bCs/>
                <w:noProof/>
                <w:snapToGrid w:val="0"/>
                <w:sz w:val="18"/>
                <w:szCs w:val="18"/>
                <w:lang w:val="en-US"/>
              </w:rPr>
              <w:t xml:space="preserve"> of the American Convention</w:t>
            </w:r>
            <w:r w:rsidR="001D3CA2" w:rsidRPr="00AC57EA">
              <w:rPr>
                <w:rStyle w:val="Hipervnculo"/>
                <w:rFonts w:cs="Verdana"/>
                <w:b/>
                <w:bCs/>
                <w:caps/>
                <w:noProof/>
                <w:snapToGrid w:val="0"/>
                <w:sz w:val="18"/>
                <w:szCs w:val="18"/>
                <w:lang w:val="en-US"/>
              </w:rPr>
              <w:t>)</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_Toc514172661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9</w:t>
            </w:r>
            <w:r w:rsidR="00DD5BB6" w:rsidRPr="00AC57EA">
              <w:rPr>
                <w:noProof/>
                <w:webHidden/>
                <w:sz w:val="18"/>
                <w:szCs w:val="18"/>
                <w:lang w:val="en-US"/>
              </w:rPr>
              <w:t>0</w:t>
            </w:r>
            <w:r w:rsidR="001D3CA2" w:rsidRPr="00AC57EA">
              <w:rPr>
                <w:noProof/>
                <w:webHidden/>
                <w:sz w:val="18"/>
                <w:szCs w:val="18"/>
                <w:lang w:val="en-US"/>
              </w:rPr>
              <w:fldChar w:fldCharType="end"/>
            </w:r>
          </w:hyperlink>
        </w:p>
        <w:p w14:paraId="3B331B37" w14:textId="7AD996CF" w:rsidR="001D3CA2" w:rsidRPr="00AC57EA" w:rsidRDefault="00811011" w:rsidP="001D3CA2">
          <w:pPr>
            <w:pStyle w:val="TDC2"/>
            <w:jc w:val="both"/>
            <w:rPr>
              <w:rFonts w:eastAsiaTheme="minorEastAsia" w:cstheme="minorBidi"/>
              <w:noProof/>
              <w:sz w:val="18"/>
              <w:szCs w:val="18"/>
              <w:lang w:val="en-US"/>
            </w:rPr>
          </w:pPr>
          <w:hyperlink w:anchor="_Toc514172662" w:history="1">
            <w:r w:rsidR="001D3CA2" w:rsidRPr="00AC57EA">
              <w:rPr>
                <w:rStyle w:val="Hipervnculo"/>
                <w:rFonts w:eastAsia="MS Mincho"/>
                <w:b/>
                <w:bCs/>
                <w:i/>
                <w:noProof/>
                <w:sz w:val="18"/>
                <w:szCs w:val="18"/>
                <w:lang w:val="en-US"/>
              </w:rPr>
              <w:t>A.</w:t>
            </w:r>
            <w:r w:rsidR="001D3CA2" w:rsidRPr="00AC57EA">
              <w:rPr>
                <w:rFonts w:eastAsiaTheme="minorEastAsia" w:cstheme="minorBidi"/>
                <w:noProof/>
                <w:sz w:val="18"/>
                <w:szCs w:val="18"/>
                <w:lang w:val="en-US"/>
              </w:rPr>
              <w:tab/>
            </w:r>
            <w:r w:rsidR="00474CE5" w:rsidRPr="00AC57EA">
              <w:rPr>
                <w:rStyle w:val="Hipervnculo"/>
                <w:rFonts w:eastAsia="MS Mincho"/>
                <w:b/>
                <w:bCs/>
                <w:i/>
                <w:noProof/>
                <w:sz w:val="18"/>
                <w:szCs w:val="18"/>
                <w:lang w:val="en-US"/>
              </w:rPr>
              <w:t>Injured party</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_Toc514172662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9</w:t>
            </w:r>
            <w:r w:rsidR="00DD5BB6" w:rsidRPr="00AC57EA">
              <w:rPr>
                <w:noProof/>
                <w:webHidden/>
                <w:sz w:val="18"/>
                <w:szCs w:val="18"/>
                <w:lang w:val="en-US"/>
              </w:rPr>
              <w:t>1</w:t>
            </w:r>
            <w:r w:rsidR="001D3CA2" w:rsidRPr="00AC57EA">
              <w:rPr>
                <w:noProof/>
                <w:webHidden/>
                <w:sz w:val="18"/>
                <w:szCs w:val="18"/>
                <w:lang w:val="en-US"/>
              </w:rPr>
              <w:fldChar w:fldCharType="end"/>
            </w:r>
          </w:hyperlink>
        </w:p>
        <w:p w14:paraId="32A7F030" w14:textId="06754C45" w:rsidR="001D3CA2" w:rsidRPr="00AC57EA" w:rsidRDefault="00811011" w:rsidP="001D3CA2">
          <w:pPr>
            <w:pStyle w:val="TDC2"/>
            <w:jc w:val="both"/>
            <w:rPr>
              <w:rFonts w:eastAsiaTheme="minorEastAsia" w:cstheme="minorBidi"/>
              <w:noProof/>
              <w:sz w:val="18"/>
              <w:szCs w:val="18"/>
              <w:lang w:val="en-US"/>
            </w:rPr>
          </w:pPr>
          <w:hyperlink w:anchor="_Toc514172663" w:history="1">
            <w:r w:rsidR="001D3CA2" w:rsidRPr="00AC57EA">
              <w:rPr>
                <w:rStyle w:val="Hipervnculo"/>
                <w:rFonts w:eastAsia="MS Mincho"/>
                <w:b/>
                <w:bCs/>
                <w:i/>
                <w:noProof/>
                <w:sz w:val="18"/>
                <w:szCs w:val="18"/>
                <w:lang w:val="en-US"/>
              </w:rPr>
              <w:t>B.</w:t>
            </w:r>
            <w:r w:rsidR="001D3CA2" w:rsidRPr="00AC57EA">
              <w:rPr>
                <w:rFonts w:eastAsiaTheme="minorEastAsia" w:cstheme="minorBidi"/>
                <w:noProof/>
                <w:sz w:val="18"/>
                <w:szCs w:val="18"/>
                <w:lang w:val="en-US"/>
              </w:rPr>
              <w:tab/>
            </w:r>
            <w:r w:rsidR="00474CE5" w:rsidRPr="00AC57EA">
              <w:rPr>
                <w:rStyle w:val="Hipervnculo"/>
                <w:rFonts w:eastAsia="MS Mincho"/>
                <w:b/>
                <w:bCs/>
                <w:i/>
                <w:noProof/>
                <w:sz w:val="18"/>
                <w:szCs w:val="18"/>
                <w:lang w:val="en-US"/>
              </w:rPr>
              <w:t>Obligation to investigate the facts and identify, prosecute and punish, as appropriate, those responsible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_Toc514172663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9</w:t>
            </w:r>
            <w:r w:rsidR="00DD5BB6" w:rsidRPr="00AC57EA">
              <w:rPr>
                <w:noProof/>
                <w:webHidden/>
                <w:sz w:val="18"/>
                <w:szCs w:val="18"/>
                <w:lang w:val="en-US"/>
              </w:rPr>
              <w:t>1</w:t>
            </w:r>
            <w:r w:rsidR="001D3CA2" w:rsidRPr="00AC57EA">
              <w:rPr>
                <w:noProof/>
                <w:webHidden/>
                <w:sz w:val="18"/>
                <w:szCs w:val="18"/>
                <w:lang w:val="en-US"/>
              </w:rPr>
              <w:fldChar w:fldCharType="end"/>
            </w:r>
          </w:hyperlink>
        </w:p>
        <w:p w14:paraId="6FB627CB" w14:textId="3ED78128" w:rsidR="001D3CA2" w:rsidRPr="00AC57EA" w:rsidRDefault="00811011" w:rsidP="001D3CA2">
          <w:pPr>
            <w:pStyle w:val="TDC2"/>
            <w:jc w:val="both"/>
            <w:rPr>
              <w:rFonts w:eastAsiaTheme="minorEastAsia" w:cstheme="minorBidi"/>
              <w:noProof/>
              <w:sz w:val="18"/>
              <w:szCs w:val="18"/>
              <w:lang w:val="en-US"/>
            </w:rPr>
          </w:pPr>
          <w:hyperlink w:anchor="_Toc514172664" w:history="1">
            <w:r w:rsidR="001D3CA2" w:rsidRPr="00AC57EA">
              <w:rPr>
                <w:rStyle w:val="Hipervnculo"/>
                <w:rFonts w:eastAsia="MS Mincho"/>
                <w:b/>
                <w:bCs/>
                <w:i/>
                <w:noProof/>
                <w:sz w:val="18"/>
                <w:szCs w:val="18"/>
                <w:lang w:val="en-US"/>
              </w:rPr>
              <w:t>C.</w:t>
            </w:r>
            <w:r w:rsidR="001D3CA2" w:rsidRPr="00AC57EA">
              <w:rPr>
                <w:rFonts w:eastAsiaTheme="minorEastAsia" w:cstheme="minorBidi"/>
                <w:noProof/>
                <w:sz w:val="18"/>
                <w:szCs w:val="18"/>
                <w:lang w:val="en-US"/>
              </w:rPr>
              <w:tab/>
            </w:r>
            <w:r w:rsidR="00474CE5" w:rsidRPr="00AC57EA">
              <w:rPr>
                <w:rStyle w:val="Hipervnculo"/>
                <w:rFonts w:eastAsia="MS Mincho"/>
                <w:b/>
                <w:bCs/>
                <w:i/>
                <w:noProof/>
                <w:sz w:val="18"/>
                <w:szCs w:val="18"/>
                <w:lang w:val="en-US"/>
              </w:rPr>
              <w:t>Measures of rehabilitation and satisfaction and guarantees of non-repetition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_Toc514172664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9</w:t>
            </w:r>
            <w:r w:rsidR="00DD5BB6" w:rsidRPr="00AC57EA">
              <w:rPr>
                <w:noProof/>
                <w:webHidden/>
                <w:sz w:val="18"/>
                <w:szCs w:val="18"/>
                <w:lang w:val="en-US"/>
              </w:rPr>
              <w:t>2</w:t>
            </w:r>
            <w:r w:rsidR="001D3CA2" w:rsidRPr="00AC57EA">
              <w:rPr>
                <w:noProof/>
                <w:webHidden/>
                <w:sz w:val="18"/>
                <w:szCs w:val="18"/>
                <w:lang w:val="en-US"/>
              </w:rPr>
              <w:fldChar w:fldCharType="end"/>
            </w:r>
          </w:hyperlink>
        </w:p>
        <w:p w14:paraId="3A218617" w14:textId="6957B2B5" w:rsidR="001D3CA2" w:rsidRPr="00AC57EA" w:rsidRDefault="00811011" w:rsidP="001D3CA2">
          <w:pPr>
            <w:pStyle w:val="TDC2"/>
            <w:jc w:val="both"/>
            <w:rPr>
              <w:rFonts w:eastAsiaTheme="minorEastAsia" w:cstheme="minorBidi"/>
              <w:noProof/>
              <w:sz w:val="18"/>
              <w:szCs w:val="18"/>
              <w:lang w:val="en-US"/>
            </w:rPr>
          </w:pPr>
          <w:hyperlink w:anchor="_Toc514172665" w:history="1">
            <w:r w:rsidR="001D3CA2" w:rsidRPr="00AC57EA">
              <w:rPr>
                <w:rStyle w:val="Hipervnculo"/>
                <w:i/>
                <w:noProof/>
                <w:sz w:val="18"/>
                <w:szCs w:val="18"/>
                <w:lang w:val="en-US"/>
              </w:rPr>
              <w:t xml:space="preserve">C.1 </w:t>
            </w:r>
            <w:r w:rsidR="001D3CA2" w:rsidRPr="00AC57EA">
              <w:rPr>
                <w:rFonts w:eastAsiaTheme="minorEastAsia" w:cstheme="minorBidi"/>
                <w:noProof/>
                <w:sz w:val="18"/>
                <w:szCs w:val="18"/>
                <w:lang w:val="en-US"/>
              </w:rPr>
              <w:tab/>
            </w:r>
            <w:r w:rsidR="00474CE5" w:rsidRPr="00AC57EA">
              <w:rPr>
                <w:rStyle w:val="Hipervnculo"/>
                <w:i/>
                <w:noProof/>
                <w:sz w:val="18"/>
                <w:szCs w:val="18"/>
                <w:lang w:val="en-US"/>
              </w:rPr>
              <w:t>Rehabilitation</w:t>
            </w:r>
            <w:r w:rsidR="001D3CA2" w:rsidRPr="00AC57EA">
              <w:rPr>
                <w:noProof/>
                <w:webHidden/>
                <w:sz w:val="18"/>
                <w:szCs w:val="18"/>
                <w:lang w:val="en-US"/>
              </w:rPr>
              <w:tab/>
            </w:r>
            <w:r w:rsidR="00DD5BB6" w:rsidRPr="00AC57EA">
              <w:rPr>
                <w:noProof/>
                <w:webHidden/>
                <w:sz w:val="18"/>
                <w:szCs w:val="18"/>
                <w:lang w:val="en-US"/>
              </w:rPr>
              <w:t>92</w:t>
            </w:r>
          </w:hyperlink>
        </w:p>
        <w:p w14:paraId="3321F70C" w14:textId="2AD54507" w:rsidR="001D3CA2" w:rsidRPr="00AC57EA" w:rsidRDefault="00811011" w:rsidP="001D3CA2">
          <w:pPr>
            <w:pStyle w:val="TDC2"/>
            <w:jc w:val="both"/>
            <w:rPr>
              <w:rFonts w:eastAsiaTheme="minorEastAsia" w:cstheme="minorBidi"/>
              <w:noProof/>
              <w:sz w:val="18"/>
              <w:szCs w:val="18"/>
              <w:lang w:val="en-US"/>
            </w:rPr>
          </w:pPr>
          <w:hyperlink w:anchor="_Toc514172666" w:history="1">
            <w:r w:rsidR="001D3CA2" w:rsidRPr="00AC57EA">
              <w:rPr>
                <w:rStyle w:val="Hipervnculo"/>
                <w:i/>
                <w:noProof/>
                <w:sz w:val="18"/>
                <w:szCs w:val="18"/>
                <w:lang w:val="en-US"/>
              </w:rPr>
              <w:t xml:space="preserve">C.2 </w:t>
            </w:r>
            <w:r w:rsidR="001D3CA2" w:rsidRPr="00AC57EA">
              <w:rPr>
                <w:rFonts w:eastAsiaTheme="minorEastAsia" w:cstheme="minorBidi"/>
                <w:noProof/>
                <w:sz w:val="18"/>
                <w:szCs w:val="18"/>
                <w:lang w:val="en-US"/>
              </w:rPr>
              <w:tab/>
            </w:r>
            <w:r w:rsidR="00474CE5" w:rsidRPr="00AC57EA">
              <w:rPr>
                <w:rStyle w:val="Hipervnculo"/>
                <w:i/>
                <w:noProof/>
                <w:sz w:val="18"/>
                <w:szCs w:val="18"/>
                <w:lang w:val="en-US"/>
              </w:rPr>
              <w:t>Satisfaction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_Toc514172666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9</w:t>
            </w:r>
            <w:r w:rsidR="00DD5BB6" w:rsidRPr="00AC57EA">
              <w:rPr>
                <w:noProof/>
                <w:webHidden/>
                <w:sz w:val="18"/>
                <w:szCs w:val="18"/>
                <w:lang w:val="en-US"/>
              </w:rPr>
              <w:t>3</w:t>
            </w:r>
            <w:r w:rsidR="001D3CA2" w:rsidRPr="00AC57EA">
              <w:rPr>
                <w:noProof/>
                <w:webHidden/>
                <w:sz w:val="18"/>
                <w:szCs w:val="18"/>
                <w:lang w:val="en-US"/>
              </w:rPr>
              <w:fldChar w:fldCharType="end"/>
            </w:r>
          </w:hyperlink>
        </w:p>
        <w:p w14:paraId="390F6745" w14:textId="3611B0CA" w:rsidR="001D3CA2" w:rsidRPr="00AC57EA" w:rsidRDefault="00811011" w:rsidP="001D3CA2">
          <w:pPr>
            <w:pStyle w:val="TDC2"/>
            <w:jc w:val="both"/>
            <w:rPr>
              <w:rFonts w:eastAsiaTheme="minorEastAsia" w:cstheme="minorBidi"/>
              <w:noProof/>
              <w:sz w:val="18"/>
              <w:szCs w:val="18"/>
              <w:lang w:val="en-US"/>
            </w:rPr>
          </w:pPr>
          <w:hyperlink w:anchor="_Toc514172667" w:history="1">
            <w:r w:rsidR="001D3CA2" w:rsidRPr="00AC57EA">
              <w:rPr>
                <w:rStyle w:val="Hipervnculo"/>
                <w:i/>
                <w:noProof/>
                <w:sz w:val="18"/>
                <w:szCs w:val="18"/>
                <w:lang w:val="en-US"/>
              </w:rPr>
              <w:t xml:space="preserve">C.3 </w:t>
            </w:r>
            <w:r w:rsidR="001D3CA2" w:rsidRPr="00AC57EA">
              <w:rPr>
                <w:rFonts w:eastAsiaTheme="minorEastAsia" w:cstheme="minorBidi"/>
                <w:noProof/>
                <w:sz w:val="18"/>
                <w:szCs w:val="18"/>
                <w:lang w:val="en-US"/>
              </w:rPr>
              <w:tab/>
            </w:r>
            <w:r w:rsidR="00474CE5" w:rsidRPr="00AC57EA">
              <w:rPr>
                <w:rStyle w:val="Hipervnculo"/>
                <w:i/>
                <w:noProof/>
                <w:sz w:val="18"/>
                <w:szCs w:val="18"/>
                <w:lang w:val="en-US"/>
              </w:rPr>
              <w:t>Guarantees of non-repetition</w:t>
            </w:r>
            <w:r w:rsidR="001D3CA2" w:rsidRPr="00AC57EA">
              <w:rPr>
                <w:noProof/>
                <w:webHidden/>
                <w:sz w:val="18"/>
                <w:szCs w:val="18"/>
                <w:lang w:val="en-US"/>
              </w:rPr>
              <w:tab/>
            </w:r>
            <w:r w:rsidR="00DD5BB6" w:rsidRPr="00AC57EA">
              <w:rPr>
                <w:noProof/>
                <w:webHidden/>
                <w:sz w:val="18"/>
                <w:szCs w:val="18"/>
                <w:lang w:val="en-US"/>
              </w:rPr>
              <w:t>95</w:t>
            </w:r>
          </w:hyperlink>
        </w:p>
        <w:p w14:paraId="1EF988BA" w14:textId="306C8F11" w:rsidR="001D3CA2" w:rsidRPr="00AC57EA" w:rsidRDefault="00811011" w:rsidP="001D3CA2">
          <w:pPr>
            <w:pStyle w:val="TDC2"/>
            <w:jc w:val="both"/>
            <w:rPr>
              <w:rFonts w:eastAsiaTheme="minorEastAsia" w:cstheme="minorBidi"/>
              <w:noProof/>
              <w:sz w:val="18"/>
              <w:szCs w:val="18"/>
              <w:lang w:val="en-US"/>
            </w:rPr>
          </w:pPr>
          <w:hyperlink w:anchor="_Toc514172668" w:history="1">
            <w:r w:rsidR="001D3CA2" w:rsidRPr="00AC57EA">
              <w:rPr>
                <w:rStyle w:val="Hipervnculo"/>
                <w:i/>
                <w:noProof/>
                <w:sz w:val="18"/>
                <w:szCs w:val="18"/>
                <w:lang w:val="en-US"/>
              </w:rPr>
              <w:t xml:space="preserve">C.4 </w:t>
            </w:r>
            <w:r w:rsidR="001D3CA2" w:rsidRPr="00AC57EA">
              <w:rPr>
                <w:rFonts w:eastAsiaTheme="minorEastAsia" w:cstheme="minorBidi"/>
                <w:noProof/>
                <w:sz w:val="18"/>
                <w:szCs w:val="18"/>
                <w:lang w:val="en-US"/>
              </w:rPr>
              <w:tab/>
            </w:r>
            <w:r w:rsidR="00B7606D" w:rsidRPr="00AC57EA">
              <w:rPr>
                <w:rStyle w:val="Hipervnculo"/>
                <w:i/>
                <w:noProof/>
                <w:sz w:val="18"/>
                <w:szCs w:val="18"/>
                <w:lang w:val="en-US"/>
              </w:rPr>
              <w:t>Other measures requested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_Toc514172668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10</w:t>
            </w:r>
            <w:r w:rsidR="00DD5BB6" w:rsidRPr="00AC57EA">
              <w:rPr>
                <w:noProof/>
                <w:webHidden/>
                <w:sz w:val="18"/>
                <w:szCs w:val="18"/>
                <w:lang w:val="en-US"/>
              </w:rPr>
              <w:t>2</w:t>
            </w:r>
            <w:r w:rsidR="001D3CA2" w:rsidRPr="00AC57EA">
              <w:rPr>
                <w:noProof/>
                <w:webHidden/>
                <w:sz w:val="18"/>
                <w:szCs w:val="18"/>
                <w:lang w:val="en-US"/>
              </w:rPr>
              <w:fldChar w:fldCharType="end"/>
            </w:r>
          </w:hyperlink>
        </w:p>
        <w:p w14:paraId="65FF060F" w14:textId="109C4E0A" w:rsidR="001D3CA2" w:rsidRPr="00AC57EA" w:rsidRDefault="00811011" w:rsidP="001D3CA2">
          <w:pPr>
            <w:pStyle w:val="TDC2"/>
            <w:jc w:val="both"/>
            <w:rPr>
              <w:rFonts w:eastAsiaTheme="minorEastAsia" w:cstheme="minorBidi"/>
              <w:noProof/>
              <w:sz w:val="18"/>
              <w:szCs w:val="18"/>
              <w:lang w:val="en-US"/>
            </w:rPr>
          </w:pPr>
          <w:hyperlink w:anchor="_Toc514172669" w:history="1">
            <w:r w:rsidR="001D3CA2" w:rsidRPr="00AC57EA">
              <w:rPr>
                <w:rStyle w:val="Hipervnculo"/>
                <w:rFonts w:eastAsia="MS Mincho"/>
                <w:b/>
                <w:bCs/>
                <w:i/>
                <w:noProof/>
                <w:sz w:val="18"/>
                <w:szCs w:val="18"/>
                <w:lang w:val="en-US"/>
              </w:rPr>
              <w:t>D.</w:t>
            </w:r>
            <w:r w:rsidR="001D3CA2" w:rsidRPr="00AC57EA">
              <w:rPr>
                <w:rFonts w:eastAsiaTheme="minorEastAsia" w:cstheme="minorBidi"/>
                <w:noProof/>
                <w:sz w:val="18"/>
                <w:szCs w:val="18"/>
                <w:lang w:val="en-US"/>
              </w:rPr>
              <w:tab/>
            </w:r>
            <w:r w:rsidR="00D2733C" w:rsidRPr="00AC57EA">
              <w:rPr>
                <w:rStyle w:val="Hipervnculo"/>
                <w:rFonts w:eastAsia="MS Mincho"/>
                <w:b/>
                <w:bCs/>
                <w:i/>
                <w:noProof/>
                <w:sz w:val="18"/>
                <w:szCs w:val="18"/>
                <w:lang w:val="en-US"/>
              </w:rPr>
              <w:t>Compensation</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_Toc514172669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10</w:t>
            </w:r>
            <w:r w:rsidR="00DD5BB6" w:rsidRPr="00AC57EA">
              <w:rPr>
                <w:noProof/>
                <w:webHidden/>
                <w:sz w:val="18"/>
                <w:szCs w:val="18"/>
                <w:lang w:val="en-US"/>
              </w:rPr>
              <w:t>4</w:t>
            </w:r>
            <w:r w:rsidR="001D3CA2" w:rsidRPr="00AC57EA">
              <w:rPr>
                <w:noProof/>
                <w:webHidden/>
                <w:sz w:val="18"/>
                <w:szCs w:val="18"/>
                <w:lang w:val="en-US"/>
              </w:rPr>
              <w:fldChar w:fldCharType="end"/>
            </w:r>
          </w:hyperlink>
        </w:p>
        <w:p w14:paraId="03985A06" w14:textId="1AEBEEF9" w:rsidR="001D3CA2" w:rsidRPr="00AC57EA" w:rsidRDefault="00811011" w:rsidP="001D3CA2">
          <w:pPr>
            <w:pStyle w:val="TDC2"/>
            <w:jc w:val="both"/>
            <w:rPr>
              <w:rFonts w:eastAsiaTheme="minorEastAsia" w:cstheme="minorBidi"/>
              <w:noProof/>
              <w:sz w:val="18"/>
              <w:szCs w:val="18"/>
              <w:lang w:val="en-US"/>
            </w:rPr>
          </w:pPr>
          <w:hyperlink w:anchor="_Toc514172670" w:history="1">
            <w:r w:rsidR="001D3CA2" w:rsidRPr="00AC57EA">
              <w:rPr>
                <w:rStyle w:val="Hipervnculo"/>
                <w:i/>
                <w:noProof/>
                <w:sz w:val="18"/>
                <w:szCs w:val="18"/>
                <w:lang w:val="en-US"/>
              </w:rPr>
              <w:t>D.1</w:t>
            </w:r>
            <w:r w:rsidR="001D3CA2" w:rsidRPr="00AC57EA">
              <w:rPr>
                <w:rFonts w:eastAsiaTheme="minorEastAsia" w:cstheme="minorBidi"/>
                <w:noProof/>
                <w:sz w:val="18"/>
                <w:szCs w:val="18"/>
                <w:lang w:val="en-US"/>
              </w:rPr>
              <w:tab/>
            </w:r>
            <w:r w:rsidR="007E72AE" w:rsidRPr="00AC57EA">
              <w:rPr>
                <w:rStyle w:val="Hipervnculo"/>
                <w:i/>
                <w:noProof/>
                <w:sz w:val="18"/>
                <w:szCs w:val="18"/>
                <w:lang w:val="en-US"/>
              </w:rPr>
              <w:t>Pecuniary damage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_Toc514172670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DD5BB6" w:rsidRPr="00AC57EA">
              <w:rPr>
                <w:noProof/>
                <w:webHidden/>
                <w:sz w:val="18"/>
                <w:szCs w:val="18"/>
                <w:lang w:val="en-US"/>
              </w:rPr>
              <w:t>04</w:t>
            </w:r>
            <w:r w:rsidR="001D3CA2" w:rsidRPr="00AC57EA">
              <w:rPr>
                <w:noProof/>
                <w:webHidden/>
                <w:sz w:val="18"/>
                <w:szCs w:val="18"/>
                <w:lang w:val="en-US"/>
              </w:rPr>
              <w:fldChar w:fldCharType="end"/>
            </w:r>
          </w:hyperlink>
        </w:p>
        <w:p w14:paraId="06C2533A" w14:textId="25DFEB09" w:rsidR="001D3CA2" w:rsidRPr="00AC57EA" w:rsidRDefault="00811011" w:rsidP="001D3CA2">
          <w:pPr>
            <w:pStyle w:val="TDC2"/>
            <w:jc w:val="both"/>
            <w:rPr>
              <w:rFonts w:eastAsiaTheme="minorEastAsia" w:cstheme="minorBidi"/>
              <w:noProof/>
              <w:sz w:val="18"/>
              <w:szCs w:val="18"/>
              <w:lang w:val="en-US"/>
            </w:rPr>
          </w:pPr>
          <w:hyperlink w:anchor="_Toc514172671" w:history="1">
            <w:r w:rsidR="001D3CA2" w:rsidRPr="00AC57EA">
              <w:rPr>
                <w:rStyle w:val="Hipervnculo"/>
                <w:i/>
                <w:noProof/>
                <w:sz w:val="18"/>
                <w:szCs w:val="18"/>
                <w:lang w:val="en-US"/>
              </w:rPr>
              <w:t>D.2</w:t>
            </w:r>
            <w:r w:rsidR="001D3CA2" w:rsidRPr="00AC57EA">
              <w:rPr>
                <w:rFonts w:eastAsiaTheme="minorEastAsia" w:cstheme="minorBidi"/>
                <w:noProof/>
                <w:sz w:val="18"/>
                <w:szCs w:val="18"/>
                <w:lang w:val="en-US"/>
              </w:rPr>
              <w:tab/>
            </w:r>
            <w:r w:rsidR="007E72AE" w:rsidRPr="00AC57EA">
              <w:rPr>
                <w:rStyle w:val="Hipervnculo"/>
                <w:i/>
                <w:noProof/>
                <w:sz w:val="18"/>
                <w:szCs w:val="18"/>
                <w:lang w:val="en-US"/>
              </w:rPr>
              <w:t>Non-pecuniary damage</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_Toc514172671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DD5BB6" w:rsidRPr="00AC57EA">
              <w:rPr>
                <w:noProof/>
                <w:webHidden/>
                <w:sz w:val="18"/>
                <w:szCs w:val="18"/>
                <w:lang w:val="en-US"/>
              </w:rPr>
              <w:t>07</w:t>
            </w:r>
            <w:r w:rsidR="001D3CA2" w:rsidRPr="00AC57EA">
              <w:rPr>
                <w:noProof/>
                <w:webHidden/>
                <w:sz w:val="18"/>
                <w:szCs w:val="18"/>
                <w:lang w:val="en-US"/>
              </w:rPr>
              <w:fldChar w:fldCharType="end"/>
            </w:r>
          </w:hyperlink>
        </w:p>
        <w:p w14:paraId="67FF90A4" w14:textId="59532C4C" w:rsidR="001D3CA2" w:rsidRPr="00AC57EA" w:rsidRDefault="00811011" w:rsidP="001D3CA2">
          <w:pPr>
            <w:pStyle w:val="TDC2"/>
            <w:jc w:val="both"/>
            <w:rPr>
              <w:rFonts w:eastAsiaTheme="minorEastAsia" w:cstheme="minorBidi"/>
              <w:noProof/>
              <w:sz w:val="18"/>
              <w:szCs w:val="18"/>
              <w:lang w:val="en-US"/>
            </w:rPr>
          </w:pPr>
          <w:hyperlink w:anchor="_Toc514172672" w:history="1">
            <w:r w:rsidR="001D3CA2" w:rsidRPr="00AC57EA">
              <w:rPr>
                <w:rStyle w:val="Hipervnculo"/>
                <w:rFonts w:eastAsia="MS Mincho"/>
                <w:b/>
                <w:bCs/>
                <w:i/>
                <w:noProof/>
                <w:sz w:val="18"/>
                <w:szCs w:val="18"/>
                <w:lang w:val="en-US"/>
              </w:rPr>
              <w:t>E.</w:t>
            </w:r>
            <w:r w:rsidR="001D3CA2" w:rsidRPr="00AC57EA">
              <w:rPr>
                <w:rFonts w:eastAsiaTheme="minorEastAsia" w:cstheme="minorBidi"/>
                <w:noProof/>
                <w:sz w:val="18"/>
                <w:szCs w:val="18"/>
                <w:lang w:val="en-US"/>
              </w:rPr>
              <w:tab/>
            </w:r>
            <w:r w:rsidR="007E72AE" w:rsidRPr="00AC57EA">
              <w:rPr>
                <w:rStyle w:val="Hipervnculo"/>
                <w:rFonts w:eastAsia="MS Mincho"/>
                <w:b/>
                <w:bCs/>
                <w:i/>
                <w:noProof/>
                <w:sz w:val="18"/>
                <w:szCs w:val="18"/>
                <w:lang w:val="en-US"/>
              </w:rPr>
              <w:t>Costs and expenses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_Toc514172672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w:t>
            </w:r>
            <w:r w:rsidR="00DD5BB6" w:rsidRPr="00AC57EA">
              <w:rPr>
                <w:noProof/>
                <w:webHidden/>
                <w:sz w:val="18"/>
                <w:szCs w:val="18"/>
                <w:lang w:val="en-US"/>
              </w:rPr>
              <w:t>09</w:t>
            </w:r>
            <w:r w:rsidR="001D3CA2" w:rsidRPr="00AC57EA">
              <w:rPr>
                <w:noProof/>
                <w:webHidden/>
                <w:sz w:val="18"/>
                <w:szCs w:val="18"/>
                <w:lang w:val="en-US"/>
              </w:rPr>
              <w:fldChar w:fldCharType="end"/>
            </w:r>
          </w:hyperlink>
        </w:p>
        <w:p w14:paraId="525CC2BC" w14:textId="69BE02B5" w:rsidR="001D3CA2" w:rsidRPr="00AC57EA" w:rsidRDefault="00811011" w:rsidP="001D3CA2">
          <w:pPr>
            <w:pStyle w:val="TDC2"/>
            <w:jc w:val="both"/>
            <w:rPr>
              <w:rFonts w:eastAsiaTheme="minorEastAsia" w:cstheme="minorBidi"/>
              <w:noProof/>
              <w:sz w:val="18"/>
              <w:szCs w:val="18"/>
              <w:lang w:val="en-US"/>
            </w:rPr>
          </w:pPr>
          <w:hyperlink w:anchor="_Toc514172673" w:history="1">
            <w:r w:rsidR="001D3CA2" w:rsidRPr="00AC57EA">
              <w:rPr>
                <w:rStyle w:val="Hipervnculo"/>
                <w:rFonts w:eastAsia="MS Mincho"/>
                <w:b/>
                <w:bCs/>
                <w:i/>
                <w:noProof/>
                <w:sz w:val="18"/>
                <w:szCs w:val="18"/>
                <w:lang w:val="en-US"/>
              </w:rPr>
              <w:t>F.</w:t>
            </w:r>
            <w:r w:rsidR="001D3CA2" w:rsidRPr="00AC57EA">
              <w:rPr>
                <w:rFonts w:eastAsiaTheme="minorEastAsia" w:cstheme="minorBidi"/>
                <w:noProof/>
                <w:sz w:val="18"/>
                <w:szCs w:val="18"/>
                <w:lang w:val="en-US"/>
              </w:rPr>
              <w:tab/>
            </w:r>
            <w:r w:rsidR="00D2733C" w:rsidRPr="00AC57EA">
              <w:rPr>
                <w:rStyle w:val="Hipervnculo"/>
                <w:rFonts w:eastAsia="MS Mincho"/>
                <w:b/>
                <w:bCs/>
                <w:i/>
                <w:noProof/>
                <w:sz w:val="18"/>
                <w:szCs w:val="18"/>
                <w:lang w:val="en-US"/>
              </w:rPr>
              <w:t>Reimbursement of expenses to the</w:t>
            </w:r>
            <w:r w:rsidR="001D3CA2" w:rsidRPr="00AC57EA">
              <w:rPr>
                <w:rStyle w:val="Hipervnculo"/>
                <w:rFonts w:eastAsia="MS Mincho"/>
                <w:b/>
                <w:bCs/>
                <w:i/>
                <w:noProof/>
                <w:sz w:val="18"/>
                <w:szCs w:val="18"/>
                <w:lang w:val="en-US"/>
              </w:rPr>
              <w:t xml:space="preserve"> </w:t>
            </w:r>
            <w:r w:rsidR="007E72AE" w:rsidRPr="00AC57EA">
              <w:rPr>
                <w:rStyle w:val="Hipervnculo"/>
                <w:rFonts w:eastAsia="MS Mincho"/>
                <w:b/>
                <w:bCs/>
                <w:i/>
                <w:noProof/>
                <w:sz w:val="18"/>
                <w:szCs w:val="18"/>
                <w:lang w:val="en-US"/>
              </w:rPr>
              <w:t>Victims’ Legal Assistance Fund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_Toc514172673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11</w:t>
            </w:r>
            <w:r w:rsidR="00DD5BB6" w:rsidRPr="00AC57EA">
              <w:rPr>
                <w:noProof/>
                <w:webHidden/>
                <w:sz w:val="18"/>
                <w:szCs w:val="18"/>
                <w:lang w:val="en-US"/>
              </w:rPr>
              <w:t>0</w:t>
            </w:r>
            <w:r w:rsidR="001D3CA2" w:rsidRPr="00AC57EA">
              <w:rPr>
                <w:noProof/>
                <w:webHidden/>
                <w:sz w:val="18"/>
                <w:szCs w:val="18"/>
                <w:lang w:val="en-US"/>
              </w:rPr>
              <w:fldChar w:fldCharType="end"/>
            </w:r>
          </w:hyperlink>
        </w:p>
        <w:p w14:paraId="4BA79A5C" w14:textId="34739271" w:rsidR="001D3CA2" w:rsidRPr="00AC57EA" w:rsidRDefault="00811011" w:rsidP="001D3CA2">
          <w:pPr>
            <w:pStyle w:val="TDC2"/>
            <w:jc w:val="both"/>
            <w:rPr>
              <w:rFonts w:eastAsiaTheme="minorEastAsia" w:cstheme="minorBidi"/>
              <w:noProof/>
              <w:sz w:val="18"/>
              <w:szCs w:val="18"/>
              <w:lang w:val="en-US"/>
            </w:rPr>
          </w:pPr>
          <w:hyperlink w:anchor="_Toc514172674" w:history="1">
            <w:r w:rsidR="001D3CA2" w:rsidRPr="00AC57EA">
              <w:rPr>
                <w:rStyle w:val="Hipervnculo"/>
                <w:rFonts w:eastAsia="MS Mincho"/>
                <w:b/>
                <w:bCs/>
                <w:i/>
                <w:noProof/>
                <w:sz w:val="18"/>
                <w:szCs w:val="18"/>
                <w:lang w:val="en-US"/>
              </w:rPr>
              <w:t>G.</w:t>
            </w:r>
            <w:r w:rsidR="001D3CA2" w:rsidRPr="00AC57EA">
              <w:rPr>
                <w:rFonts w:eastAsiaTheme="minorEastAsia" w:cstheme="minorBidi"/>
                <w:noProof/>
                <w:sz w:val="18"/>
                <w:szCs w:val="18"/>
                <w:lang w:val="en-US"/>
              </w:rPr>
              <w:tab/>
            </w:r>
            <w:r w:rsidR="00D2733C" w:rsidRPr="00AC57EA">
              <w:rPr>
                <w:rStyle w:val="Hipervnculo"/>
                <w:rFonts w:eastAsia="MS Mincho"/>
                <w:b/>
                <w:bCs/>
                <w:i/>
                <w:noProof/>
                <w:sz w:val="18"/>
                <w:szCs w:val="18"/>
                <w:lang w:val="en-US"/>
              </w:rPr>
              <w:t>Method of complying with the payments ordered</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_Toc514172674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11</w:t>
            </w:r>
            <w:r w:rsidR="00DD5BB6" w:rsidRPr="00AC57EA">
              <w:rPr>
                <w:noProof/>
                <w:webHidden/>
                <w:sz w:val="18"/>
                <w:szCs w:val="18"/>
                <w:lang w:val="en-US"/>
              </w:rPr>
              <w:t>2</w:t>
            </w:r>
            <w:r w:rsidR="001D3CA2" w:rsidRPr="00AC57EA">
              <w:rPr>
                <w:noProof/>
                <w:webHidden/>
                <w:sz w:val="18"/>
                <w:szCs w:val="18"/>
                <w:lang w:val="en-US"/>
              </w:rPr>
              <w:fldChar w:fldCharType="end"/>
            </w:r>
          </w:hyperlink>
        </w:p>
        <w:p w14:paraId="77D9A31F" w14:textId="4F2A12A8" w:rsidR="001D3CA2" w:rsidRPr="00AC57EA" w:rsidRDefault="00811011" w:rsidP="001D3CA2">
          <w:pPr>
            <w:pStyle w:val="TDC1"/>
            <w:tabs>
              <w:tab w:val="right" w:leader="dot" w:pos="10070"/>
            </w:tabs>
            <w:spacing w:after="0" w:line="240" w:lineRule="auto"/>
            <w:rPr>
              <w:rFonts w:eastAsiaTheme="minorEastAsia" w:cstheme="minorBidi"/>
              <w:noProof/>
              <w:sz w:val="18"/>
              <w:szCs w:val="18"/>
              <w:lang w:val="en-US"/>
            </w:rPr>
          </w:pPr>
          <w:hyperlink w:anchor="_Toc514172675" w:history="1">
            <w:r w:rsidR="001D3CA2" w:rsidRPr="00AC57EA">
              <w:rPr>
                <w:rStyle w:val="Hipervnculo"/>
                <w:rFonts w:cs="Verdana"/>
                <w:b/>
                <w:bCs/>
                <w:caps/>
                <w:noProof/>
                <w:snapToGrid w:val="0"/>
                <w:sz w:val="18"/>
                <w:szCs w:val="18"/>
                <w:lang w:val="en-US"/>
              </w:rPr>
              <w:t xml:space="preserve">X </w:t>
            </w:r>
            <w:r w:rsidR="002A5974" w:rsidRPr="00AC57EA">
              <w:rPr>
                <w:rStyle w:val="Hipervnculo"/>
                <w:rFonts w:cs="Verdana"/>
                <w:b/>
                <w:bCs/>
                <w:caps/>
                <w:noProof/>
                <w:snapToGrid w:val="0"/>
                <w:sz w:val="18"/>
                <w:szCs w:val="18"/>
                <w:lang w:val="en-US"/>
              </w:rPr>
              <w:t>OPERATIVE PARAGRAPHS</w:t>
            </w:r>
            <w:r w:rsidR="001D3CA2" w:rsidRPr="00AC57EA">
              <w:rPr>
                <w:noProof/>
                <w:webHidden/>
                <w:sz w:val="18"/>
                <w:szCs w:val="18"/>
                <w:lang w:val="en-US"/>
              </w:rPr>
              <w:tab/>
            </w:r>
            <w:r w:rsidR="001D3CA2" w:rsidRPr="00AC57EA">
              <w:rPr>
                <w:noProof/>
                <w:webHidden/>
                <w:sz w:val="18"/>
                <w:szCs w:val="18"/>
                <w:lang w:val="en-US"/>
              </w:rPr>
              <w:fldChar w:fldCharType="begin"/>
            </w:r>
            <w:r w:rsidR="001D3CA2" w:rsidRPr="00AC57EA">
              <w:rPr>
                <w:noProof/>
                <w:webHidden/>
                <w:sz w:val="18"/>
                <w:szCs w:val="18"/>
                <w:lang w:val="en-US"/>
              </w:rPr>
              <w:instrText xml:space="preserve"> PAGEREF _Toc514172675 \h </w:instrText>
            </w:r>
            <w:r w:rsidR="001D3CA2" w:rsidRPr="00AC57EA">
              <w:rPr>
                <w:noProof/>
                <w:webHidden/>
                <w:sz w:val="18"/>
                <w:szCs w:val="18"/>
                <w:lang w:val="en-US"/>
              </w:rPr>
            </w:r>
            <w:r w:rsidR="001D3CA2" w:rsidRPr="00AC57EA">
              <w:rPr>
                <w:noProof/>
                <w:webHidden/>
                <w:sz w:val="18"/>
                <w:szCs w:val="18"/>
                <w:lang w:val="en-US"/>
              </w:rPr>
              <w:fldChar w:fldCharType="separate"/>
            </w:r>
            <w:r w:rsidR="00EF48C1" w:rsidRPr="00AC57EA">
              <w:rPr>
                <w:noProof/>
                <w:webHidden/>
                <w:sz w:val="18"/>
                <w:szCs w:val="18"/>
                <w:lang w:val="en-US"/>
              </w:rPr>
              <w:t>11</w:t>
            </w:r>
            <w:r w:rsidR="00DD5BB6" w:rsidRPr="00AC57EA">
              <w:rPr>
                <w:noProof/>
                <w:webHidden/>
                <w:sz w:val="18"/>
                <w:szCs w:val="18"/>
                <w:lang w:val="en-US"/>
              </w:rPr>
              <w:t>3</w:t>
            </w:r>
            <w:r w:rsidR="001D3CA2" w:rsidRPr="00AC57EA">
              <w:rPr>
                <w:noProof/>
                <w:webHidden/>
                <w:sz w:val="18"/>
                <w:szCs w:val="18"/>
                <w:lang w:val="en-US"/>
              </w:rPr>
              <w:fldChar w:fldCharType="end"/>
            </w:r>
          </w:hyperlink>
        </w:p>
        <w:p w14:paraId="75F299B5" w14:textId="51232F91" w:rsidR="00F414CE" w:rsidRPr="00AC57EA" w:rsidRDefault="00920B09" w:rsidP="001D3CA2">
          <w:pPr>
            <w:spacing w:line="240" w:lineRule="auto"/>
            <w:rPr>
              <w:sz w:val="18"/>
              <w:szCs w:val="18"/>
              <w:lang w:val="en-US"/>
            </w:rPr>
          </w:pPr>
          <w:r w:rsidRPr="00AC57EA">
            <w:rPr>
              <w:b/>
              <w:bCs/>
              <w:sz w:val="18"/>
              <w:szCs w:val="18"/>
              <w:lang w:val="en-US"/>
            </w:rPr>
            <w:fldChar w:fldCharType="end"/>
          </w:r>
        </w:p>
      </w:sdtContent>
    </w:sdt>
    <w:p w14:paraId="76FF9AF4" w14:textId="77777777" w:rsidR="00F414CE" w:rsidRPr="00AC57EA" w:rsidRDefault="00F414CE" w:rsidP="003D5FBA">
      <w:pPr>
        <w:spacing w:line="240" w:lineRule="auto"/>
        <w:rPr>
          <w:rFonts w:eastAsia="Verdana" w:cs="Verdana"/>
          <w:position w:val="-1"/>
          <w:sz w:val="18"/>
          <w:szCs w:val="18"/>
          <w:lang w:val="en-US"/>
        </w:rPr>
      </w:pPr>
    </w:p>
    <w:p w14:paraId="5F8BFA40" w14:textId="233FECFD" w:rsidR="00E16176" w:rsidRPr="00AC57EA" w:rsidRDefault="00F414CE" w:rsidP="00F56AD8">
      <w:pPr>
        <w:widowControl/>
        <w:adjustRightInd/>
        <w:spacing w:after="200" w:line="276" w:lineRule="auto"/>
        <w:jc w:val="left"/>
        <w:textAlignment w:val="auto"/>
        <w:rPr>
          <w:rFonts w:eastAsia="Verdana" w:cs="Verdana"/>
          <w:position w:val="-1"/>
          <w:sz w:val="20"/>
          <w:szCs w:val="20"/>
          <w:lang w:val="en-US"/>
        </w:rPr>
      </w:pPr>
      <w:r w:rsidRPr="00AC57EA">
        <w:rPr>
          <w:rFonts w:eastAsia="Verdana" w:cs="Verdana"/>
          <w:position w:val="-1"/>
          <w:sz w:val="20"/>
          <w:szCs w:val="20"/>
          <w:lang w:val="en-US"/>
        </w:rPr>
        <w:br w:type="page"/>
      </w:r>
    </w:p>
    <w:p w14:paraId="180C55E6" w14:textId="1CC3250D" w:rsidR="006C37C9" w:rsidRPr="00AC57EA" w:rsidRDefault="006C37C9" w:rsidP="00A93967">
      <w:pPr>
        <w:keepNext/>
        <w:keepLines/>
        <w:tabs>
          <w:tab w:val="left" w:pos="851"/>
        </w:tabs>
        <w:spacing w:line="240" w:lineRule="auto"/>
        <w:jc w:val="center"/>
        <w:outlineLvl w:val="0"/>
        <w:rPr>
          <w:rFonts w:cs="Verdana"/>
          <w:b/>
          <w:bCs/>
          <w:caps/>
          <w:snapToGrid w:val="0"/>
          <w:sz w:val="20"/>
          <w:szCs w:val="20"/>
          <w:lang w:val="en-US"/>
        </w:rPr>
      </w:pPr>
      <w:bookmarkStart w:id="0" w:name="_Toc373093233"/>
      <w:bookmarkStart w:id="1" w:name="_Toc373350045"/>
      <w:bookmarkStart w:id="2" w:name="_Toc375560891"/>
      <w:bookmarkStart w:id="3" w:name="_Toc401931877"/>
      <w:bookmarkStart w:id="4" w:name="_Toc428369976"/>
      <w:bookmarkStart w:id="5" w:name="_Toc459158092"/>
      <w:bookmarkStart w:id="6" w:name="_Toc470180032"/>
      <w:bookmarkStart w:id="7" w:name="_Toc514172589"/>
      <w:r w:rsidRPr="00AC57EA">
        <w:rPr>
          <w:rFonts w:cs="Verdana"/>
          <w:b/>
          <w:bCs/>
          <w:caps/>
          <w:snapToGrid w:val="0"/>
          <w:sz w:val="20"/>
          <w:szCs w:val="20"/>
          <w:lang w:val="en-US"/>
        </w:rPr>
        <w:lastRenderedPageBreak/>
        <w:t>I</w:t>
      </w:r>
      <w:bookmarkStart w:id="8" w:name="_Toc375062709"/>
      <w:bookmarkStart w:id="9" w:name="_Toc375140859"/>
      <w:bookmarkStart w:id="10" w:name="_Toc375504818"/>
      <w:bookmarkStart w:id="11" w:name="_Toc375560892"/>
      <w:bookmarkEnd w:id="0"/>
      <w:bookmarkEnd w:id="1"/>
      <w:bookmarkEnd w:id="2"/>
      <w:r w:rsidRPr="00AC57EA">
        <w:rPr>
          <w:rFonts w:cs="Verdana"/>
          <w:b/>
          <w:bCs/>
          <w:caps/>
          <w:snapToGrid w:val="0"/>
          <w:sz w:val="20"/>
          <w:szCs w:val="20"/>
          <w:lang w:val="en-US"/>
        </w:rPr>
        <w:br/>
      </w:r>
      <w:r w:rsidR="00EC52D7" w:rsidRPr="00AC57EA">
        <w:rPr>
          <w:rFonts w:cs="Verdana"/>
          <w:b/>
          <w:bCs/>
          <w:caps/>
          <w:snapToGrid w:val="0"/>
          <w:sz w:val="20"/>
          <w:szCs w:val="20"/>
          <w:lang w:val="en-US"/>
        </w:rPr>
        <w:t>INTRODUCTION OF THE CASE AND PURPOSE OF THE DISPUTE</w:t>
      </w:r>
      <w:bookmarkEnd w:id="3"/>
      <w:bookmarkEnd w:id="4"/>
      <w:bookmarkEnd w:id="5"/>
      <w:bookmarkEnd w:id="6"/>
      <w:bookmarkEnd w:id="7"/>
      <w:bookmarkEnd w:id="8"/>
      <w:bookmarkEnd w:id="9"/>
      <w:bookmarkEnd w:id="10"/>
      <w:bookmarkEnd w:id="11"/>
    </w:p>
    <w:p w14:paraId="2C481A91" w14:textId="77777777" w:rsidR="006C37C9" w:rsidRPr="00AC57EA" w:rsidRDefault="006C37C9" w:rsidP="006C37C9">
      <w:pPr>
        <w:spacing w:before="4" w:line="240" w:lineRule="exact"/>
        <w:rPr>
          <w:rFonts w:ascii="Calibri" w:eastAsia="Calibri" w:hAnsi="Calibri"/>
          <w:lang w:val="en-US"/>
        </w:rPr>
      </w:pPr>
    </w:p>
    <w:p w14:paraId="6530077D" w14:textId="1900D0F9" w:rsidR="006C37C9" w:rsidRPr="00AC57EA" w:rsidRDefault="00EC52D7" w:rsidP="00EC52D7">
      <w:pPr>
        <w:numPr>
          <w:ilvl w:val="0"/>
          <w:numId w:val="2"/>
        </w:numPr>
        <w:tabs>
          <w:tab w:val="left" w:pos="567"/>
          <w:tab w:val="num" w:pos="12305"/>
        </w:tabs>
        <w:spacing w:line="240" w:lineRule="auto"/>
        <w:ind w:left="0" w:firstLine="0"/>
        <w:rPr>
          <w:rFonts w:eastAsia="Calibri" w:cs="Arial"/>
          <w:sz w:val="20"/>
          <w:szCs w:val="20"/>
          <w:lang w:val="en-US"/>
        </w:rPr>
      </w:pPr>
      <w:r w:rsidRPr="00AC57EA">
        <w:rPr>
          <w:rFonts w:eastAsia="Verdana" w:cs="Verdana"/>
          <w:i/>
          <w:sz w:val="20"/>
          <w:szCs w:val="20"/>
          <w:lang w:val="en-US"/>
        </w:rPr>
        <w:t>The case submitted to</w:t>
      </w:r>
      <w:r w:rsidR="006C37C9" w:rsidRPr="00AC57EA">
        <w:rPr>
          <w:rFonts w:eastAsia="Verdana" w:cs="Verdana"/>
          <w:i/>
          <w:sz w:val="20"/>
          <w:szCs w:val="20"/>
          <w:lang w:val="en-US"/>
        </w:rPr>
        <w:t xml:space="preserve"> </w:t>
      </w:r>
      <w:r w:rsidR="00B7258C" w:rsidRPr="00AC57EA">
        <w:rPr>
          <w:rFonts w:eastAsia="Verdana" w:cs="Verdana"/>
          <w:i/>
          <w:sz w:val="20"/>
          <w:szCs w:val="20"/>
          <w:lang w:val="en-US"/>
        </w:rPr>
        <w:t>the Court</w:t>
      </w:r>
      <w:r w:rsidR="006C37C9" w:rsidRPr="00AC57EA">
        <w:rPr>
          <w:rFonts w:eastAsia="Verdana" w:cs="Verdana"/>
          <w:i/>
          <w:sz w:val="20"/>
          <w:szCs w:val="20"/>
          <w:lang w:val="en-US"/>
        </w:rPr>
        <w:t xml:space="preserve">.  </w:t>
      </w:r>
      <w:r w:rsidRPr="00AC57EA">
        <w:rPr>
          <w:rFonts w:eastAsia="Verdana" w:cs="Verdana"/>
          <w:sz w:val="20"/>
          <w:szCs w:val="20"/>
          <w:lang w:val="en-US"/>
        </w:rPr>
        <w:t>On August 25,</w:t>
      </w:r>
      <w:r w:rsidR="0058113B" w:rsidRPr="00AC57EA">
        <w:rPr>
          <w:rFonts w:eastAsia="Verdana" w:cs="Verdana"/>
          <w:sz w:val="20"/>
          <w:szCs w:val="20"/>
          <w:lang w:val="en-US"/>
        </w:rPr>
        <w:t xml:space="preserve"> 2016</w:t>
      </w:r>
      <w:r w:rsidRPr="00AC57EA">
        <w:rPr>
          <w:rFonts w:eastAsia="Verdana" w:cs="Verdana"/>
          <w:sz w:val="20"/>
          <w:szCs w:val="20"/>
          <w:lang w:val="en-US"/>
        </w:rPr>
        <w:t>,</w:t>
      </w:r>
      <w:r w:rsidR="006C37C9" w:rsidRPr="00AC57EA">
        <w:rPr>
          <w:rFonts w:eastAsia="Verdana" w:cs="Verdana"/>
          <w:sz w:val="20"/>
          <w:szCs w:val="20"/>
          <w:lang w:val="en-US"/>
        </w:rPr>
        <w:t xml:space="preserve"> </w:t>
      </w:r>
      <w:r w:rsidR="00B7258C" w:rsidRPr="00AC57EA">
        <w:rPr>
          <w:rFonts w:eastAsia="Verdana" w:cs="Verdana"/>
          <w:sz w:val="20"/>
          <w:szCs w:val="20"/>
          <w:lang w:val="en-US"/>
        </w:rPr>
        <w:t>the Inter-American Commission on Human Rights</w:t>
      </w:r>
      <w:r w:rsidR="006C37C9" w:rsidRPr="00AC57EA">
        <w:rPr>
          <w:rFonts w:eastAsia="Verdana" w:cs="Verdana"/>
          <w:sz w:val="20"/>
          <w:szCs w:val="20"/>
          <w:lang w:val="en-US"/>
        </w:rPr>
        <w:t xml:space="preserve"> (</w:t>
      </w:r>
      <w:r w:rsidR="00B7258C" w:rsidRPr="00AC57EA">
        <w:rPr>
          <w:rFonts w:eastAsia="Verdana" w:cs="Verdana"/>
          <w:sz w:val="20"/>
          <w:szCs w:val="20"/>
          <w:lang w:val="en-US"/>
        </w:rPr>
        <w:t>hereinafter</w:t>
      </w:r>
      <w:r w:rsidR="006C37C9" w:rsidRPr="00AC57EA">
        <w:rPr>
          <w:rFonts w:eastAsia="Verdana" w:cs="Verdana"/>
          <w:sz w:val="20"/>
          <w:szCs w:val="20"/>
          <w:lang w:val="en-US"/>
        </w:rPr>
        <w:t xml:space="preserve"> “</w:t>
      </w:r>
      <w:r w:rsidR="00B7258C" w:rsidRPr="00AC57EA">
        <w:rPr>
          <w:rFonts w:eastAsia="Verdana" w:cs="Verdana"/>
          <w:sz w:val="20"/>
          <w:szCs w:val="20"/>
          <w:lang w:val="en-US"/>
        </w:rPr>
        <w:t>the Inter-American Commission</w:t>
      </w:r>
      <w:r w:rsidR="006C37C9" w:rsidRPr="00AC57EA">
        <w:rPr>
          <w:rFonts w:eastAsia="Verdana" w:cs="Verdana"/>
          <w:sz w:val="20"/>
          <w:szCs w:val="20"/>
          <w:lang w:val="en-US"/>
        </w:rPr>
        <w:t>” o</w:t>
      </w:r>
      <w:r w:rsidRPr="00AC57EA">
        <w:rPr>
          <w:rFonts w:eastAsia="Verdana" w:cs="Verdana"/>
          <w:sz w:val="20"/>
          <w:szCs w:val="20"/>
          <w:lang w:val="en-US"/>
        </w:rPr>
        <w:t>r</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006C37C9" w:rsidRPr="00AC57EA">
        <w:rPr>
          <w:rFonts w:eastAsia="Verdana" w:cs="Verdana"/>
          <w:sz w:val="20"/>
          <w:szCs w:val="20"/>
          <w:lang w:val="en-US"/>
        </w:rPr>
        <w:t xml:space="preserve">”) </w:t>
      </w:r>
      <w:r w:rsidRPr="00AC57EA">
        <w:rPr>
          <w:rFonts w:eastAsia="Verdana" w:cs="Verdana"/>
          <w:sz w:val="20"/>
          <w:szCs w:val="20"/>
          <w:lang w:val="en-US"/>
        </w:rPr>
        <w:t>submitted to the jurisdiction</w:t>
      </w:r>
      <w:r w:rsidR="006C37C9" w:rsidRPr="00AC57EA">
        <w:rPr>
          <w:rFonts w:eastAsia="Verdana" w:cs="Verdana"/>
          <w:sz w:val="20"/>
          <w:szCs w:val="20"/>
          <w:lang w:val="en-US"/>
        </w:rPr>
        <w:t xml:space="preserve"> </w:t>
      </w:r>
      <w:r w:rsidR="00B7258C" w:rsidRPr="00AC57EA">
        <w:rPr>
          <w:rFonts w:eastAsia="Verdana" w:cs="Verdana"/>
          <w:sz w:val="20"/>
          <w:szCs w:val="20"/>
          <w:lang w:val="en-US"/>
        </w:rPr>
        <w:t>of the Court</w:t>
      </w:r>
      <w:r w:rsidR="006C37C9" w:rsidRPr="00AC57EA">
        <w:rPr>
          <w:rFonts w:eastAsia="Verdana" w:cs="Verdana"/>
          <w:sz w:val="20"/>
          <w:szCs w:val="20"/>
          <w:lang w:val="en-US"/>
        </w:rPr>
        <w:t xml:space="preserve"> </w:t>
      </w:r>
      <w:r w:rsidRPr="00AC57EA">
        <w:rPr>
          <w:rFonts w:eastAsia="Verdana" w:cs="Verdana"/>
          <w:sz w:val="20"/>
          <w:szCs w:val="20"/>
          <w:lang w:val="en-US"/>
        </w:rPr>
        <w:t>the case of</w:t>
      </w:r>
      <w:r w:rsidR="006C37C9" w:rsidRPr="00AC57EA">
        <w:rPr>
          <w:rFonts w:eastAsia="Verdana" w:cs="Verdana"/>
          <w:sz w:val="20"/>
          <w:szCs w:val="20"/>
          <w:lang w:val="en-US"/>
        </w:rPr>
        <w:t xml:space="preserve"> </w:t>
      </w:r>
      <w:r w:rsidR="0058113B" w:rsidRPr="00AC57EA">
        <w:rPr>
          <w:rFonts w:eastAsia="Verdana" w:cs="Verdana"/>
          <w:i/>
          <w:sz w:val="20"/>
          <w:szCs w:val="20"/>
          <w:lang w:val="en-US"/>
        </w:rPr>
        <w:t xml:space="preserve">“V.R.P. </w:t>
      </w:r>
      <w:r w:rsidRPr="00AC57EA">
        <w:rPr>
          <w:rFonts w:eastAsia="Verdana" w:cs="Verdana"/>
          <w:i/>
          <w:sz w:val="20"/>
          <w:szCs w:val="20"/>
          <w:lang w:val="en-US"/>
        </w:rPr>
        <w:t>and</w:t>
      </w:r>
      <w:r w:rsidR="0058113B" w:rsidRPr="00AC57EA">
        <w:rPr>
          <w:rFonts w:eastAsia="Verdana" w:cs="Verdana"/>
          <w:i/>
          <w:sz w:val="20"/>
          <w:szCs w:val="20"/>
          <w:lang w:val="en-US"/>
        </w:rPr>
        <w:t xml:space="preserve"> V.P.C.</w:t>
      </w:r>
      <w:r w:rsidR="006C37C9" w:rsidRPr="00AC57EA">
        <w:rPr>
          <w:rFonts w:eastAsia="Verdana" w:cs="Verdana"/>
          <w:i/>
          <w:sz w:val="20"/>
          <w:szCs w:val="20"/>
          <w:lang w:val="en-US"/>
        </w:rPr>
        <w:t>”</w:t>
      </w:r>
      <w:r w:rsidR="006C37C9" w:rsidRPr="00AC57EA">
        <w:rPr>
          <w:rFonts w:eastAsia="Verdana" w:cs="Verdana"/>
          <w:sz w:val="20"/>
          <w:szCs w:val="20"/>
          <w:lang w:val="en-US"/>
        </w:rPr>
        <w:t xml:space="preserve"> </w:t>
      </w:r>
      <w:r w:rsidRPr="00AC57EA">
        <w:rPr>
          <w:rFonts w:eastAsia="Verdana" w:cs="Verdana"/>
          <w:sz w:val="20"/>
          <w:szCs w:val="20"/>
          <w:lang w:val="en-US"/>
        </w:rPr>
        <w:t>against the Republic of</w:t>
      </w:r>
      <w:r w:rsidR="0058113B" w:rsidRPr="00AC57EA">
        <w:rPr>
          <w:rFonts w:eastAsia="Verdana" w:cs="Verdana"/>
          <w:sz w:val="20"/>
          <w:szCs w:val="20"/>
          <w:lang w:val="en-US"/>
        </w:rPr>
        <w:t xml:space="preserve"> Nicaragua</w:t>
      </w:r>
      <w:r w:rsidR="006C37C9" w:rsidRPr="00AC57EA">
        <w:rPr>
          <w:rFonts w:eastAsia="Verdana" w:cs="Verdana"/>
          <w:sz w:val="20"/>
          <w:szCs w:val="20"/>
          <w:lang w:val="en-US"/>
        </w:rPr>
        <w:t xml:space="preserve"> (</w:t>
      </w:r>
      <w:r w:rsidR="00B7258C" w:rsidRPr="00AC57EA">
        <w:rPr>
          <w:rFonts w:eastAsia="Verdana" w:cs="Verdana"/>
          <w:sz w:val="20"/>
          <w:szCs w:val="20"/>
          <w:lang w:val="en-US"/>
        </w:rPr>
        <w:t>hereinafter</w:t>
      </w:r>
      <w:r w:rsidR="006C37C9" w:rsidRPr="00AC57EA">
        <w:rPr>
          <w:rFonts w:eastAsia="Verdana" w:cs="Verdana"/>
          <w:sz w:val="20"/>
          <w:szCs w:val="20"/>
          <w:lang w:val="en-US"/>
        </w:rPr>
        <w:t xml:space="preserve"> “</w:t>
      </w:r>
      <w:r w:rsidRPr="00AC57EA">
        <w:rPr>
          <w:rFonts w:eastAsia="Verdana" w:cs="Verdana"/>
          <w:sz w:val="20"/>
          <w:szCs w:val="20"/>
          <w:lang w:val="en-US"/>
        </w:rPr>
        <w:t>the State of</w:t>
      </w:r>
      <w:r w:rsidR="006C37C9" w:rsidRPr="00AC57EA">
        <w:rPr>
          <w:rFonts w:eastAsia="Verdana" w:cs="Verdana"/>
          <w:sz w:val="20"/>
          <w:szCs w:val="20"/>
          <w:lang w:val="en-US"/>
        </w:rPr>
        <w:t xml:space="preserve"> </w:t>
      </w:r>
      <w:r w:rsidR="0058113B" w:rsidRPr="00AC57EA">
        <w:rPr>
          <w:rFonts w:eastAsia="Verdana" w:cs="Verdana"/>
          <w:sz w:val="20"/>
          <w:szCs w:val="20"/>
          <w:lang w:val="en-US"/>
        </w:rPr>
        <w:t>Nicaragua</w:t>
      </w:r>
      <w:r w:rsidRPr="00AC57EA">
        <w:rPr>
          <w:rFonts w:eastAsia="Verdana" w:cs="Verdana"/>
          <w:sz w:val="20"/>
          <w:szCs w:val="20"/>
          <w:lang w:val="en-US"/>
        </w:rPr>
        <w:t>,</w:t>
      </w:r>
      <w:r w:rsidR="006C37C9" w:rsidRPr="00AC57EA">
        <w:rPr>
          <w:rFonts w:eastAsia="Verdana" w:cs="Verdana"/>
          <w:sz w:val="20"/>
          <w:szCs w:val="20"/>
          <w:lang w:val="en-US"/>
        </w:rPr>
        <w:t>” “</w:t>
      </w:r>
      <w:r w:rsidRPr="00AC57EA">
        <w:rPr>
          <w:rFonts w:eastAsia="Verdana" w:cs="Verdana"/>
          <w:sz w:val="20"/>
          <w:szCs w:val="20"/>
          <w:lang w:val="en-US"/>
        </w:rPr>
        <w:t>the State</w:t>
      </w:r>
      <w:r w:rsidR="006C37C9" w:rsidRPr="00AC57EA">
        <w:rPr>
          <w:rFonts w:eastAsia="Verdana" w:cs="Verdana"/>
          <w:sz w:val="20"/>
          <w:szCs w:val="20"/>
          <w:lang w:val="en-US"/>
        </w:rPr>
        <w:t>” o</w:t>
      </w:r>
      <w:r w:rsidRPr="00AC57EA">
        <w:rPr>
          <w:rFonts w:eastAsia="Verdana" w:cs="Verdana"/>
          <w:sz w:val="20"/>
          <w:szCs w:val="20"/>
          <w:lang w:val="en-US"/>
        </w:rPr>
        <w:t>r</w:t>
      </w:r>
      <w:r w:rsidR="006C37C9" w:rsidRPr="00AC57EA">
        <w:rPr>
          <w:rFonts w:eastAsia="Verdana" w:cs="Verdana"/>
          <w:sz w:val="20"/>
          <w:szCs w:val="20"/>
          <w:lang w:val="en-US"/>
        </w:rPr>
        <w:t xml:space="preserve"> “</w:t>
      </w:r>
      <w:r w:rsidR="0058113B" w:rsidRPr="00AC57EA">
        <w:rPr>
          <w:rFonts w:eastAsia="Verdana" w:cs="Verdana"/>
          <w:sz w:val="20"/>
          <w:szCs w:val="20"/>
          <w:lang w:val="en-US"/>
        </w:rPr>
        <w:t>Nicaragua</w:t>
      </w:r>
      <w:r w:rsidR="006C37C9" w:rsidRPr="00AC57EA">
        <w:rPr>
          <w:rFonts w:eastAsia="Verdana" w:cs="Verdana"/>
          <w:sz w:val="20"/>
          <w:szCs w:val="20"/>
          <w:lang w:val="en-US"/>
        </w:rPr>
        <w:t xml:space="preserve">”). </w:t>
      </w:r>
      <w:r w:rsidRPr="00AC57EA">
        <w:rPr>
          <w:rFonts w:eastAsia="Verdana" w:cs="Verdana"/>
          <w:sz w:val="20"/>
          <w:szCs w:val="20"/>
          <w:lang w:val="en-US"/>
        </w:rPr>
        <w:t>According to</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006C37C9" w:rsidRPr="00AC57EA">
        <w:rPr>
          <w:rFonts w:eastAsia="Verdana" w:cs="Verdana"/>
          <w:sz w:val="20"/>
          <w:szCs w:val="20"/>
          <w:lang w:val="en-US"/>
        </w:rPr>
        <w:t xml:space="preserve">, </w:t>
      </w:r>
      <w:r w:rsidRPr="00AC57EA">
        <w:rPr>
          <w:rFonts w:eastAsia="Verdana" w:cs="Verdana"/>
          <w:sz w:val="20"/>
          <w:szCs w:val="20"/>
          <w:lang w:val="en-US"/>
        </w:rPr>
        <w:t>the case re</w:t>
      </w:r>
      <w:r w:rsidR="002A7222" w:rsidRPr="00AC57EA">
        <w:rPr>
          <w:rFonts w:eastAsia="Verdana" w:cs="Verdana"/>
          <w:sz w:val="20"/>
          <w:szCs w:val="20"/>
          <w:lang w:val="en-US"/>
        </w:rPr>
        <w:t>lates</w:t>
      </w:r>
      <w:r w:rsidRPr="00AC57EA">
        <w:rPr>
          <w:rFonts w:eastAsia="Verdana" w:cs="Verdana"/>
          <w:sz w:val="20"/>
          <w:szCs w:val="20"/>
          <w:lang w:val="en-US"/>
        </w:rPr>
        <w:t xml:space="preserve"> to the alleged international responsibility </w:t>
      </w:r>
      <w:r w:rsidRPr="00AC57EA">
        <w:rPr>
          <w:rFonts w:eastAsia="Calibri" w:cs="Arial"/>
          <w:sz w:val="20"/>
          <w:szCs w:val="20"/>
          <w:lang w:val="en-US"/>
        </w:rPr>
        <w:t>of the State of</w:t>
      </w:r>
      <w:r w:rsidR="00F14674" w:rsidRPr="00AC57EA">
        <w:rPr>
          <w:rFonts w:eastAsia="Calibri" w:cs="Arial"/>
          <w:sz w:val="20"/>
          <w:szCs w:val="20"/>
          <w:lang w:val="en-US"/>
        </w:rPr>
        <w:t xml:space="preserve"> Nicaragua</w:t>
      </w:r>
      <w:r w:rsidRPr="00AC57EA">
        <w:rPr>
          <w:rFonts w:eastAsia="Calibri" w:cs="Arial"/>
          <w:sz w:val="20"/>
          <w:szCs w:val="20"/>
          <w:lang w:val="en-US"/>
        </w:rPr>
        <w:t xml:space="preserve"> for the presumed lack of State response to the rape committed by a non-state agent against a </w:t>
      </w:r>
      <w:r w:rsidR="003C0AC1" w:rsidRPr="00AC57EA">
        <w:rPr>
          <w:rFonts w:eastAsia="Calibri" w:cs="Arial"/>
          <w:sz w:val="20"/>
          <w:szCs w:val="20"/>
          <w:lang w:val="en-US"/>
        </w:rPr>
        <w:t>female child</w:t>
      </w:r>
      <w:r w:rsidRPr="00AC57EA">
        <w:rPr>
          <w:rFonts w:eastAsia="Calibri" w:cs="Arial"/>
          <w:sz w:val="20"/>
          <w:szCs w:val="20"/>
          <w:lang w:val="en-US"/>
        </w:rPr>
        <w:t>, who</w:t>
      </w:r>
      <w:r w:rsidR="002A7222" w:rsidRPr="00AC57EA">
        <w:rPr>
          <w:rFonts w:eastAsia="Calibri" w:cs="Arial"/>
          <w:sz w:val="20"/>
          <w:szCs w:val="20"/>
          <w:lang w:val="en-US"/>
        </w:rPr>
        <w:t>,</w:t>
      </w:r>
      <w:r w:rsidRPr="00AC57EA">
        <w:rPr>
          <w:rFonts w:eastAsia="Calibri" w:cs="Arial"/>
          <w:sz w:val="20"/>
          <w:szCs w:val="20"/>
          <w:lang w:val="en-US"/>
        </w:rPr>
        <w:t xml:space="preserve"> at the time of the facts, was eight years of age and </w:t>
      </w:r>
      <w:r w:rsidR="002A7222" w:rsidRPr="00AC57EA">
        <w:rPr>
          <w:rFonts w:eastAsia="Calibri" w:cs="Arial"/>
          <w:sz w:val="20"/>
          <w:szCs w:val="20"/>
          <w:lang w:val="en-US"/>
        </w:rPr>
        <w:t>who indicated</w:t>
      </w:r>
      <w:r w:rsidRPr="00AC57EA">
        <w:rPr>
          <w:rFonts w:eastAsia="Calibri" w:cs="Arial"/>
          <w:sz w:val="20"/>
          <w:szCs w:val="20"/>
          <w:lang w:val="en-US"/>
        </w:rPr>
        <w:t xml:space="preserve"> that the person responsible was her father</w:t>
      </w:r>
      <w:r w:rsidR="00CC07C2" w:rsidRPr="00AC57EA">
        <w:rPr>
          <w:rFonts w:eastAsia="Calibri" w:cs="Arial"/>
          <w:sz w:val="20"/>
          <w:szCs w:val="20"/>
          <w:lang w:val="en-US"/>
        </w:rPr>
        <w:t>. The Commission</w:t>
      </w:r>
      <w:r w:rsidRPr="00AC57EA">
        <w:rPr>
          <w:rFonts w:eastAsia="Calibri" w:cs="Arial"/>
          <w:sz w:val="20"/>
          <w:szCs w:val="20"/>
          <w:lang w:val="en-US"/>
        </w:rPr>
        <w:t xml:space="preserve"> also alleged violations of the rights to personal integrity, dignity, privacy and autonomy, equality </w:t>
      </w:r>
      <w:r w:rsidR="00CC07C2" w:rsidRPr="00AC57EA">
        <w:rPr>
          <w:rFonts w:eastAsia="Calibri" w:cs="Arial"/>
          <w:sz w:val="20"/>
          <w:szCs w:val="20"/>
          <w:lang w:val="en-US"/>
        </w:rPr>
        <w:t xml:space="preserve">before the law </w:t>
      </w:r>
      <w:r w:rsidRPr="00AC57EA">
        <w:rPr>
          <w:rFonts w:eastAsia="Calibri" w:cs="Arial"/>
          <w:sz w:val="20"/>
          <w:szCs w:val="20"/>
          <w:lang w:val="en-US"/>
        </w:rPr>
        <w:t xml:space="preserve">and non-discrimination, and the special protection due to a child, particularly owing to the alleged failure to comply with the duty to investigate with due diligence, within a reasonable time and with a gender-based perspective, and the </w:t>
      </w:r>
      <w:r w:rsidR="002A7222" w:rsidRPr="00AC57EA">
        <w:rPr>
          <w:rFonts w:eastAsia="Calibri" w:cs="Arial"/>
          <w:sz w:val="20"/>
          <w:szCs w:val="20"/>
          <w:lang w:val="en-US"/>
        </w:rPr>
        <w:t>enhanced</w:t>
      </w:r>
      <w:r w:rsidRPr="00AC57EA">
        <w:rPr>
          <w:rFonts w:eastAsia="Calibri" w:cs="Arial"/>
          <w:sz w:val="20"/>
          <w:szCs w:val="20"/>
          <w:lang w:val="en-US"/>
        </w:rPr>
        <w:t xml:space="preserve"> State obligations arising from the victim’s condition as a child, because she </w:t>
      </w:r>
      <w:r w:rsidR="002A7222" w:rsidRPr="00AC57EA">
        <w:rPr>
          <w:rFonts w:eastAsia="Calibri" w:cs="Arial"/>
          <w:sz w:val="20"/>
          <w:szCs w:val="20"/>
          <w:lang w:val="en-US"/>
        </w:rPr>
        <w:t>was</w:t>
      </w:r>
      <w:r w:rsidRPr="00AC57EA">
        <w:rPr>
          <w:rFonts w:eastAsia="Calibri" w:cs="Arial"/>
          <w:sz w:val="20"/>
          <w:szCs w:val="20"/>
          <w:lang w:val="en-US"/>
        </w:rPr>
        <w:t xml:space="preserve"> seriously revictimized with a severe impact on her mental integrity and on that of her mother and sisters. The presumed victims in this case are </w:t>
      </w:r>
      <w:r w:rsidR="00050C17" w:rsidRPr="00AC57EA">
        <w:rPr>
          <w:sz w:val="20"/>
          <w:szCs w:val="20"/>
          <w:lang w:val="en-US" w:eastAsia="en-US"/>
        </w:rPr>
        <w:t xml:space="preserve">V.R.P. </w:t>
      </w:r>
      <w:r w:rsidRPr="00AC57EA">
        <w:rPr>
          <w:sz w:val="20"/>
          <w:szCs w:val="20"/>
          <w:lang w:val="en-US" w:eastAsia="en-US"/>
        </w:rPr>
        <w:t>and</w:t>
      </w:r>
      <w:r w:rsidR="00050C17" w:rsidRPr="00AC57EA">
        <w:rPr>
          <w:sz w:val="20"/>
          <w:szCs w:val="20"/>
          <w:lang w:val="en-US" w:eastAsia="en-US"/>
        </w:rPr>
        <w:t xml:space="preserve"> V.P.C., </w:t>
      </w:r>
      <w:r w:rsidRPr="00AC57EA">
        <w:rPr>
          <w:sz w:val="20"/>
          <w:szCs w:val="20"/>
          <w:lang w:val="en-US" w:eastAsia="en-US"/>
        </w:rPr>
        <w:t>and also</w:t>
      </w:r>
      <w:r w:rsidR="00050C17" w:rsidRPr="00AC57EA">
        <w:rPr>
          <w:sz w:val="20"/>
          <w:szCs w:val="20"/>
          <w:lang w:val="en-US" w:eastAsia="en-US"/>
        </w:rPr>
        <w:t xml:space="preserve"> </w:t>
      </w:r>
      <w:r w:rsidR="00762232" w:rsidRPr="00AC57EA">
        <w:rPr>
          <w:sz w:val="20"/>
          <w:szCs w:val="20"/>
          <w:lang w:val="en-US" w:eastAsia="en-US"/>
        </w:rPr>
        <w:t xml:space="preserve">N.R.P., </w:t>
      </w:r>
      <w:r w:rsidR="00050C17" w:rsidRPr="00AC57EA">
        <w:rPr>
          <w:sz w:val="20"/>
          <w:szCs w:val="20"/>
          <w:lang w:val="en-US" w:eastAsia="en-US"/>
        </w:rPr>
        <w:t>H.</w:t>
      </w:r>
      <w:r w:rsidR="00500D8E" w:rsidRPr="00AC57EA">
        <w:rPr>
          <w:sz w:val="20"/>
          <w:szCs w:val="20"/>
          <w:lang w:val="en-US" w:eastAsia="en-US"/>
        </w:rPr>
        <w:t>J.</w:t>
      </w:r>
      <w:r w:rsidR="00050C17" w:rsidRPr="00AC57EA">
        <w:rPr>
          <w:sz w:val="20"/>
          <w:szCs w:val="20"/>
          <w:lang w:val="en-US" w:eastAsia="en-US"/>
        </w:rPr>
        <w:t>R.P.</w:t>
      </w:r>
      <w:r w:rsidR="00762232" w:rsidRPr="00AC57EA">
        <w:rPr>
          <w:sz w:val="20"/>
          <w:szCs w:val="20"/>
          <w:lang w:val="en-US" w:eastAsia="en-US"/>
        </w:rPr>
        <w:t xml:space="preserve"> </w:t>
      </w:r>
      <w:r w:rsidRPr="00AC57EA">
        <w:rPr>
          <w:sz w:val="20"/>
          <w:szCs w:val="20"/>
          <w:lang w:val="en-US" w:eastAsia="en-US"/>
        </w:rPr>
        <w:t>and</w:t>
      </w:r>
      <w:r w:rsidR="00050C17" w:rsidRPr="00AC57EA">
        <w:rPr>
          <w:sz w:val="20"/>
          <w:szCs w:val="20"/>
          <w:lang w:val="en-US" w:eastAsia="en-US"/>
        </w:rPr>
        <w:t xml:space="preserve"> V.A.R.P.</w:t>
      </w:r>
      <w:r w:rsidR="00762232" w:rsidRPr="00AC57EA">
        <w:rPr>
          <w:sz w:val="20"/>
          <w:szCs w:val="20"/>
          <w:lang w:val="en-US" w:eastAsia="en-US"/>
        </w:rPr>
        <w:t>,</w:t>
      </w:r>
      <w:r w:rsidR="00050C17" w:rsidRPr="00AC57EA">
        <w:rPr>
          <w:sz w:val="20"/>
          <w:szCs w:val="20"/>
          <w:lang w:val="en-US" w:eastAsia="en-US"/>
        </w:rPr>
        <w:t xml:space="preserve"> </w:t>
      </w:r>
      <w:r w:rsidRPr="00AC57EA">
        <w:rPr>
          <w:sz w:val="20"/>
          <w:szCs w:val="20"/>
          <w:lang w:val="en-US" w:eastAsia="en-US"/>
        </w:rPr>
        <w:t xml:space="preserve">based on the considerations set out </w:t>
      </w:r>
      <w:r w:rsidR="002A7222" w:rsidRPr="00AC57EA">
        <w:rPr>
          <w:sz w:val="20"/>
          <w:szCs w:val="20"/>
          <w:lang w:val="en-US" w:eastAsia="en-US"/>
        </w:rPr>
        <w:t>below</w:t>
      </w:r>
      <w:r w:rsidR="00050C17" w:rsidRPr="00AC57EA">
        <w:rPr>
          <w:sz w:val="20"/>
          <w:szCs w:val="20"/>
          <w:lang w:val="en-US" w:eastAsia="en-US"/>
        </w:rPr>
        <w:t xml:space="preserve"> </w:t>
      </w:r>
      <w:r w:rsidRPr="00AC57EA">
        <w:rPr>
          <w:sz w:val="20"/>
          <w:szCs w:val="20"/>
          <w:lang w:val="en-US" w:eastAsia="en-US"/>
        </w:rPr>
        <w:t>i</w:t>
      </w:r>
      <w:r w:rsidR="00050C17" w:rsidRPr="00AC57EA">
        <w:rPr>
          <w:sz w:val="20"/>
          <w:szCs w:val="20"/>
          <w:lang w:val="en-US" w:eastAsia="en-US"/>
        </w:rPr>
        <w:t xml:space="preserve">n </w:t>
      </w:r>
      <w:r w:rsidRPr="00AC57EA">
        <w:rPr>
          <w:sz w:val="20"/>
          <w:szCs w:val="20"/>
          <w:lang w:val="en-US" w:eastAsia="en-US"/>
        </w:rPr>
        <w:t>the chapter on preliminary considerations.</w:t>
      </w:r>
    </w:p>
    <w:p w14:paraId="7E9C25F1" w14:textId="77777777" w:rsidR="006C37C9" w:rsidRPr="00AC57EA" w:rsidRDefault="006C37C9" w:rsidP="006C37C9">
      <w:pPr>
        <w:tabs>
          <w:tab w:val="left" w:pos="567"/>
        </w:tabs>
        <w:spacing w:line="240" w:lineRule="auto"/>
        <w:rPr>
          <w:rFonts w:eastAsia="Calibri" w:cs="Arial"/>
          <w:sz w:val="20"/>
          <w:szCs w:val="20"/>
          <w:lang w:val="en-US"/>
        </w:rPr>
      </w:pPr>
    </w:p>
    <w:p w14:paraId="47687F18" w14:textId="6022D178" w:rsidR="006C37C9" w:rsidRPr="00AC57EA" w:rsidRDefault="00EC52D7" w:rsidP="00C8070B">
      <w:pPr>
        <w:numPr>
          <w:ilvl w:val="0"/>
          <w:numId w:val="2"/>
        </w:numPr>
        <w:tabs>
          <w:tab w:val="left" w:pos="567"/>
          <w:tab w:val="num" w:pos="12305"/>
        </w:tabs>
        <w:spacing w:line="240" w:lineRule="auto"/>
        <w:ind w:left="0" w:firstLine="0"/>
        <w:rPr>
          <w:rFonts w:eastAsia="Calibri" w:cs="Arial"/>
          <w:sz w:val="20"/>
          <w:szCs w:val="20"/>
          <w:lang w:val="en-US"/>
        </w:rPr>
      </w:pPr>
      <w:r w:rsidRPr="00AC57EA">
        <w:rPr>
          <w:rFonts w:eastAsia="Verdana" w:cs="Verdana"/>
          <w:i/>
          <w:sz w:val="20"/>
          <w:szCs w:val="20"/>
          <w:lang w:val="en-US"/>
        </w:rPr>
        <w:t>Procedure before</w:t>
      </w:r>
      <w:r w:rsidR="006C37C9" w:rsidRPr="00AC57EA">
        <w:rPr>
          <w:rFonts w:eastAsia="Verdana" w:cs="Verdana"/>
          <w:i/>
          <w:sz w:val="20"/>
          <w:szCs w:val="20"/>
          <w:lang w:val="en-US"/>
        </w:rPr>
        <w:t xml:space="preserve"> </w:t>
      </w:r>
      <w:r w:rsidR="00B7258C" w:rsidRPr="00AC57EA">
        <w:rPr>
          <w:rFonts w:eastAsia="Verdana" w:cs="Verdana"/>
          <w:i/>
          <w:sz w:val="20"/>
          <w:szCs w:val="20"/>
          <w:lang w:val="en-US"/>
        </w:rPr>
        <w:t>the Commission</w:t>
      </w:r>
      <w:r w:rsidR="006C37C9" w:rsidRPr="00AC57EA">
        <w:rPr>
          <w:rFonts w:eastAsia="Verdana" w:cs="Verdana"/>
          <w:i/>
          <w:sz w:val="20"/>
          <w:szCs w:val="20"/>
          <w:lang w:val="en-US"/>
        </w:rPr>
        <w:t xml:space="preserve">. </w:t>
      </w:r>
      <w:r w:rsidRPr="00AC57EA">
        <w:rPr>
          <w:rFonts w:eastAsia="Verdana" w:cs="Verdana"/>
          <w:sz w:val="20"/>
          <w:szCs w:val="20"/>
          <w:lang w:val="en-US"/>
        </w:rPr>
        <w:t>The procedure before</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006C37C9" w:rsidRPr="00AC57EA">
        <w:rPr>
          <w:rFonts w:eastAsia="Verdana" w:cs="Verdana"/>
          <w:sz w:val="20"/>
          <w:szCs w:val="20"/>
          <w:lang w:val="en-US"/>
        </w:rPr>
        <w:t xml:space="preserve"> </w:t>
      </w:r>
      <w:r w:rsidRPr="00AC57EA">
        <w:rPr>
          <w:rFonts w:eastAsia="Verdana" w:cs="Verdana"/>
          <w:sz w:val="20"/>
          <w:szCs w:val="20"/>
          <w:lang w:val="en-US"/>
        </w:rPr>
        <w:t>was as follows</w:t>
      </w:r>
      <w:r w:rsidR="006C37C9" w:rsidRPr="00AC57EA">
        <w:rPr>
          <w:rFonts w:eastAsia="Verdana" w:cs="Verdana"/>
          <w:sz w:val="20"/>
          <w:szCs w:val="20"/>
          <w:lang w:val="en-US"/>
        </w:rPr>
        <w:t>:</w:t>
      </w:r>
    </w:p>
    <w:p w14:paraId="0EE08EF8" w14:textId="2EAC27E5" w:rsidR="006C37C9" w:rsidRPr="00AC57EA" w:rsidRDefault="006C37C9" w:rsidP="006C37C9">
      <w:pPr>
        <w:spacing w:line="240" w:lineRule="auto"/>
        <w:rPr>
          <w:rFonts w:eastAsia="Calibri"/>
          <w:sz w:val="20"/>
          <w:szCs w:val="20"/>
          <w:lang w:val="en-US"/>
        </w:rPr>
      </w:pPr>
    </w:p>
    <w:p w14:paraId="57D96C00" w14:textId="53E16AEB" w:rsidR="006C37C9" w:rsidRPr="00AC57EA" w:rsidRDefault="006C37C9" w:rsidP="00C8070B">
      <w:pPr>
        <w:numPr>
          <w:ilvl w:val="0"/>
          <w:numId w:val="3"/>
        </w:numPr>
        <w:adjustRightInd/>
        <w:spacing w:after="200" w:line="240" w:lineRule="auto"/>
        <w:ind w:right="144"/>
        <w:contextualSpacing/>
        <w:textAlignment w:val="auto"/>
        <w:rPr>
          <w:rFonts w:eastAsia="Verdana" w:cs="Verdana"/>
          <w:sz w:val="20"/>
          <w:szCs w:val="20"/>
          <w:lang w:val="en-US"/>
        </w:rPr>
      </w:pPr>
      <w:r w:rsidRPr="00AC57EA">
        <w:rPr>
          <w:rFonts w:eastAsia="Verdana" w:cs="Verdana"/>
          <w:i/>
          <w:sz w:val="20"/>
          <w:szCs w:val="20"/>
          <w:lang w:val="en-US"/>
        </w:rPr>
        <w:t>Peti</w:t>
      </w:r>
      <w:r w:rsidR="00EC52D7" w:rsidRPr="00AC57EA">
        <w:rPr>
          <w:rFonts w:eastAsia="Verdana" w:cs="Verdana"/>
          <w:i/>
          <w:sz w:val="20"/>
          <w:szCs w:val="20"/>
          <w:lang w:val="en-US"/>
        </w:rPr>
        <w:t>tio</w:t>
      </w:r>
      <w:r w:rsidRPr="00AC57EA">
        <w:rPr>
          <w:rFonts w:eastAsia="Verdana" w:cs="Verdana"/>
          <w:i/>
          <w:sz w:val="20"/>
          <w:szCs w:val="20"/>
          <w:lang w:val="en-US"/>
        </w:rPr>
        <w:t xml:space="preserve">n. </w:t>
      </w:r>
      <w:r w:rsidR="00EC52D7" w:rsidRPr="00AC57EA">
        <w:rPr>
          <w:rFonts w:eastAsia="Verdana" w:cs="Verdana"/>
          <w:sz w:val="20"/>
          <w:szCs w:val="20"/>
          <w:lang w:val="en-US"/>
        </w:rPr>
        <w:t>On October 28,</w:t>
      </w:r>
      <w:r w:rsidR="00F14674" w:rsidRPr="00AC57EA">
        <w:rPr>
          <w:rFonts w:eastAsia="Verdana" w:cs="Verdana"/>
          <w:sz w:val="20"/>
          <w:szCs w:val="20"/>
          <w:lang w:val="en-US"/>
        </w:rPr>
        <w:t xml:space="preserve"> 2002</w:t>
      </w:r>
      <w:r w:rsidR="00EC52D7" w:rsidRPr="00AC57EA">
        <w:rPr>
          <w:rFonts w:eastAsia="Verdana" w:cs="Verdana"/>
          <w:sz w:val="20"/>
          <w:szCs w:val="20"/>
          <w:lang w:val="en-US"/>
        </w:rPr>
        <w:t>,</w:t>
      </w:r>
      <w:r w:rsidRPr="00AC57EA">
        <w:rPr>
          <w:rFonts w:eastAsia="Verdana" w:cs="Verdana"/>
          <w:sz w:val="20"/>
          <w:szCs w:val="20"/>
          <w:lang w:val="en-US"/>
        </w:rPr>
        <w:t xml:space="preserve"> </w:t>
      </w:r>
      <w:r w:rsidR="00F14674" w:rsidRPr="00AC57EA">
        <w:rPr>
          <w:rFonts w:eastAsia="Verdana" w:cs="Verdana"/>
          <w:sz w:val="20"/>
          <w:szCs w:val="20"/>
          <w:lang w:val="en-US"/>
        </w:rPr>
        <w:t>V.P.C.</w:t>
      </w:r>
      <w:r w:rsidRPr="00AC57EA">
        <w:rPr>
          <w:rFonts w:eastAsia="Verdana" w:cs="Verdana"/>
          <w:sz w:val="20"/>
          <w:szCs w:val="20"/>
          <w:lang w:val="en-US"/>
        </w:rPr>
        <w:t xml:space="preserve"> (</w:t>
      </w:r>
      <w:r w:rsidR="00B7258C" w:rsidRPr="00AC57EA">
        <w:rPr>
          <w:rFonts w:eastAsia="Verdana" w:cs="Verdana"/>
          <w:sz w:val="20"/>
          <w:szCs w:val="20"/>
          <w:lang w:val="en-US"/>
        </w:rPr>
        <w:t>hereinafter</w:t>
      </w:r>
      <w:r w:rsidRPr="00AC57EA">
        <w:rPr>
          <w:rFonts w:eastAsia="Verdana" w:cs="Verdana"/>
          <w:sz w:val="20"/>
          <w:szCs w:val="20"/>
          <w:lang w:val="en-US"/>
        </w:rPr>
        <w:t xml:space="preserve"> “</w:t>
      </w:r>
      <w:r w:rsidR="00EC52D7" w:rsidRPr="00AC57EA">
        <w:rPr>
          <w:rFonts w:eastAsia="Verdana" w:cs="Verdana"/>
          <w:sz w:val="20"/>
          <w:szCs w:val="20"/>
          <w:lang w:val="en-US"/>
        </w:rPr>
        <w:t>the petitioner</w:t>
      </w:r>
      <w:r w:rsidRPr="00AC57EA">
        <w:rPr>
          <w:rFonts w:eastAsia="Verdana" w:cs="Verdana"/>
          <w:sz w:val="20"/>
          <w:szCs w:val="20"/>
          <w:lang w:val="en-US"/>
        </w:rPr>
        <w:t>”</w:t>
      </w:r>
      <w:r w:rsidR="00E51B99" w:rsidRPr="00AC57EA">
        <w:rPr>
          <w:rFonts w:eastAsia="Verdana" w:cs="Verdana"/>
          <w:sz w:val="20"/>
          <w:szCs w:val="20"/>
          <w:lang w:val="en-US"/>
        </w:rPr>
        <w:t xml:space="preserve"> o</w:t>
      </w:r>
      <w:r w:rsidR="00EC52D7" w:rsidRPr="00AC57EA">
        <w:rPr>
          <w:rFonts w:eastAsia="Verdana" w:cs="Verdana"/>
          <w:sz w:val="20"/>
          <w:szCs w:val="20"/>
          <w:lang w:val="en-US"/>
        </w:rPr>
        <w:t>r</w:t>
      </w:r>
      <w:r w:rsidR="00E51B99" w:rsidRPr="00AC57EA">
        <w:rPr>
          <w:rFonts w:eastAsia="Verdana" w:cs="Verdana"/>
          <w:sz w:val="20"/>
          <w:szCs w:val="20"/>
          <w:lang w:val="en-US"/>
        </w:rPr>
        <w:t xml:space="preserve"> “</w:t>
      </w:r>
      <w:r w:rsidR="00EC52D7" w:rsidRPr="00AC57EA">
        <w:rPr>
          <w:rFonts w:eastAsia="Verdana" w:cs="Verdana"/>
          <w:sz w:val="20"/>
          <w:szCs w:val="20"/>
          <w:lang w:val="en-US"/>
        </w:rPr>
        <w:t>presumed victim</w:t>
      </w:r>
      <w:r w:rsidR="00E51B99" w:rsidRPr="00AC57EA">
        <w:rPr>
          <w:rFonts w:eastAsia="Verdana" w:cs="Verdana"/>
          <w:sz w:val="20"/>
          <w:szCs w:val="20"/>
          <w:lang w:val="en-US"/>
        </w:rPr>
        <w:t>”</w:t>
      </w:r>
      <w:r w:rsidRPr="00AC57EA">
        <w:rPr>
          <w:rFonts w:eastAsia="Verdana" w:cs="Verdana"/>
          <w:sz w:val="20"/>
          <w:szCs w:val="20"/>
          <w:lang w:val="en-US"/>
        </w:rPr>
        <w:t xml:space="preserve">) </w:t>
      </w:r>
      <w:r w:rsidR="00EC52D7" w:rsidRPr="00AC57EA">
        <w:rPr>
          <w:rFonts w:eastAsia="Verdana" w:cs="Verdana"/>
          <w:sz w:val="20"/>
          <w:szCs w:val="20"/>
          <w:lang w:val="en-US"/>
        </w:rPr>
        <w:t xml:space="preserve">lodged the initial petition before </w:t>
      </w:r>
      <w:r w:rsidR="00B7258C" w:rsidRPr="00AC57EA">
        <w:rPr>
          <w:rFonts w:eastAsia="Verdana" w:cs="Verdana"/>
          <w:sz w:val="20"/>
          <w:szCs w:val="20"/>
          <w:lang w:val="en-US"/>
        </w:rPr>
        <w:t>the Commission</w:t>
      </w:r>
      <w:r w:rsidR="009647EB" w:rsidRPr="00AC57EA">
        <w:rPr>
          <w:rFonts w:eastAsia="Verdana" w:cs="Verdana"/>
          <w:sz w:val="20"/>
          <w:szCs w:val="20"/>
          <w:lang w:val="en-US"/>
        </w:rPr>
        <w:t>,</w:t>
      </w:r>
      <w:r w:rsidR="000F5ADD" w:rsidRPr="00AC57EA">
        <w:rPr>
          <w:rFonts w:eastAsia="Verdana" w:cs="Verdana"/>
          <w:sz w:val="20"/>
          <w:szCs w:val="20"/>
          <w:lang w:val="en-US"/>
        </w:rPr>
        <w:t xml:space="preserve"> </w:t>
      </w:r>
      <w:r w:rsidR="00EC52D7" w:rsidRPr="00AC57EA">
        <w:rPr>
          <w:rFonts w:eastAsia="Verdana" w:cs="Verdana"/>
          <w:sz w:val="20"/>
          <w:szCs w:val="20"/>
          <w:lang w:val="en-US"/>
        </w:rPr>
        <w:t xml:space="preserve">in which she alleged the international responsibility of </w:t>
      </w:r>
      <w:r w:rsidR="000F5ADD" w:rsidRPr="00AC57EA">
        <w:rPr>
          <w:rFonts w:eastAsia="Verdana" w:cs="Verdana"/>
          <w:sz w:val="20"/>
          <w:szCs w:val="20"/>
          <w:lang w:val="en-US"/>
        </w:rPr>
        <w:t xml:space="preserve">Nicaragua </w:t>
      </w:r>
      <w:r w:rsidR="00EC52D7" w:rsidRPr="00AC57EA">
        <w:rPr>
          <w:rFonts w:eastAsia="Verdana" w:cs="Verdana"/>
          <w:sz w:val="20"/>
          <w:szCs w:val="20"/>
          <w:lang w:val="en-US"/>
        </w:rPr>
        <w:t xml:space="preserve">for the supposed irregularities and situation of impunity in the criminal proceedings opened based on the crime of rape committed against the </w:t>
      </w:r>
      <w:r w:rsidR="003C0AC1" w:rsidRPr="00AC57EA">
        <w:rPr>
          <w:rFonts w:eastAsia="Verdana" w:cs="Verdana"/>
          <w:sz w:val="20"/>
          <w:szCs w:val="20"/>
          <w:lang w:val="en-US"/>
        </w:rPr>
        <w:t>female child</w:t>
      </w:r>
      <w:r w:rsidR="00EC52D7" w:rsidRPr="00AC57EA">
        <w:rPr>
          <w:rFonts w:eastAsia="Verdana" w:cs="Verdana"/>
          <w:sz w:val="20"/>
          <w:szCs w:val="20"/>
          <w:lang w:val="en-US"/>
        </w:rPr>
        <w:t xml:space="preserve"> </w:t>
      </w:r>
      <w:r w:rsidR="000F5ADD" w:rsidRPr="00AC57EA">
        <w:rPr>
          <w:rFonts w:eastAsia="Verdana" w:cs="Verdana"/>
          <w:sz w:val="20"/>
          <w:szCs w:val="20"/>
          <w:lang w:val="en-US"/>
        </w:rPr>
        <w:t>V.R.P</w:t>
      </w:r>
      <w:r w:rsidRPr="00AC57EA">
        <w:rPr>
          <w:rFonts w:eastAsia="Verdana" w:cs="Verdana"/>
          <w:sz w:val="20"/>
          <w:szCs w:val="20"/>
          <w:lang w:val="en-US"/>
        </w:rPr>
        <w:t>.</w:t>
      </w:r>
      <w:r w:rsidR="000F5ADD" w:rsidRPr="00AC57EA">
        <w:rPr>
          <w:rFonts w:eastAsia="Verdana" w:cs="Verdana"/>
          <w:sz w:val="20"/>
          <w:szCs w:val="20"/>
          <w:lang w:val="en-US"/>
        </w:rPr>
        <w:t xml:space="preserve"> (</w:t>
      </w:r>
      <w:r w:rsidR="00B7258C" w:rsidRPr="00AC57EA">
        <w:rPr>
          <w:rFonts w:eastAsia="Verdana" w:cs="Verdana"/>
          <w:sz w:val="20"/>
          <w:szCs w:val="20"/>
          <w:lang w:val="en-US"/>
        </w:rPr>
        <w:t>hereinafter</w:t>
      </w:r>
      <w:r w:rsidR="000F5ADD" w:rsidRPr="00AC57EA">
        <w:rPr>
          <w:rFonts w:eastAsia="Verdana" w:cs="Verdana"/>
          <w:sz w:val="20"/>
          <w:szCs w:val="20"/>
          <w:lang w:val="en-US"/>
        </w:rPr>
        <w:t xml:space="preserve"> “</w:t>
      </w:r>
      <w:r w:rsidR="00EC52D7" w:rsidRPr="00AC57EA">
        <w:rPr>
          <w:rFonts w:eastAsia="Verdana" w:cs="Verdana"/>
          <w:sz w:val="20"/>
          <w:szCs w:val="20"/>
          <w:lang w:val="en-US"/>
        </w:rPr>
        <w:t>the presumed victim</w:t>
      </w:r>
      <w:r w:rsidR="000F5ADD" w:rsidRPr="00AC57EA">
        <w:rPr>
          <w:rFonts w:eastAsia="Verdana" w:cs="Verdana"/>
          <w:sz w:val="20"/>
          <w:szCs w:val="20"/>
          <w:lang w:val="en-US"/>
        </w:rPr>
        <w:t>”)</w:t>
      </w:r>
      <w:r w:rsidR="00DF5313" w:rsidRPr="00AC57EA">
        <w:rPr>
          <w:rFonts w:eastAsia="Verdana" w:cs="Verdana"/>
          <w:sz w:val="20"/>
          <w:szCs w:val="20"/>
          <w:lang w:val="en-US"/>
        </w:rPr>
        <w:t>.</w:t>
      </w:r>
    </w:p>
    <w:p w14:paraId="4B1126C6" w14:textId="77777777" w:rsidR="006C37C9" w:rsidRPr="00AC57EA" w:rsidRDefault="006C37C9" w:rsidP="006C37C9">
      <w:pPr>
        <w:spacing w:line="240" w:lineRule="auto"/>
        <w:ind w:left="818" w:right="144"/>
        <w:contextualSpacing/>
        <w:rPr>
          <w:rFonts w:eastAsia="Verdana" w:cs="Verdana"/>
          <w:sz w:val="20"/>
          <w:szCs w:val="20"/>
          <w:lang w:val="en-US"/>
        </w:rPr>
      </w:pPr>
    </w:p>
    <w:p w14:paraId="6C094D8C" w14:textId="7C5DE935" w:rsidR="006C37C9" w:rsidRPr="00AC57EA" w:rsidRDefault="00EC52D7" w:rsidP="00C8070B">
      <w:pPr>
        <w:numPr>
          <w:ilvl w:val="0"/>
          <w:numId w:val="3"/>
        </w:numPr>
        <w:adjustRightInd/>
        <w:spacing w:after="200" w:line="240" w:lineRule="auto"/>
        <w:ind w:right="144"/>
        <w:contextualSpacing/>
        <w:textAlignment w:val="auto"/>
        <w:rPr>
          <w:rFonts w:eastAsia="Verdana" w:cs="Verdana"/>
          <w:sz w:val="20"/>
          <w:szCs w:val="20"/>
          <w:lang w:val="en-US"/>
        </w:rPr>
      </w:pPr>
      <w:r w:rsidRPr="00AC57EA">
        <w:rPr>
          <w:rFonts w:eastAsia="Verdana" w:cs="Verdana"/>
          <w:i/>
          <w:sz w:val="20"/>
          <w:szCs w:val="20"/>
          <w:lang w:val="en-US"/>
        </w:rPr>
        <w:t>Admissibility Report</w:t>
      </w:r>
      <w:r w:rsidR="006C37C9" w:rsidRPr="00AC57EA">
        <w:rPr>
          <w:rFonts w:eastAsia="Verdana" w:cs="Verdana"/>
          <w:i/>
          <w:sz w:val="20"/>
          <w:szCs w:val="20"/>
          <w:lang w:val="en-US"/>
        </w:rPr>
        <w:t>.</w:t>
      </w:r>
      <w:r w:rsidRPr="00AC57EA">
        <w:rPr>
          <w:rFonts w:eastAsia="Verdana" w:cs="Verdana"/>
          <w:i/>
          <w:sz w:val="20"/>
          <w:szCs w:val="20"/>
          <w:lang w:val="en-US"/>
        </w:rPr>
        <w:t xml:space="preserve"> </w:t>
      </w:r>
      <w:r w:rsidRPr="00AC57EA">
        <w:rPr>
          <w:rFonts w:eastAsia="Verdana" w:cs="Verdana"/>
          <w:sz w:val="20"/>
          <w:szCs w:val="20"/>
          <w:lang w:val="en-US"/>
        </w:rPr>
        <w:t>On February 11,</w:t>
      </w:r>
      <w:r w:rsidR="000F5ADD" w:rsidRPr="00AC57EA">
        <w:rPr>
          <w:rFonts w:eastAsia="Verdana" w:cs="Verdana"/>
          <w:sz w:val="20"/>
          <w:szCs w:val="20"/>
          <w:lang w:val="en-US"/>
        </w:rPr>
        <w:t xml:space="preserve"> 2009</w:t>
      </w:r>
      <w:r w:rsidRPr="00AC57EA">
        <w:rPr>
          <w:rFonts w:eastAsia="Verdana" w:cs="Verdana"/>
          <w:sz w:val="20"/>
          <w:szCs w:val="20"/>
          <w:lang w:val="en-US"/>
        </w:rPr>
        <w:t>,</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006C37C9" w:rsidRPr="00AC57EA">
        <w:rPr>
          <w:rFonts w:eastAsia="Verdana" w:cs="Verdana"/>
          <w:sz w:val="20"/>
          <w:szCs w:val="20"/>
          <w:lang w:val="en-US"/>
        </w:rPr>
        <w:t xml:space="preserve"> </w:t>
      </w:r>
      <w:r w:rsidRPr="00AC57EA">
        <w:rPr>
          <w:rFonts w:eastAsia="Verdana" w:cs="Verdana"/>
          <w:sz w:val="20"/>
          <w:szCs w:val="20"/>
          <w:lang w:val="en-US"/>
        </w:rPr>
        <w:t>adopted</w:t>
      </w:r>
      <w:r w:rsidR="006C37C9" w:rsidRPr="00AC57EA">
        <w:rPr>
          <w:rFonts w:eastAsia="Verdana" w:cs="Verdana"/>
          <w:sz w:val="20"/>
          <w:szCs w:val="20"/>
          <w:lang w:val="en-US"/>
        </w:rPr>
        <w:t xml:space="preserve"> </w:t>
      </w:r>
      <w:r w:rsidRPr="00AC57EA">
        <w:rPr>
          <w:rFonts w:eastAsia="Verdana" w:cs="Verdana"/>
          <w:sz w:val="20"/>
          <w:szCs w:val="20"/>
          <w:lang w:val="en-US"/>
        </w:rPr>
        <w:t>Admissibility Report</w:t>
      </w:r>
      <w:r w:rsidR="006C37C9" w:rsidRPr="00AC57EA">
        <w:rPr>
          <w:rFonts w:eastAsia="Verdana" w:cs="Verdana"/>
          <w:position w:val="-1"/>
          <w:sz w:val="20"/>
          <w:szCs w:val="20"/>
          <w:lang w:val="en-US"/>
        </w:rPr>
        <w:t xml:space="preserve"> No. </w:t>
      </w:r>
      <w:r w:rsidR="000F5ADD" w:rsidRPr="00AC57EA">
        <w:rPr>
          <w:rFonts w:eastAsia="Verdana" w:cs="Verdana"/>
          <w:position w:val="-1"/>
          <w:sz w:val="20"/>
          <w:szCs w:val="20"/>
          <w:lang w:val="en-US"/>
        </w:rPr>
        <w:t>3/09</w:t>
      </w:r>
      <w:r w:rsidR="006C37C9" w:rsidRPr="00AC57EA">
        <w:rPr>
          <w:rFonts w:eastAsia="Verdana" w:cs="Verdana"/>
          <w:position w:val="-1"/>
          <w:sz w:val="20"/>
          <w:szCs w:val="20"/>
          <w:lang w:val="en-US"/>
        </w:rPr>
        <w:t xml:space="preserve"> </w:t>
      </w:r>
      <w:r w:rsidRPr="00AC57EA">
        <w:rPr>
          <w:rFonts w:eastAsia="Verdana" w:cs="Verdana"/>
          <w:position w:val="-1"/>
          <w:sz w:val="20"/>
          <w:szCs w:val="20"/>
          <w:lang w:val="en-US"/>
        </w:rPr>
        <w:t xml:space="preserve">in which it concluded that petition </w:t>
      </w:r>
      <w:r w:rsidR="003A6303" w:rsidRPr="00AC57EA">
        <w:rPr>
          <w:rFonts w:cs="Verdana"/>
          <w:sz w:val="20"/>
          <w:szCs w:val="20"/>
          <w:lang w:val="en-US"/>
        </w:rPr>
        <w:t>4408-02</w:t>
      </w:r>
      <w:r w:rsidR="006C37C9" w:rsidRPr="00AC57EA">
        <w:rPr>
          <w:rFonts w:cs="Verdana"/>
          <w:sz w:val="20"/>
          <w:szCs w:val="20"/>
          <w:lang w:val="en-US"/>
        </w:rPr>
        <w:t xml:space="preserve"> </w:t>
      </w:r>
      <w:r w:rsidRPr="00AC57EA">
        <w:rPr>
          <w:rFonts w:cs="Verdana"/>
          <w:sz w:val="20"/>
          <w:szCs w:val="20"/>
          <w:lang w:val="en-US"/>
        </w:rPr>
        <w:t>was admissible.</w:t>
      </w:r>
      <w:r w:rsidR="006C37C9" w:rsidRPr="00AC57EA">
        <w:rPr>
          <w:rStyle w:val="Refdenotaalpie"/>
          <w:rFonts w:eastAsia="Verdana" w:cs="Verdana"/>
          <w:position w:val="-1"/>
          <w:sz w:val="20"/>
          <w:szCs w:val="20"/>
          <w:lang w:val="en-US"/>
        </w:rPr>
        <w:footnoteReference w:id="3"/>
      </w:r>
    </w:p>
    <w:p w14:paraId="3BF0E8F9" w14:textId="77777777" w:rsidR="006C37C9" w:rsidRPr="00AC57EA" w:rsidRDefault="006C37C9" w:rsidP="006C37C9">
      <w:pPr>
        <w:spacing w:line="240" w:lineRule="auto"/>
        <w:ind w:left="818" w:right="144"/>
        <w:contextualSpacing/>
        <w:rPr>
          <w:rFonts w:eastAsia="Verdana" w:cs="Verdana"/>
          <w:sz w:val="20"/>
          <w:szCs w:val="20"/>
          <w:lang w:val="en-US"/>
        </w:rPr>
      </w:pPr>
    </w:p>
    <w:p w14:paraId="24266EB4" w14:textId="321F41F9" w:rsidR="006C37C9" w:rsidRPr="00AC57EA" w:rsidRDefault="00EC52D7" w:rsidP="00C8070B">
      <w:pPr>
        <w:numPr>
          <w:ilvl w:val="0"/>
          <w:numId w:val="3"/>
        </w:numPr>
        <w:adjustRightInd/>
        <w:spacing w:after="200" w:line="240" w:lineRule="auto"/>
        <w:ind w:right="144"/>
        <w:contextualSpacing/>
        <w:textAlignment w:val="auto"/>
        <w:rPr>
          <w:rFonts w:eastAsia="Verdana" w:cs="Verdana"/>
          <w:sz w:val="20"/>
          <w:szCs w:val="20"/>
          <w:lang w:val="en-US"/>
        </w:rPr>
      </w:pPr>
      <w:r w:rsidRPr="00AC57EA">
        <w:rPr>
          <w:rFonts w:eastAsia="Verdana" w:cs="Verdana"/>
          <w:i/>
          <w:sz w:val="20"/>
          <w:szCs w:val="20"/>
          <w:lang w:val="en-US"/>
        </w:rPr>
        <w:t>Merits Report</w:t>
      </w:r>
      <w:r w:rsidR="006C37C9" w:rsidRPr="00AC57EA">
        <w:rPr>
          <w:rFonts w:eastAsia="Verdana" w:cs="Verdana"/>
          <w:i/>
          <w:sz w:val="20"/>
          <w:szCs w:val="20"/>
          <w:lang w:val="en-US"/>
        </w:rPr>
        <w:t xml:space="preserve">. </w:t>
      </w:r>
      <w:r w:rsidRPr="00AC57EA">
        <w:rPr>
          <w:rFonts w:eastAsia="Verdana" w:cs="Verdana"/>
          <w:sz w:val="20"/>
          <w:szCs w:val="20"/>
          <w:lang w:val="en-US"/>
        </w:rPr>
        <w:t>On April 13,</w:t>
      </w:r>
      <w:r w:rsidR="003A6303" w:rsidRPr="00AC57EA">
        <w:rPr>
          <w:rFonts w:eastAsia="Verdana" w:cs="Verdana"/>
          <w:sz w:val="20"/>
          <w:szCs w:val="20"/>
          <w:lang w:val="en-US"/>
        </w:rPr>
        <w:t xml:space="preserve"> 2016</w:t>
      </w:r>
      <w:r w:rsidRPr="00AC57EA">
        <w:rPr>
          <w:rFonts w:eastAsia="Verdana" w:cs="Verdana"/>
          <w:sz w:val="20"/>
          <w:szCs w:val="20"/>
          <w:lang w:val="en-US"/>
        </w:rPr>
        <w:t>,</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006C37C9" w:rsidRPr="00AC57EA">
        <w:rPr>
          <w:rFonts w:eastAsia="Verdana" w:cs="Verdana"/>
          <w:sz w:val="20"/>
          <w:szCs w:val="20"/>
          <w:lang w:val="en-US"/>
        </w:rPr>
        <w:t xml:space="preserve"> </w:t>
      </w:r>
      <w:r w:rsidRPr="00AC57EA">
        <w:rPr>
          <w:rFonts w:eastAsia="Verdana" w:cs="Verdana"/>
          <w:sz w:val="20"/>
          <w:szCs w:val="20"/>
          <w:lang w:val="en-US"/>
        </w:rPr>
        <w:t>adopted</w:t>
      </w:r>
      <w:r w:rsidR="006C37C9" w:rsidRPr="00AC57EA">
        <w:rPr>
          <w:rFonts w:eastAsia="Verdana" w:cs="Verdana"/>
          <w:sz w:val="20"/>
          <w:szCs w:val="20"/>
          <w:lang w:val="en-US"/>
        </w:rPr>
        <w:t xml:space="preserve"> </w:t>
      </w:r>
      <w:r w:rsidRPr="00AC57EA">
        <w:rPr>
          <w:rFonts w:eastAsia="Verdana" w:cs="Verdana"/>
          <w:sz w:val="20"/>
          <w:szCs w:val="20"/>
          <w:lang w:val="en-US"/>
        </w:rPr>
        <w:t>Merits Report</w:t>
      </w:r>
      <w:r w:rsidR="006C37C9" w:rsidRPr="00AC57EA">
        <w:rPr>
          <w:rFonts w:eastAsia="Verdana" w:cs="Verdana"/>
          <w:sz w:val="20"/>
          <w:szCs w:val="20"/>
          <w:lang w:val="en-US"/>
        </w:rPr>
        <w:t xml:space="preserve"> No. </w:t>
      </w:r>
      <w:r w:rsidR="003A6303" w:rsidRPr="00AC57EA">
        <w:rPr>
          <w:rFonts w:eastAsia="Verdana" w:cs="Verdana"/>
          <w:sz w:val="20"/>
          <w:szCs w:val="20"/>
          <w:lang w:val="en-US"/>
        </w:rPr>
        <w:t>4/16</w:t>
      </w:r>
      <w:r w:rsidR="006C37C9" w:rsidRPr="00AC57EA">
        <w:rPr>
          <w:rFonts w:eastAsia="Verdana" w:cs="Verdana"/>
          <w:sz w:val="20"/>
          <w:szCs w:val="20"/>
          <w:lang w:val="en-US"/>
        </w:rPr>
        <w:t xml:space="preserve">, </w:t>
      </w:r>
      <w:r w:rsidRPr="00AC57EA">
        <w:rPr>
          <w:rFonts w:eastAsia="Verdana" w:cs="Verdana"/>
          <w:sz w:val="20"/>
          <w:szCs w:val="20"/>
          <w:lang w:val="en-US"/>
        </w:rPr>
        <w:t xml:space="preserve">pursuant to </w:t>
      </w:r>
      <w:r w:rsidR="00B7258C" w:rsidRPr="00AC57EA">
        <w:rPr>
          <w:rFonts w:eastAsia="Verdana" w:cs="Verdana"/>
          <w:sz w:val="20"/>
          <w:szCs w:val="20"/>
          <w:lang w:val="en-US"/>
        </w:rPr>
        <w:t>Article</w:t>
      </w:r>
      <w:r w:rsidR="006C37C9" w:rsidRPr="00AC57EA">
        <w:rPr>
          <w:rFonts w:eastAsia="Verdana" w:cs="Verdana"/>
          <w:sz w:val="20"/>
          <w:szCs w:val="20"/>
          <w:lang w:val="en-US"/>
        </w:rPr>
        <w:t xml:space="preserve"> 50</w:t>
      </w:r>
      <w:r w:rsidR="00B7258C" w:rsidRPr="00AC57EA">
        <w:rPr>
          <w:rFonts w:eastAsia="Verdana" w:cs="Verdana"/>
          <w:sz w:val="20"/>
          <w:szCs w:val="20"/>
          <w:lang w:val="en-US"/>
        </w:rPr>
        <w:t xml:space="preserve"> of the Convention</w:t>
      </w:r>
      <w:r w:rsidR="006C37C9" w:rsidRPr="00AC57EA">
        <w:rPr>
          <w:rFonts w:eastAsia="Verdana" w:cs="Verdana"/>
          <w:sz w:val="20"/>
          <w:szCs w:val="20"/>
          <w:lang w:val="en-US"/>
        </w:rPr>
        <w:t xml:space="preserve"> (</w:t>
      </w:r>
      <w:r w:rsidR="00B7258C" w:rsidRPr="00AC57EA">
        <w:rPr>
          <w:rFonts w:eastAsia="Verdana" w:cs="Verdana"/>
          <w:sz w:val="20"/>
          <w:szCs w:val="20"/>
          <w:lang w:val="en-US"/>
        </w:rPr>
        <w:t>hereinafter</w:t>
      </w:r>
      <w:r w:rsidR="006C37C9" w:rsidRPr="00AC57EA">
        <w:rPr>
          <w:rFonts w:eastAsia="Verdana" w:cs="Verdana"/>
          <w:sz w:val="20"/>
          <w:szCs w:val="20"/>
          <w:lang w:val="en-US"/>
        </w:rPr>
        <w:t xml:space="preserve"> “</w:t>
      </w:r>
      <w:r w:rsidRPr="00AC57EA">
        <w:rPr>
          <w:rFonts w:eastAsia="Verdana" w:cs="Verdana"/>
          <w:sz w:val="20"/>
          <w:szCs w:val="20"/>
          <w:lang w:val="en-US"/>
        </w:rPr>
        <w:t>the</w:t>
      </w:r>
      <w:r w:rsidR="006C37C9" w:rsidRPr="00AC57EA">
        <w:rPr>
          <w:rFonts w:eastAsia="Verdana" w:cs="Verdana"/>
          <w:sz w:val="20"/>
          <w:szCs w:val="20"/>
          <w:lang w:val="en-US"/>
        </w:rPr>
        <w:t xml:space="preserve"> </w:t>
      </w:r>
      <w:r w:rsidRPr="00AC57EA">
        <w:rPr>
          <w:rFonts w:eastAsia="Verdana" w:cs="Verdana"/>
          <w:sz w:val="20"/>
          <w:szCs w:val="20"/>
          <w:lang w:val="en-US"/>
        </w:rPr>
        <w:t>Merits Report</w:t>
      </w:r>
      <w:r w:rsidR="006C37C9" w:rsidRPr="00AC57EA">
        <w:rPr>
          <w:rFonts w:eastAsia="Verdana" w:cs="Verdana"/>
          <w:sz w:val="20"/>
          <w:szCs w:val="20"/>
          <w:lang w:val="en-US"/>
        </w:rPr>
        <w:t>” o</w:t>
      </w:r>
      <w:r w:rsidRPr="00AC57EA">
        <w:rPr>
          <w:rFonts w:eastAsia="Verdana" w:cs="Verdana"/>
          <w:sz w:val="20"/>
          <w:szCs w:val="20"/>
          <w:lang w:val="en-US"/>
        </w:rPr>
        <w:t>r</w:t>
      </w:r>
      <w:r w:rsidR="006C37C9" w:rsidRPr="00AC57EA">
        <w:rPr>
          <w:rFonts w:eastAsia="Verdana" w:cs="Verdana"/>
          <w:sz w:val="20"/>
          <w:szCs w:val="20"/>
          <w:lang w:val="en-US"/>
        </w:rPr>
        <w:t xml:space="preserve"> “</w:t>
      </w:r>
      <w:r w:rsidRPr="00AC57EA">
        <w:rPr>
          <w:rFonts w:eastAsia="Verdana" w:cs="Verdana"/>
          <w:sz w:val="20"/>
          <w:szCs w:val="20"/>
          <w:lang w:val="en-US"/>
        </w:rPr>
        <w:t>Report</w:t>
      </w:r>
      <w:r w:rsidR="006C37C9" w:rsidRPr="00AC57EA">
        <w:rPr>
          <w:rFonts w:eastAsia="Verdana" w:cs="Verdana"/>
          <w:sz w:val="20"/>
          <w:szCs w:val="20"/>
          <w:lang w:val="en-US"/>
        </w:rPr>
        <w:t xml:space="preserve"> No. </w:t>
      </w:r>
      <w:r w:rsidR="003A6303" w:rsidRPr="00AC57EA">
        <w:rPr>
          <w:rFonts w:eastAsia="Verdana" w:cs="Verdana"/>
          <w:sz w:val="20"/>
          <w:szCs w:val="20"/>
          <w:lang w:val="en-US"/>
        </w:rPr>
        <w:t>4/16</w:t>
      </w:r>
      <w:r w:rsidR="006C37C9" w:rsidRPr="00AC57EA">
        <w:rPr>
          <w:rFonts w:eastAsia="Verdana" w:cs="Verdana"/>
          <w:sz w:val="20"/>
          <w:szCs w:val="20"/>
          <w:lang w:val="en-US"/>
        </w:rPr>
        <w:t xml:space="preserve">”), </w:t>
      </w:r>
      <w:r w:rsidRPr="00AC57EA">
        <w:rPr>
          <w:rFonts w:eastAsia="Verdana" w:cs="Verdana"/>
          <w:sz w:val="20"/>
          <w:szCs w:val="20"/>
          <w:lang w:val="en-US"/>
        </w:rPr>
        <w:t>in which it reached a series of conclusions</w:t>
      </w:r>
      <w:r w:rsidR="006C37C9" w:rsidRPr="00AC57EA">
        <w:rPr>
          <w:rFonts w:eastAsia="Verdana" w:cs="Verdana"/>
          <w:sz w:val="20"/>
          <w:szCs w:val="20"/>
          <w:lang w:val="en-US"/>
        </w:rPr>
        <w:t xml:space="preserve"> </w:t>
      </w:r>
      <w:r w:rsidRPr="00AC57EA">
        <w:rPr>
          <w:rFonts w:eastAsia="Verdana" w:cs="Verdana"/>
          <w:sz w:val="20"/>
          <w:szCs w:val="20"/>
          <w:lang w:val="en-US"/>
        </w:rPr>
        <w:t xml:space="preserve">and made several recommendations to the State. </w:t>
      </w:r>
    </w:p>
    <w:p w14:paraId="7171A57C" w14:textId="0F20E132" w:rsidR="006C37C9" w:rsidRPr="00AC57EA" w:rsidRDefault="00EC52D7" w:rsidP="00C8070B">
      <w:pPr>
        <w:pStyle w:val="Prrafodelista"/>
        <w:numPr>
          <w:ilvl w:val="0"/>
          <w:numId w:val="4"/>
        </w:numPr>
        <w:adjustRightInd/>
        <w:spacing w:line="240" w:lineRule="auto"/>
        <w:ind w:right="148"/>
        <w:contextualSpacing/>
        <w:textAlignment w:val="auto"/>
        <w:rPr>
          <w:rFonts w:eastAsia="Verdana" w:cs="Verdana"/>
          <w:sz w:val="20"/>
          <w:szCs w:val="20"/>
          <w:lang w:val="en-US"/>
        </w:rPr>
      </w:pPr>
      <w:r w:rsidRPr="00AC57EA">
        <w:rPr>
          <w:rFonts w:eastAsia="Verdana" w:cs="Verdana"/>
          <w:i/>
          <w:sz w:val="20"/>
          <w:szCs w:val="20"/>
          <w:lang w:val="en-US"/>
        </w:rPr>
        <w:t>Conclusions</w:t>
      </w:r>
      <w:r w:rsidR="006C37C9" w:rsidRPr="00AC57EA">
        <w:rPr>
          <w:rFonts w:eastAsia="Verdana" w:cs="Verdana"/>
          <w:i/>
          <w:sz w:val="20"/>
          <w:szCs w:val="20"/>
          <w:lang w:val="en-US"/>
        </w:rPr>
        <w:t xml:space="preserve">. </w:t>
      </w:r>
      <w:r w:rsidR="00B7258C" w:rsidRPr="00AC57EA">
        <w:rPr>
          <w:rFonts w:eastAsia="Verdana" w:cs="Verdana"/>
          <w:sz w:val="20"/>
          <w:szCs w:val="20"/>
          <w:lang w:val="en-US"/>
        </w:rPr>
        <w:t>The Commission</w:t>
      </w:r>
      <w:r w:rsidR="006C37C9" w:rsidRPr="00AC57EA">
        <w:rPr>
          <w:rFonts w:eastAsia="Verdana" w:cs="Verdana"/>
          <w:sz w:val="20"/>
          <w:szCs w:val="20"/>
          <w:lang w:val="en-US"/>
        </w:rPr>
        <w:t xml:space="preserve"> </w:t>
      </w:r>
      <w:r w:rsidR="00171E27" w:rsidRPr="00AC57EA">
        <w:rPr>
          <w:rFonts w:eastAsia="Verdana" w:cs="Verdana"/>
          <w:sz w:val="20"/>
          <w:szCs w:val="20"/>
          <w:lang w:val="en-US"/>
        </w:rPr>
        <w:t>concluded that</w:t>
      </w:r>
      <w:r w:rsidR="006C37C9" w:rsidRPr="00AC57EA">
        <w:rPr>
          <w:rFonts w:eastAsia="Verdana" w:cs="Verdana"/>
          <w:sz w:val="20"/>
          <w:szCs w:val="20"/>
          <w:lang w:val="en-US"/>
        </w:rPr>
        <w:t xml:space="preserve"> </w:t>
      </w:r>
      <w:r w:rsidRPr="00AC57EA">
        <w:rPr>
          <w:rFonts w:eastAsia="Verdana" w:cs="Verdana"/>
          <w:sz w:val="20"/>
          <w:szCs w:val="20"/>
          <w:lang w:val="en-US"/>
        </w:rPr>
        <w:t>the State</w:t>
      </w:r>
      <w:r w:rsidR="006C37C9" w:rsidRPr="00AC57EA">
        <w:rPr>
          <w:rFonts w:eastAsia="Verdana" w:cs="Verdana"/>
          <w:sz w:val="20"/>
          <w:szCs w:val="20"/>
          <w:lang w:val="en-US"/>
        </w:rPr>
        <w:t xml:space="preserve"> </w:t>
      </w:r>
      <w:r w:rsidR="00171E27" w:rsidRPr="00AC57EA">
        <w:rPr>
          <w:rFonts w:eastAsia="Verdana" w:cs="Verdana"/>
          <w:sz w:val="20"/>
          <w:szCs w:val="20"/>
          <w:lang w:val="en-US"/>
        </w:rPr>
        <w:t>was responsible for</w:t>
      </w:r>
      <w:r w:rsidR="006C37C9" w:rsidRPr="00AC57EA">
        <w:rPr>
          <w:rFonts w:eastAsia="Verdana" w:cs="Verdana"/>
          <w:sz w:val="20"/>
          <w:szCs w:val="20"/>
          <w:lang w:val="en-US"/>
        </w:rPr>
        <w:t xml:space="preserve"> “</w:t>
      </w:r>
      <w:r w:rsidR="00CC07C2" w:rsidRPr="00AC57EA">
        <w:rPr>
          <w:rFonts w:eastAsia="Verdana" w:cs="Verdana"/>
          <w:sz w:val="20"/>
          <w:szCs w:val="20"/>
          <w:lang w:val="en-US"/>
        </w:rPr>
        <w:t>violating</w:t>
      </w:r>
      <w:r w:rsidR="00171E27" w:rsidRPr="00AC57EA">
        <w:rPr>
          <w:rFonts w:eastAsia="Verdana" w:cs="Verdana"/>
          <w:sz w:val="20"/>
          <w:szCs w:val="20"/>
          <w:lang w:val="en-US"/>
        </w:rPr>
        <w:t xml:space="preserve"> the rights established in </w:t>
      </w:r>
      <w:r w:rsidR="00B7258C" w:rsidRPr="00AC57EA">
        <w:rPr>
          <w:sz w:val="20"/>
          <w:szCs w:val="20"/>
          <w:lang w:val="en-US"/>
        </w:rPr>
        <w:t>Articles</w:t>
      </w:r>
      <w:r w:rsidR="003A6303" w:rsidRPr="00AC57EA">
        <w:rPr>
          <w:sz w:val="20"/>
          <w:szCs w:val="20"/>
          <w:lang w:val="en-US"/>
        </w:rPr>
        <w:t xml:space="preserve"> 5, 8</w:t>
      </w:r>
      <w:r w:rsidR="006C37C9" w:rsidRPr="00AC57EA">
        <w:rPr>
          <w:sz w:val="20"/>
          <w:szCs w:val="20"/>
          <w:lang w:val="en-US"/>
        </w:rPr>
        <w:t xml:space="preserve">, 11, </w:t>
      </w:r>
      <w:r w:rsidR="003A6303" w:rsidRPr="00AC57EA">
        <w:rPr>
          <w:sz w:val="20"/>
          <w:szCs w:val="20"/>
          <w:lang w:val="en-US"/>
        </w:rPr>
        <w:t>19</w:t>
      </w:r>
      <w:r w:rsidR="006C37C9" w:rsidRPr="00AC57EA">
        <w:rPr>
          <w:sz w:val="20"/>
          <w:szCs w:val="20"/>
          <w:lang w:val="en-US"/>
        </w:rPr>
        <w:t xml:space="preserve">, </w:t>
      </w:r>
      <w:r w:rsidR="003A6303" w:rsidRPr="00AC57EA">
        <w:rPr>
          <w:sz w:val="20"/>
          <w:szCs w:val="20"/>
          <w:lang w:val="en-US"/>
        </w:rPr>
        <w:t xml:space="preserve">24 </w:t>
      </w:r>
      <w:r w:rsidR="00171E27" w:rsidRPr="00AC57EA">
        <w:rPr>
          <w:sz w:val="20"/>
          <w:szCs w:val="20"/>
          <w:lang w:val="en-US"/>
        </w:rPr>
        <w:t>and</w:t>
      </w:r>
      <w:r w:rsidR="003A6303" w:rsidRPr="00AC57EA">
        <w:rPr>
          <w:sz w:val="20"/>
          <w:szCs w:val="20"/>
          <w:lang w:val="en-US"/>
        </w:rPr>
        <w:t xml:space="preserve"> 25</w:t>
      </w:r>
      <w:r w:rsidR="00B7258C" w:rsidRPr="00AC57EA">
        <w:rPr>
          <w:sz w:val="20"/>
          <w:szCs w:val="20"/>
          <w:lang w:val="en-US"/>
        </w:rPr>
        <w:t xml:space="preserve"> of the American Convention</w:t>
      </w:r>
      <w:r w:rsidR="006C37C9" w:rsidRPr="00AC57EA">
        <w:rPr>
          <w:sz w:val="20"/>
          <w:szCs w:val="20"/>
          <w:lang w:val="en-US"/>
        </w:rPr>
        <w:t xml:space="preserve">, </w:t>
      </w:r>
      <w:r w:rsidR="00171E27" w:rsidRPr="00AC57EA">
        <w:rPr>
          <w:sz w:val="20"/>
          <w:szCs w:val="20"/>
          <w:lang w:val="en-US"/>
        </w:rPr>
        <w:t>in relation to</w:t>
      </w:r>
      <w:r w:rsidR="006C37C9" w:rsidRPr="00AC57EA">
        <w:rPr>
          <w:sz w:val="20"/>
          <w:szCs w:val="20"/>
          <w:lang w:val="en-US"/>
        </w:rPr>
        <w:t xml:space="preserve"> </w:t>
      </w:r>
      <w:r w:rsidR="00171E27" w:rsidRPr="00AC57EA">
        <w:rPr>
          <w:sz w:val="20"/>
          <w:szCs w:val="20"/>
          <w:lang w:val="en-US"/>
        </w:rPr>
        <w:t>Article 1(1)</w:t>
      </w:r>
      <w:r w:rsidR="006C37C9" w:rsidRPr="00AC57EA">
        <w:rPr>
          <w:sz w:val="20"/>
          <w:szCs w:val="20"/>
          <w:lang w:val="en-US"/>
        </w:rPr>
        <w:t xml:space="preserve"> </w:t>
      </w:r>
      <w:r w:rsidR="00171E27" w:rsidRPr="00AC57EA">
        <w:rPr>
          <w:sz w:val="20"/>
          <w:szCs w:val="20"/>
          <w:lang w:val="en-US"/>
        </w:rPr>
        <w:t>of this instrument,</w:t>
      </w:r>
      <w:r w:rsidR="003A6303" w:rsidRPr="00AC57EA">
        <w:rPr>
          <w:sz w:val="20"/>
          <w:szCs w:val="20"/>
          <w:lang w:val="en-US"/>
        </w:rPr>
        <w:t xml:space="preserve"> </w:t>
      </w:r>
      <w:r w:rsidR="00171E27" w:rsidRPr="00AC57EA">
        <w:rPr>
          <w:sz w:val="20"/>
          <w:szCs w:val="20"/>
          <w:lang w:val="en-US"/>
        </w:rPr>
        <w:t>and</w:t>
      </w:r>
      <w:r w:rsidR="003A6303" w:rsidRPr="00AC57EA">
        <w:rPr>
          <w:sz w:val="20"/>
          <w:szCs w:val="20"/>
          <w:lang w:val="en-US"/>
        </w:rPr>
        <w:t xml:space="preserve"> </w:t>
      </w:r>
      <w:r w:rsidR="00CC07C2" w:rsidRPr="00AC57EA">
        <w:rPr>
          <w:sz w:val="20"/>
          <w:szCs w:val="20"/>
          <w:lang w:val="en-US"/>
        </w:rPr>
        <w:t>in</w:t>
      </w:r>
      <w:r w:rsidR="00171E27" w:rsidRPr="00AC57EA">
        <w:rPr>
          <w:sz w:val="20"/>
          <w:szCs w:val="20"/>
          <w:lang w:val="en-US"/>
        </w:rPr>
        <w:t xml:space="preserve"> Article</w:t>
      </w:r>
      <w:r w:rsidR="003A6303" w:rsidRPr="00AC57EA">
        <w:rPr>
          <w:sz w:val="20"/>
          <w:szCs w:val="20"/>
          <w:lang w:val="en-US"/>
        </w:rPr>
        <w:t xml:space="preserve"> 7</w:t>
      </w:r>
      <w:r w:rsidR="00171E27" w:rsidRPr="00AC57EA">
        <w:rPr>
          <w:sz w:val="20"/>
          <w:szCs w:val="20"/>
          <w:lang w:val="en-US"/>
        </w:rPr>
        <w:t>(</w:t>
      </w:r>
      <w:r w:rsidR="003A6303" w:rsidRPr="00AC57EA">
        <w:rPr>
          <w:sz w:val="20"/>
          <w:szCs w:val="20"/>
          <w:lang w:val="en-US"/>
        </w:rPr>
        <w:t xml:space="preserve">b) </w:t>
      </w:r>
      <w:r w:rsidR="00171E27" w:rsidRPr="00AC57EA">
        <w:rPr>
          <w:sz w:val="20"/>
          <w:szCs w:val="20"/>
          <w:lang w:val="en-US"/>
        </w:rPr>
        <w:t>of the</w:t>
      </w:r>
      <w:r w:rsidR="00C9501F" w:rsidRPr="00AC57EA">
        <w:rPr>
          <w:sz w:val="20"/>
          <w:szCs w:val="20"/>
          <w:lang w:val="en-US"/>
        </w:rPr>
        <w:t xml:space="preserve"> [</w:t>
      </w:r>
      <w:r w:rsidR="00171E27" w:rsidRPr="00AC57EA">
        <w:rPr>
          <w:rFonts w:cstheme="minorBidi"/>
          <w:sz w:val="20"/>
          <w:szCs w:val="20"/>
          <w:lang w:val="en-US" w:eastAsia="en-US"/>
        </w:rPr>
        <w:t>Inter-American Convention for the Prevention, Punishment and Eradication of Violence against Women</w:t>
      </w:r>
      <w:r w:rsidR="00C9501F" w:rsidRPr="00AC57EA">
        <w:rPr>
          <w:rFonts w:cstheme="minorBidi"/>
          <w:sz w:val="20"/>
          <w:szCs w:val="20"/>
          <w:lang w:val="en-US" w:eastAsia="en-US"/>
        </w:rPr>
        <w:t xml:space="preserve"> o</w:t>
      </w:r>
      <w:r w:rsidR="00171E27" w:rsidRPr="00AC57EA">
        <w:rPr>
          <w:rFonts w:cstheme="minorBidi"/>
          <w:sz w:val="20"/>
          <w:szCs w:val="20"/>
          <w:lang w:val="en-US" w:eastAsia="en-US"/>
        </w:rPr>
        <w:t>r</w:t>
      </w:r>
      <w:r w:rsidR="00C9501F" w:rsidRPr="00AC57EA">
        <w:rPr>
          <w:sz w:val="20"/>
          <w:szCs w:val="20"/>
          <w:lang w:val="en-US"/>
        </w:rPr>
        <w:t>]</w:t>
      </w:r>
      <w:r w:rsidR="003A6303" w:rsidRPr="00AC57EA">
        <w:rPr>
          <w:sz w:val="20"/>
          <w:szCs w:val="20"/>
          <w:lang w:val="en-US"/>
        </w:rPr>
        <w:t xml:space="preserve"> </w:t>
      </w:r>
      <w:r w:rsidR="00171E27" w:rsidRPr="00AC57EA">
        <w:rPr>
          <w:sz w:val="20"/>
          <w:szCs w:val="20"/>
          <w:lang w:val="en-US"/>
        </w:rPr>
        <w:t>Convention of Belém</w:t>
      </w:r>
      <w:r w:rsidR="003A6303" w:rsidRPr="00AC57EA">
        <w:rPr>
          <w:sz w:val="20"/>
          <w:szCs w:val="20"/>
          <w:lang w:val="en-US"/>
        </w:rPr>
        <w:t xml:space="preserve"> do Pará</w:t>
      </w:r>
      <w:r w:rsidR="006C37C9" w:rsidRPr="00AC57EA">
        <w:rPr>
          <w:sz w:val="20"/>
          <w:szCs w:val="20"/>
          <w:lang w:val="en-US"/>
        </w:rPr>
        <w:t xml:space="preserve">, </w:t>
      </w:r>
      <w:r w:rsidR="00171E27" w:rsidRPr="00AC57EA">
        <w:rPr>
          <w:sz w:val="20"/>
          <w:szCs w:val="20"/>
          <w:lang w:val="en-US"/>
        </w:rPr>
        <w:t>to the detriment of the persons indicated in th</w:t>
      </w:r>
      <w:r w:rsidR="00CC07C2" w:rsidRPr="00AC57EA">
        <w:rPr>
          <w:sz w:val="20"/>
          <w:szCs w:val="20"/>
          <w:lang w:val="en-US"/>
        </w:rPr>
        <w:t>[e]</w:t>
      </w:r>
      <w:r w:rsidR="00171E27" w:rsidRPr="00AC57EA">
        <w:rPr>
          <w:sz w:val="20"/>
          <w:szCs w:val="20"/>
          <w:lang w:val="en-US"/>
        </w:rPr>
        <w:t xml:space="preserve"> report.”</w:t>
      </w:r>
    </w:p>
    <w:p w14:paraId="2FE68BCC" w14:textId="77777777" w:rsidR="006C37C9" w:rsidRPr="00AC57EA" w:rsidRDefault="006C37C9" w:rsidP="006C37C9">
      <w:pPr>
        <w:pStyle w:val="Prrafodelista"/>
        <w:spacing w:line="240" w:lineRule="auto"/>
        <w:ind w:left="1900" w:right="148"/>
        <w:rPr>
          <w:rFonts w:eastAsia="Verdana" w:cs="Verdana"/>
          <w:sz w:val="20"/>
          <w:szCs w:val="20"/>
          <w:lang w:val="en-US"/>
        </w:rPr>
      </w:pPr>
    </w:p>
    <w:p w14:paraId="3A8DCD6D" w14:textId="0D8BBD5A" w:rsidR="006C37C9" w:rsidRPr="00AC57EA" w:rsidRDefault="006C37C9" w:rsidP="00C8070B">
      <w:pPr>
        <w:pStyle w:val="Prrafodelista"/>
        <w:numPr>
          <w:ilvl w:val="0"/>
          <w:numId w:val="4"/>
        </w:numPr>
        <w:adjustRightInd/>
        <w:spacing w:line="240" w:lineRule="auto"/>
        <w:ind w:right="148"/>
        <w:contextualSpacing/>
        <w:textAlignment w:val="auto"/>
        <w:rPr>
          <w:rFonts w:eastAsia="Verdana" w:cs="Verdana"/>
          <w:sz w:val="20"/>
          <w:szCs w:val="20"/>
          <w:lang w:val="en-US"/>
        </w:rPr>
      </w:pPr>
      <w:r w:rsidRPr="00AC57EA">
        <w:rPr>
          <w:rFonts w:eastAsia="Verdana" w:cs="Verdana"/>
          <w:i/>
          <w:sz w:val="20"/>
          <w:szCs w:val="20"/>
          <w:lang w:val="en-US"/>
        </w:rPr>
        <w:t>Recom</w:t>
      </w:r>
      <w:r w:rsidR="00171E27" w:rsidRPr="00AC57EA">
        <w:rPr>
          <w:rFonts w:eastAsia="Verdana" w:cs="Verdana"/>
          <w:i/>
          <w:sz w:val="20"/>
          <w:szCs w:val="20"/>
          <w:lang w:val="en-US"/>
        </w:rPr>
        <w:t>mendations</w:t>
      </w:r>
      <w:r w:rsidRPr="00AC57EA">
        <w:rPr>
          <w:rFonts w:eastAsia="Verdana" w:cs="Verdana"/>
          <w:i/>
          <w:sz w:val="20"/>
          <w:szCs w:val="20"/>
          <w:lang w:val="en-US"/>
        </w:rPr>
        <w:t xml:space="preserve">. </w:t>
      </w:r>
      <w:r w:rsidR="00171E27" w:rsidRPr="00AC57EA">
        <w:rPr>
          <w:rFonts w:eastAsia="Verdana" w:cs="Verdana"/>
          <w:sz w:val="20"/>
          <w:szCs w:val="20"/>
          <w:lang w:val="en-US"/>
        </w:rPr>
        <w:t>Consequently</w:t>
      </w:r>
      <w:r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Pr="00AC57EA">
        <w:rPr>
          <w:rFonts w:eastAsia="Verdana" w:cs="Verdana"/>
          <w:sz w:val="20"/>
          <w:szCs w:val="20"/>
          <w:lang w:val="en-US"/>
        </w:rPr>
        <w:t xml:space="preserve"> </w:t>
      </w:r>
      <w:r w:rsidR="00171E27" w:rsidRPr="00AC57EA">
        <w:rPr>
          <w:rFonts w:eastAsia="Verdana" w:cs="Verdana"/>
          <w:sz w:val="20"/>
          <w:szCs w:val="20"/>
          <w:lang w:val="en-US"/>
        </w:rPr>
        <w:t xml:space="preserve">made a series of recommendations to the State: </w:t>
      </w:r>
    </w:p>
    <w:p w14:paraId="6D0EB0E7" w14:textId="77777777" w:rsidR="006C37C9" w:rsidRPr="00AC57EA" w:rsidRDefault="006C37C9" w:rsidP="006C37C9">
      <w:pPr>
        <w:pStyle w:val="Prrafodelista"/>
        <w:spacing w:line="240" w:lineRule="auto"/>
        <w:ind w:left="1900" w:right="148"/>
        <w:rPr>
          <w:rFonts w:eastAsia="Verdana" w:cs="Verdana"/>
          <w:sz w:val="20"/>
          <w:szCs w:val="20"/>
          <w:lang w:val="en-US"/>
        </w:rPr>
      </w:pPr>
    </w:p>
    <w:p w14:paraId="5701CA48" w14:textId="0D8D8B98" w:rsidR="004E618A" w:rsidRPr="00AC57EA" w:rsidRDefault="0000161F" w:rsidP="002A7222">
      <w:pPr>
        <w:widowControl/>
        <w:numPr>
          <w:ilvl w:val="0"/>
          <w:numId w:val="5"/>
        </w:numPr>
        <w:adjustRightInd/>
        <w:spacing w:after="120" w:line="240" w:lineRule="auto"/>
        <w:ind w:right="360"/>
        <w:textAlignment w:val="auto"/>
        <w:rPr>
          <w:sz w:val="16"/>
          <w:szCs w:val="16"/>
          <w:lang w:val="en-US"/>
        </w:rPr>
      </w:pPr>
      <w:r w:rsidRPr="00AC57EA">
        <w:rPr>
          <w:sz w:val="16"/>
          <w:szCs w:val="16"/>
          <w:lang w:val="en-US"/>
        </w:rPr>
        <w:lastRenderedPageBreak/>
        <w:t>C</w:t>
      </w:r>
      <w:r w:rsidR="004E618A" w:rsidRPr="00AC57EA">
        <w:rPr>
          <w:sz w:val="16"/>
          <w:szCs w:val="16"/>
          <w:lang w:val="en-US"/>
        </w:rPr>
        <w:t>arry out the corresponding investigations and criminal processes, with due diligence and within a reasonable time, in order to identify, prosecute and, in this case, punish the person responsible for the rape of V.R.</w:t>
      </w:r>
      <w:r w:rsidR="00D20333" w:rsidRPr="00AC57EA">
        <w:rPr>
          <w:sz w:val="16"/>
          <w:szCs w:val="16"/>
          <w:lang w:val="en-US"/>
        </w:rPr>
        <w:t>P.</w:t>
      </w:r>
      <w:r w:rsidR="006C37C9" w:rsidRPr="00AC57EA">
        <w:rPr>
          <w:sz w:val="16"/>
          <w:szCs w:val="16"/>
          <w:lang w:val="en-US"/>
        </w:rPr>
        <w:t>[;]</w:t>
      </w:r>
    </w:p>
    <w:p w14:paraId="2CBE1055" w14:textId="5BA06B3A" w:rsidR="004E618A" w:rsidRPr="00AC57EA" w:rsidRDefault="0000161F" w:rsidP="002A7222">
      <w:pPr>
        <w:pStyle w:val="Prrafodelista"/>
        <w:widowControl/>
        <w:numPr>
          <w:ilvl w:val="0"/>
          <w:numId w:val="5"/>
        </w:numPr>
        <w:autoSpaceDE w:val="0"/>
        <w:autoSpaceDN w:val="0"/>
        <w:spacing w:after="120" w:line="240" w:lineRule="auto"/>
        <w:ind w:right="360"/>
        <w:textAlignment w:val="auto"/>
        <w:rPr>
          <w:sz w:val="16"/>
          <w:szCs w:val="16"/>
          <w:lang w:val="en-US"/>
        </w:rPr>
      </w:pPr>
      <w:r w:rsidRPr="00AC57EA">
        <w:rPr>
          <w:rFonts w:cs="Times-Roman"/>
          <w:sz w:val="16"/>
          <w:szCs w:val="16"/>
          <w:lang w:val="en-US" w:bidi="en-US"/>
        </w:rPr>
        <w:t>P</w:t>
      </w:r>
      <w:r w:rsidR="004E618A" w:rsidRPr="00AC57EA">
        <w:rPr>
          <w:rFonts w:cs="Times-Roman"/>
          <w:sz w:val="16"/>
          <w:szCs w:val="16"/>
          <w:lang w:val="en-US" w:bidi="en-US"/>
        </w:rPr>
        <w:t>rovide full compensation, both pecuniary and non-pecuniary, for the human rights violations declared in th[e] report</w:t>
      </w:r>
      <w:r w:rsidR="00DF2B30" w:rsidRPr="00AC57EA">
        <w:rPr>
          <w:rFonts w:cs="Times-Roman"/>
          <w:sz w:val="16"/>
          <w:szCs w:val="16"/>
          <w:lang w:val="en-US" w:bidi="en-US"/>
        </w:rPr>
        <w:t>[;]</w:t>
      </w:r>
    </w:p>
    <w:p w14:paraId="74104C91" w14:textId="2EAFC9DF" w:rsidR="006C37C9" w:rsidRPr="00AC57EA" w:rsidRDefault="0000161F" w:rsidP="002A7222">
      <w:pPr>
        <w:pStyle w:val="Prrafodelista"/>
        <w:widowControl/>
        <w:numPr>
          <w:ilvl w:val="0"/>
          <w:numId w:val="5"/>
        </w:numPr>
        <w:autoSpaceDE w:val="0"/>
        <w:autoSpaceDN w:val="0"/>
        <w:spacing w:after="120" w:line="240" w:lineRule="auto"/>
        <w:ind w:right="360"/>
        <w:textAlignment w:val="auto"/>
        <w:rPr>
          <w:sz w:val="16"/>
          <w:szCs w:val="16"/>
          <w:lang w:val="en-US"/>
        </w:rPr>
      </w:pPr>
      <w:r w:rsidRPr="00AC57EA">
        <w:rPr>
          <w:sz w:val="16"/>
          <w:szCs w:val="16"/>
          <w:lang w:val="en-US"/>
        </w:rPr>
        <w:t>P</w:t>
      </w:r>
      <w:r w:rsidR="004E618A" w:rsidRPr="00AC57EA">
        <w:rPr>
          <w:rFonts w:cs="Times-Roman"/>
          <w:sz w:val="16"/>
          <w:szCs w:val="16"/>
          <w:lang w:val="en-US" w:bidi="en-US"/>
        </w:rPr>
        <w:t>rovide free and immediate medical and psychological or psychiatric care, as appropriate, to the [presumed] victims in this case upon request. Taking into account that the [presumed] victims reside outside the country, this recommendation can be fulfilled by providing an amount of money that would reasonably cover the cost of the health care required by the [presumed] victims</w:t>
      </w:r>
      <w:r w:rsidR="006C37C9" w:rsidRPr="00AC57EA">
        <w:rPr>
          <w:sz w:val="16"/>
          <w:szCs w:val="16"/>
          <w:lang w:val="en-US"/>
        </w:rPr>
        <w:t>[;]</w:t>
      </w:r>
    </w:p>
    <w:p w14:paraId="30565CB9" w14:textId="1BF8CF89" w:rsidR="006C37C9" w:rsidRPr="00AC57EA" w:rsidRDefault="0000161F" w:rsidP="002A7222">
      <w:pPr>
        <w:pStyle w:val="Prrafodelista"/>
        <w:widowControl/>
        <w:numPr>
          <w:ilvl w:val="0"/>
          <w:numId w:val="5"/>
        </w:numPr>
        <w:autoSpaceDE w:val="0"/>
        <w:autoSpaceDN w:val="0"/>
        <w:spacing w:after="120" w:line="240" w:lineRule="auto"/>
        <w:ind w:right="360"/>
        <w:textAlignment w:val="auto"/>
        <w:rPr>
          <w:sz w:val="16"/>
          <w:szCs w:val="16"/>
          <w:lang w:val="en-US"/>
        </w:rPr>
      </w:pPr>
      <w:r w:rsidRPr="00AC57EA">
        <w:rPr>
          <w:sz w:val="16"/>
          <w:szCs w:val="16"/>
          <w:lang w:val="en-US"/>
        </w:rPr>
        <w:t>O</w:t>
      </w:r>
      <w:r w:rsidR="004E618A" w:rsidRPr="00AC57EA">
        <w:rPr>
          <w:rFonts w:cs="Times-Roman"/>
          <w:sz w:val="16"/>
          <w:szCs w:val="16"/>
          <w:lang w:val="en-US" w:bidi="en-US"/>
        </w:rPr>
        <w:t>rder the corresponding administrative, disciplinary or criminal measures to address the acts or omissions of State officials that contributed to the denial of justice and impunity of this case</w:t>
      </w:r>
      <w:r w:rsidR="006C37C9" w:rsidRPr="00AC57EA">
        <w:rPr>
          <w:sz w:val="16"/>
          <w:szCs w:val="16"/>
          <w:lang w:val="en-US"/>
        </w:rPr>
        <w:t>[;]</w:t>
      </w:r>
    </w:p>
    <w:p w14:paraId="7C2FFD65" w14:textId="2108D833" w:rsidR="006C37C9" w:rsidRPr="00AC57EA" w:rsidRDefault="004E618A" w:rsidP="002A7222">
      <w:pPr>
        <w:pStyle w:val="Prrafodelista"/>
        <w:widowControl/>
        <w:numPr>
          <w:ilvl w:val="0"/>
          <w:numId w:val="5"/>
        </w:numPr>
        <w:autoSpaceDE w:val="0"/>
        <w:autoSpaceDN w:val="0"/>
        <w:spacing w:after="120" w:line="240" w:lineRule="auto"/>
        <w:ind w:right="360"/>
        <w:textAlignment w:val="auto"/>
        <w:rPr>
          <w:sz w:val="16"/>
          <w:szCs w:val="16"/>
          <w:lang w:val="en-US"/>
        </w:rPr>
      </w:pPr>
      <w:r w:rsidRPr="00AC57EA">
        <w:rPr>
          <w:sz w:val="16"/>
          <w:szCs w:val="16"/>
          <w:lang w:val="en-US"/>
        </w:rPr>
        <w:t>Develop investigation protocols so that cases of rape and other forms of sexual violence against women and girls are duly investigated and prosecuted pursuant to the standards established in th[e] report</w:t>
      </w:r>
      <w:r w:rsidR="006C37C9" w:rsidRPr="00AC57EA">
        <w:rPr>
          <w:sz w:val="16"/>
          <w:szCs w:val="16"/>
          <w:lang w:val="en-US"/>
        </w:rPr>
        <w:t>[</w:t>
      </w:r>
      <w:r w:rsidR="00A470D3" w:rsidRPr="00AC57EA">
        <w:rPr>
          <w:sz w:val="16"/>
          <w:szCs w:val="16"/>
          <w:lang w:val="en-US"/>
        </w:rPr>
        <w:t>;</w:t>
      </w:r>
      <w:r w:rsidR="006C37C9" w:rsidRPr="00AC57EA">
        <w:rPr>
          <w:sz w:val="16"/>
          <w:szCs w:val="16"/>
          <w:lang w:val="en-US"/>
        </w:rPr>
        <w:t>]</w:t>
      </w:r>
    </w:p>
    <w:p w14:paraId="581903E0" w14:textId="6257912C" w:rsidR="006C37C9" w:rsidRPr="00AC57EA" w:rsidRDefault="0000161F" w:rsidP="002A7222">
      <w:pPr>
        <w:pStyle w:val="Prrafodelista"/>
        <w:widowControl/>
        <w:numPr>
          <w:ilvl w:val="0"/>
          <w:numId w:val="5"/>
        </w:numPr>
        <w:autoSpaceDE w:val="0"/>
        <w:autoSpaceDN w:val="0"/>
        <w:spacing w:after="120" w:line="240" w:lineRule="auto"/>
        <w:ind w:right="360"/>
        <w:textAlignment w:val="auto"/>
        <w:rPr>
          <w:sz w:val="16"/>
          <w:szCs w:val="16"/>
          <w:lang w:val="en-US"/>
        </w:rPr>
      </w:pPr>
      <w:r w:rsidRPr="00AC57EA">
        <w:rPr>
          <w:sz w:val="16"/>
          <w:szCs w:val="16"/>
          <w:lang w:val="en-US"/>
        </w:rPr>
        <w:t>S</w:t>
      </w:r>
      <w:r w:rsidR="004E618A" w:rsidRPr="00AC57EA">
        <w:rPr>
          <w:sz w:val="16"/>
          <w:szCs w:val="16"/>
          <w:lang w:val="en-US"/>
        </w:rPr>
        <w:t>trengthen institutional capacity to combat impunity in cases of rape and other forms of sexual violence against women and girls by means of effective criminal investigations with a gender-based perspective, thus ensuring the appropriate punishment and compensation</w:t>
      </w:r>
      <w:r w:rsidR="00A470D3" w:rsidRPr="00AC57EA">
        <w:rPr>
          <w:sz w:val="16"/>
          <w:szCs w:val="16"/>
          <w:lang w:val="en-US"/>
        </w:rPr>
        <w:t>[;]</w:t>
      </w:r>
    </w:p>
    <w:p w14:paraId="52B68FB3" w14:textId="145096AE" w:rsidR="00A470D3" w:rsidRPr="00AC57EA" w:rsidRDefault="0000161F" w:rsidP="002A7222">
      <w:pPr>
        <w:pStyle w:val="Prrafodelista"/>
        <w:widowControl/>
        <w:numPr>
          <w:ilvl w:val="0"/>
          <w:numId w:val="5"/>
        </w:numPr>
        <w:autoSpaceDE w:val="0"/>
        <w:autoSpaceDN w:val="0"/>
        <w:spacing w:after="120" w:line="240" w:lineRule="auto"/>
        <w:ind w:right="360"/>
        <w:textAlignment w:val="auto"/>
        <w:rPr>
          <w:sz w:val="16"/>
          <w:szCs w:val="16"/>
          <w:lang w:val="en-US"/>
        </w:rPr>
      </w:pPr>
      <w:r w:rsidRPr="00AC57EA">
        <w:rPr>
          <w:sz w:val="16"/>
          <w:szCs w:val="16"/>
          <w:lang w:val="en-US"/>
        </w:rPr>
        <w:t>D</w:t>
      </w:r>
      <w:r w:rsidR="004E618A" w:rsidRPr="00AC57EA">
        <w:rPr>
          <w:sz w:val="16"/>
          <w:szCs w:val="16"/>
          <w:lang w:val="en-US"/>
        </w:rPr>
        <w:t xml:space="preserve">esign and implement permanent training programs for public officials </w:t>
      </w:r>
      <w:r w:rsidR="00DF2B30" w:rsidRPr="00AC57EA">
        <w:rPr>
          <w:sz w:val="16"/>
          <w:szCs w:val="16"/>
          <w:lang w:val="en-US"/>
        </w:rPr>
        <w:t>who are members of</w:t>
      </w:r>
      <w:r w:rsidR="004E618A" w:rsidRPr="00AC57EA">
        <w:rPr>
          <w:sz w:val="16"/>
          <w:szCs w:val="16"/>
          <w:lang w:val="en-US"/>
        </w:rPr>
        <w:t xml:space="preserve"> the Judiciary, the Public Prosecution Service, and the National Police, on international standards for the investigation of rape and other forms of sexual violence against women, including girls. </w:t>
      </w:r>
      <w:r w:rsidR="00DF2B30" w:rsidRPr="00AC57EA">
        <w:rPr>
          <w:sz w:val="16"/>
          <w:szCs w:val="16"/>
          <w:lang w:val="en-US"/>
        </w:rPr>
        <w:t>It is also</w:t>
      </w:r>
      <w:r w:rsidR="004E618A" w:rsidRPr="00AC57EA">
        <w:rPr>
          <w:sz w:val="16"/>
          <w:szCs w:val="16"/>
          <w:lang w:val="en-US"/>
        </w:rPr>
        <w:t xml:space="preserve"> necessary to provide training for </w:t>
      </w:r>
      <w:r w:rsidR="00DF2B30" w:rsidRPr="00AC57EA">
        <w:rPr>
          <w:sz w:val="16"/>
          <w:szCs w:val="16"/>
          <w:lang w:val="en-US"/>
        </w:rPr>
        <w:t xml:space="preserve">the </w:t>
      </w:r>
      <w:r w:rsidR="004E618A" w:rsidRPr="00AC57EA">
        <w:rPr>
          <w:sz w:val="16"/>
          <w:szCs w:val="16"/>
          <w:lang w:val="en-US"/>
        </w:rPr>
        <w:t xml:space="preserve">health care personnel, both medical and psychological, who are involved in such investigations, on international standards for the </w:t>
      </w:r>
      <w:r w:rsidRPr="00AC57EA">
        <w:rPr>
          <w:sz w:val="16"/>
          <w:szCs w:val="16"/>
          <w:lang w:val="en-US"/>
        </w:rPr>
        <w:t>treatment</w:t>
      </w:r>
      <w:r w:rsidR="004E618A" w:rsidRPr="00AC57EA">
        <w:rPr>
          <w:sz w:val="16"/>
          <w:szCs w:val="16"/>
          <w:lang w:val="en-US"/>
        </w:rPr>
        <w:t xml:space="preserve"> of child victims of sexual violence, [and</w:t>
      </w:r>
      <w:r w:rsidR="00A470D3" w:rsidRPr="00AC57EA">
        <w:rPr>
          <w:sz w:val="16"/>
          <w:szCs w:val="16"/>
          <w:lang w:val="en-US"/>
        </w:rPr>
        <w:t>]</w:t>
      </w:r>
    </w:p>
    <w:p w14:paraId="40B3B260" w14:textId="5893520F" w:rsidR="00A470D3" w:rsidRPr="00AC57EA" w:rsidRDefault="004E618A" w:rsidP="002A7222">
      <w:pPr>
        <w:pStyle w:val="Prrafodelista"/>
        <w:widowControl/>
        <w:numPr>
          <w:ilvl w:val="0"/>
          <w:numId w:val="5"/>
        </w:numPr>
        <w:autoSpaceDE w:val="0"/>
        <w:autoSpaceDN w:val="0"/>
        <w:spacing w:after="120" w:line="240" w:lineRule="auto"/>
        <w:ind w:right="360"/>
        <w:textAlignment w:val="auto"/>
        <w:rPr>
          <w:sz w:val="16"/>
          <w:szCs w:val="16"/>
          <w:lang w:val="en-US"/>
        </w:rPr>
      </w:pPr>
      <w:r w:rsidRPr="00AC57EA">
        <w:rPr>
          <w:sz w:val="16"/>
          <w:szCs w:val="16"/>
          <w:lang w:val="en-US"/>
        </w:rPr>
        <w:t>Adopt public policies and integrated institutional programs aimed at combatting violence against women and girls as a form of discrimination, and at promoting the elimination of discriminatory sociocultural patterns that prevent their full access to justice</w:t>
      </w:r>
      <w:r w:rsidR="00A470D3" w:rsidRPr="00AC57EA">
        <w:rPr>
          <w:sz w:val="16"/>
          <w:szCs w:val="16"/>
          <w:lang w:val="en-US"/>
        </w:rPr>
        <w:t>.</w:t>
      </w:r>
    </w:p>
    <w:p w14:paraId="48CED960" w14:textId="048E1E6C" w:rsidR="006C37C9" w:rsidRPr="00AC57EA" w:rsidRDefault="006C37C9" w:rsidP="00C8070B">
      <w:pPr>
        <w:pStyle w:val="Prrafodelista"/>
        <w:numPr>
          <w:ilvl w:val="0"/>
          <w:numId w:val="4"/>
        </w:numPr>
        <w:adjustRightInd/>
        <w:spacing w:after="200" w:line="240" w:lineRule="auto"/>
        <w:ind w:right="148"/>
        <w:contextualSpacing/>
        <w:textAlignment w:val="auto"/>
        <w:rPr>
          <w:rFonts w:eastAsia="Verdana" w:cs="Verdana"/>
          <w:sz w:val="20"/>
          <w:szCs w:val="20"/>
          <w:lang w:val="en-US"/>
        </w:rPr>
      </w:pPr>
      <w:r w:rsidRPr="00AC57EA">
        <w:rPr>
          <w:rFonts w:eastAsia="Verdana" w:cs="Verdana"/>
          <w:i/>
          <w:sz w:val="20"/>
          <w:szCs w:val="20"/>
          <w:lang w:val="en-US"/>
        </w:rPr>
        <w:t>Notifica</w:t>
      </w:r>
      <w:r w:rsidR="00171E27" w:rsidRPr="00AC57EA">
        <w:rPr>
          <w:rFonts w:eastAsia="Verdana" w:cs="Verdana"/>
          <w:i/>
          <w:sz w:val="20"/>
          <w:szCs w:val="20"/>
          <w:lang w:val="en-US"/>
        </w:rPr>
        <w:t>tion to the State</w:t>
      </w:r>
      <w:r w:rsidRPr="00AC57EA">
        <w:rPr>
          <w:rFonts w:eastAsia="Verdana" w:cs="Verdana"/>
          <w:i/>
          <w:sz w:val="20"/>
          <w:szCs w:val="20"/>
          <w:lang w:val="en-US"/>
        </w:rPr>
        <w:t xml:space="preserve">. </w:t>
      </w:r>
      <w:r w:rsidR="00171E27" w:rsidRPr="00AC57EA">
        <w:rPr>
          <w:rFonts w:eastAsia="Verdana" w:cs="Verdana"/>
          <w:sz w:val="20"/>
          <w:szCs w:val="20"/>
          <w:lang w:val="en-US"/>
        </w:rPr>
        <w:t>Report</w:t>
      </w:r>
      <w:r w:rsidR="00D566C9" w:rsidRPr="00AC57EA">
        <w:rPr>
          <w:rFonts w:eastAsia="Verdana" w:cs="Verdana"/>
          <w:sz w:val="20"/>
          <w:szCs w:val="20"/>
          <w:lang w:val="en-US"/>
        </w:rPr>
        <w:t xml:space="preserve"> No. 4/16</w:t>
      </w:r>
      <w:r w:rsidRPr="00AC57EA">
        <w:rPr>
          <w:rFonts w:eastAsia="Verdana" w:cs="Verdana"/>
          <w:sz w:val="20"/>
          <w:szCs w:val="20"/>
          <w:lang w:val="en-US"/>
        </w:rPr>
        <w:t xml:space="preserve"> </w:t>
      </w:r>
      <w:r w:rsidR="00171E27" w:rsidRPr="00AC57EA">
        <w:rPr>
          <w:rFonts w:eastAsia="Verdana" w:cs="Verdana"/>
          <w:sz w:val="20"/>
          <w:szCs w:val="20"/>
          <w:lang w:val="en-US"/>
        </w:rPr>
        <w:t xml:space="preserve">was notified to the State in a communication of May 25, 2016, granting it two months to </w:t>
      </w:r>
      <w:r w:rsidR="002A7222" w:rsidRPr="00AC57EA">
        <w:rPr>
          <w:rFonts w:eastAsia="Verdana" w:cs="Verdana"/>
          <w:sz w:val="20"/>
          <w:szCs w:val="20"/>
          <w:lang w:val="en-US"/>
        </w:rPr>
        <w:t>provide information</w:t>
      </w:r>
      <w:r w:rsidR="00171E27" w:rsidRPr="00AC57EA">
        <w:rPr>
          <w:rFonts w:eastAsia="Verdana" w:cs="Verdana"/>
          <w:sz w:val="20"/>
          <w:szCs w:val="20"/>
          <w:lang w:val="en-US"/>
        </w:rPr>
        <w:t xml:space="preserve"> on compliance with the recommendations.</w:t>
      </w:r>
    </w:p>
    <w:p w14:paraId="4276232C" w14:textId="5B8E37F2" w:rsidR="006C37C9" w:rsidRPr="00AC57EA" w:rsidRDefault="00171E27" w:rsidP="00C8070B">
      <w:pPr>
        <w:numPr>
          <w:ilvl w:val="0"/>
          <w:numId w:val="3"/>
        </w:numPr>
        <w:adjustRightInd/>
        <w:spacing w:after="200" w:line="240" w:lineRule="auto"/>
        <w:ind w:right="144"/>
        <w:contextualSpacing/>
        <w:textAlignment w:val="auto"/>
        <w:rPr>
          <w:rFonts w:eastAsia="Verdana" w:cs="Verdana"/>
          <w:sz w:val="20"/>
          <w:szCs w:val="20"/>
          <w:lang w:val="en-US"/>
        </w:rPr>
      </w:pPr>
      <w:r w:rsidRPr="00AC57EA">
        <w:rPr>
          <w:rFonts w:eastAsia="Verdana" w:cs="Verdana"/>
          <w:i/>
          <w:sz w:val="20"/>
          <w:szCs w:val="20"/>
          <w:lang w:val="en-US"/>
        </w:rPr>
        <w:t xml:space="preserve">Reports on </w:t>
      </w:r>
      <w:r w:rsidR="00B7258C" w:rsidRPr="00AC57EA">
        <w:rPr>
          <w:rFonts w:eastAsia="Verdana" w:cs="Verdana"/>
          <w:i/>
          <w:sz w:val="20"/>
          <w:szCs w:val="20"/>
          <w:lang w:val="en-US"/>
        </w:rPr>
        <w:t>the Commission</w:t>
      </w:r>
      <w:r w:rsidRPr="00AC57EA">
        <w:rPr>
          <w:rFonts w:eastAsia="Verdana" w:cs="Verdana"/>
          <w:i/>
          <w:sz w:val="20"/>
          <w:szCs w:val="20"/>
          <w:lang w:val="en-US"/>
        </w:rPr>
        <w:t>’s recommendations</w:t>
      </w:r>
      <w:r w:rsidR="006C37C9" w:rsidRPr="00AC57EA">
        <w:rPr>
          <w:rFonts w:eastAsia="Verdana" w:cs="Verdana"/>
          <w:i/>
          <w:sz w:val="20"/>
          <w:szCs w:val="20"/>
          <w:lang w:val="en-US"/>
        </w:rPr>
        <w:t>.</w:t>
      </w:r>
      <w:r w:rsidR="00753849" w:rsidRPr="00AC57EA">
        <w:rPr>
          <w:rFonts w:eastAsia="Verdana" w:cs="Verdana"/>
          <w:i/>
          <w:sz w:val="20"/>
          <w:szCs w:val="20"/>
          <w:lang w:val="en-US"/>
        </w:rPr>
        <w:t xml:space="preserve"> </w:t>
      </w:r>
      <w:r w:rsidR="00EC52D7" w:rsidRPr="00AC57EA">
        <w:rPr>
          <w:rFonts w:eastAsia="Verdana" w:cs="Verdana"/>
          <w:sz w:val="20"/>
          <w:szCs w:val="20"/>
          <w:lang w:val="en-US"/>
        </w:rPr>
        <w:t>The State of</w:t>
      </w:r>
      <w:r w:rsidR="00EF57B6" w:rsidRPr="00AC57EA">
        <w:rPr>
          <w:rFonts w:eastAsia="Verdana" w:cs="Verdana"/>
          <w:sz w:val="20"/>
          <w:szCs w:val="20"/>
          <w:lang w:val="en-US"/>
        </w:rPr>
        <w:t xml:space="preserve"> Nicaragua </w:t>
      </w:r>
      <w:r w:rsidRPr="00AC57EA">
        <w:rPr>
          <w:rFonts w:eastAsia="Verdana" w:cs="Verdana"/>
          <w:sz w:val="20"/>
          <w:szCs w:val="20"/>
          <w:lang w:val="en-US"/>
        </w:rPr>
        <w:t xml:space="preserve">never responded to the Commission’s </w:t>
      </w:r>
      <w:r w:rsidR="00EC52D7" w:rsidRPr="00AC57EA">
        <w:rPr>
          <w:rFonts w:eastAsia="Verdana" w:cs="Verdana"/>
          <w:sz w:val="20"/>
          <w:szCs w:val="20"/>
          <w:lang w:val="en-US"/>
        </w:rPr>
        <w:t>Merits Report</w:t>
      </w:r>
      <w:r w:rsidR="00EF57B6" w:rsidRPr="00AC57EA">
        <w:rPr>
          <w:rFonts w:eastAsia="Verdana" w:cs="Verdana"/>
          <w:sz w:val="20"/>
          <w:szCs w:val="20"/>
          <w:lang w:val="en-US"/>
        </w:rPr>
        <w:t>.</w:t>
      </w:r>
    </w:p>
    <w:p w14:paraId="49302D05" w14:textId="77777777" w:rsidR="006C37C9" w:rsidRPr="00AC57EA" w:rsidRDefault="006C37C9" w:rsidP="006C37C9">
      <w:pPr>
        <w:spacing w:line="240" w:lineRule="auto"/>
        <w:ind w:left="818" w:right="144"/>
        <w:contextualSpacing/>
        <w:rPr>
          <w:rFonts w:eastAsia="Verdana" w:cs="Verdana"/>
          <w:sz w:val="20"/>
          <w:szCs w:val="20"/>
          <w:lang w:val="en-US"/>
        </w:rPr>
      </w:pPr>
    </w:p>
    <w:p w14:paraId="583BF115" w14:textId="357FCBAD" w:rsidR="006C37C9" w:rsidRPr="00AC57EA" w:rsidRDefault="00171E27" w:rsidP="00C8070B">
      <w:pPr>
        <w:numPr>
          <w:ilvl w:val="0"/>
          <w:numId w:val="3"/>
        </w:numPr>
        <w:adjustRightInd/>
        <w:spacing w:after="200" w:line="240" w:lineRule="auto"/>
        <w:ind w:right="144"/>
        <w:contextualSpacing/>
        <w:textAlignment w:val="auto"/>
        <w:rPr>
          <w:rFonts w:cs="Arial"/>
          <w:sz w:val="20"/>
          <w:szCs w:val="20"/>
          <w:lang w:val="en-US"/>
        </w:rPr>
      </w:pPr>
      <w:r w:rsidRPr="00AC57EA">
        <w:rPr>
          <w:rFonts w:eastAsia="Verdana" w:cs="Verdana"/>
          <w:i/>
          <w:sz w:val="20"/>
          <w:szCs w:val="20"/>
          <w:lang w:val="en-US"/>
        </w:rPr>
        <w:t>Submission to</w:t>
      </w:r>
      <w:r w:rsidR="006C37C9" w:rsidRPr="00AC57EA">
        <w:rPr>
          <w:rFonts w:eastAsia="Verdana" w:cs="Verdana"/>
          <w:i/>
          <w:sz w:val="20"/>
          <w:szCs w:val="20"/>
          <w:lang w:val="en-US"/>
        </w:rPr>
        <w:t xml:space="preserve"> </w:t>
      </w:r>
      <w:r w:rsidR="00B7258C" w:rsidRPr="00AC57EA">
        <w:rPr>
          <w:rFonts w:eastAsia="Verdana" w:cs="Verdana"/>
          <w:i/>
          <w:sz w:val="20"/>
          <w:szCs w:val="20"/>
          <w:lang w:val="en-US"/>
        </w:rPr>
        <w:t>the Court</w:t>
      </w:r>
      <w:r w:rsidR="006C37C9" w:rsidRPr="00AC57EA">
        <w:rPr>
          <w:rFonts w:eastAsia="Verdana" w:cs="Verdana"/>
          <w:i/>
          <w:sz w:val="20"/>
          <w:szCs w:val="20"/>
          <w:lang w:val="en-US"/>
        </w:rPr>
        <w:t xml:space="preserve">. </w:t>
      </w:r>
      <w:r w:rsidRPr="00AC57EA">
        <w:rPr>
          <w:rFonts w:eastAsia="Verdana" w:cs="Verdana"/>
          <w:sz w:val="20"/>
          <w:szCs w:val="20"/>
          <w:lang w:val="en-US"/>
        </w:rPr>
        <w:t>On August 25,</w:t>
      </w:r>
      <w:r w:rsidR="00EF57B6" w:rsidRPr="00AC57EA">
        <w:rPr>
          <w:rFonts w:eastAsia="Verdana" w:cs="Verdana"/>
          <w:sz w:val="20"/>
          <w:szCs w:val="20"/>
          <w:lang w:val="en-US"/>
        </w:rPr>
        <w:t xml:space="preserve"> 2016</w:t>
      </w:r>
      <w:r w:rsidRPr="00AC57EA">
        <w:rPr>
          <w:rFonts w:eastAsia="Verdana" w:cs="Verdana"/>
          <w:sz w:val="20"/>
          <w:szCs w:val="20"/>
          <w:lang w:val="en-US"/>
        </w:rPr>
        <w:t>,</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006C37C9" w:rsidRPr="00AC57EA">
        <w:rPr>
          <w:rFonts w:eastAsia="Verdana" w:cs="Verdana"/>
          <w:sz w:val="20"/>
          <w:szCs w:val="20"/>
          <w:lang w:val="en-US"/>
        </w:rPr>
        <w:t xml:space="preserve"> s</w:t>
      </w:r>
      <w:r w:rsidRPr="00AC57EA">
        <w:rPr>
          <w:rFonts w:eastAsia="Verdana" w:cs="Verdana"/>
          <w:sz w:val="20"/>
          <w:szCs w:val="20"/>
          <w:lang w:val="en-US"/>
        </w:rPr>
        <w:t>ubmitted all the facts and human rights violations described in the Merits Report to the jurisdiction</w:t>
      </w:r>
      <w:r w:rsidR="00B7258C" w:rsidRPr="00AC57EA">
        <w:rPr>
          <w:rFonts w:eastAsia="Verdana" w:cs="Verdana"/>
          <w:sz w:val="20"/>
          <w:szCs w:val="20"/>
          <w:lang w:val="en-US"/>
        </w:rPr>
        <w:t xml:space="preserve"> of the Inter-American Court</w:t>
      </w:r>
      <w:r w:rsidRPr="00AC57EA">
        <w:rPr>
          <w:rFonts w:eastAsia="Verdana" w:cs="Verdana"/>
          <w:sz w:val="20"/>
          <w:szCs w:val="20"/>
          <w:lang w:val="en-US"/>
        </w:rPr>
        <w:t xml:space="preserve"> “owing to the need to obtain justice.</w:t>
      </w:r>
      <w:r w:rsidR="006C37C9" w:rsidRPr="00AC57EA">
        <w:rPr>
          <w:rFonts w:eastAsia="Verdana" w:cs="Verdana"/>
          <w:sz w:val="20"/>
          <w:szCs w:val="20"/>
          <w:lang w:val="en-US"/>
        </w:rPr>
        <w:t>”</w:t>
      </w:r>
      <w:r w:rsidR="00EB3F3D" w:rsidRPr="00AC57EA">
        <w:rPr>
          <w:rStyle w:val="Refdenotaalpie"/>
          <w:rFonts w:eastAsia="Verdana" w:cs="Verdana"/>
          <w:sz w:val="20"/>
          <w:szCs w:val="20"/>
          <w:lang w:val="en-US"/>
        </w:rPr>
        <w:footnoteReference w:id="4"/>
      </w:r>
    </w:p>
    <w:p w14:paraId="0E9C8B6C" w14:textId="77777777" w:rsidR="006C37C9" w:rsidRPr="00AC57EA" w:rsidRDefault="006C37C9" w:rsidP="006C37C9">
      <w:pPr>
        <w:spacing w:line="240" w:lineRule="auto"/>
        <w:ind w:left="818" w:right="144"/>
        <w:contextualSpacing/>
        <w:rPr>
          <w:rFonts w:cs="Arial"/>
          <w:sz w:val="20"/>
          <w:szCs w:val="20"/>
          <w:lang w:val="en-US"/>
        </w:rPr>
      </w:pPr>
    </w:p>
    <w:p w14:paraId="269D6B14" w14:textId="3D5E5AE3" w:rsidR="006C37C9" w:rsidRPr="00AC57EA" w:rsidRDefault="00171E27" w:rsidP="00C8070B">
      <w:pPr>
        <w:numPr>
          <w:ilvl w:val="0"/>
          <w:numId w:val="2"/>
        </w:numPr>
        <w:tabs>
          <w:tab w:val="left" w:pos="567"/>
          <w:tab w:val="num" w:pos="12305"/>
        </w:tabs>
        <w:spacing w:line="240" w:lineRule="auto"/>
        <w:ind w:left="0" w:firstLine="0"/>
        <w:rPr>
          <w:rFonts w:eastAsia="Verdana" w:cs="Verdana"/>
          <w:sz w:val="20"/>
          <w:szCs w:val="20"/>
          <w:lang w:val="en-US"/>
        </w:rPr>
      </w:pPr>
      <w:r w:rsidRPr="00AC57EA">
        <w:rPr>
          <w:rFonts w:eastAsia="Verdana" w:cs="Verdana"/>
          <w:i/>
          <w:sz w:val="20"/>
          <w:szCs w:val="20"/>
          <w:lang w:val="en-US"/>
        </w:rPr>
        <w:t>Requests</w:t>
      </w:r>
      <w:r w:rsidR="00B7258C" w:rsidRPr="00AC57EA">
        <w:rPr>
          <w:rFonts w:eastAsia="Verdana" w:cs="Verdana"/>
          <w:i/>
          <w:sz w:val="20"/>
          <w:szCs w:val="20"/>
          <w:lang w:val="en-US"/>
        </w:rPr>
        <w:t xml:space="preserve"> of the Inter-American Commission</w:t>
      </w:r>
      <w:r w:rsidR="006C37C9" w:rsidRPr="00AC57EA">
        <w:rPr>
          <w:rFonts w:eastAsia="Verdana" w:cs="Verdana"/>
          <w:i/>
          <w:sz w:val="20"/>
          <w:szCs w:val="20"/>
          <w:lang w:val="en-US"/>
        </w:rPr>
        <w:t xml:space="preserve">. </w:t>
      </w:r>
      <w:r w:rsidRPr="00AC57EA">
        <w:rPr>
          <w:rFonts w:eastAsia="Verdana" w:cs="Verdana"/>
          <w:sz w:val="20"/>
          <w:szCs w:val="20"/>
          <w:lang w:val="en-US"/>
        </w:rPr>
        <w:t xml:space="preserve">Based on the foregoing, the Commission asked the Court to declare the international responsibility of the State for the violations indicated in its </w:t>
      </w:r>
      <w:r w:rsidR="00EC52D7" w:rsidRPr="00AC57EA">
        <w:rPr>
          <w:rFonts w:eastAsia="Verdana" w:cs="Verdana"/>
          <w:sz w:val="20"/>
          <w:szCs w:val="20"/>
          <w:lang w:val="en-US"/>
        </w:rPr>
        <w:t>Merits Report</w:t>
      </w:r>
      <w:r w:rsidR="006C37C9" w:rsidRPr="00AC57EA">
        <w:rPr>
          <w:rFonts w:eastAsia="Verdana" w:cs="Verdana"/>
          <w:sz w:val="20"/>
          <w:szCs w:val="20"/>
          <w:lang w:val="en-US"/>
        </w:rPr>
        <w:t xml:space="preserve"> </w:t>
      </w:r>
      <w:r w:rsidR="006C37C9" w:rsidRPr="00AC57EA">
        <w:rPr>
          <w:rFonts w:cs="Verdana"/>
          <w:sz w:val="20"/>
          <w:szCs w:val="20"/>
          <w:lang w:val="en-US"/>
        </w:rPr>
        <w:t>(</w:t>
      </w:r>
      <w:r w:rsidR="006C37C9" w:rsidRPr="00AC57EA">
        <w:rPr>
          <w:rFonts w:cs="Verdana"/>
          <w:i/>
          <w:iCs/>
          <w:sz w:val="20"/>
          <w:szCs w:val="20"/>
          <w:lang w:val="en-US"/>
        </w:rPr>
        <w:t xml:space="preserve">supra </w:t>
      </w:r>
      <w:r w:rsidRPr="00AC57EA">
        <w:rPr>
          <w:rFonts w:cs="Verdana"/>
          <w:sz w:val="20"/>
          <w:szCs w:val="20"/>
          <w:lang w:val="en-US"/>
        </w:rPr>
        <w:t>para.</w:t>
      </w:r>
      <w:r w:rsidR="006C37C9" w:rsidRPr="00AC57EA">
        <w:rPr>
          <w:rFonts w:cs="Verdana"/>
          <w:sz w:val="20"/>
          <w:szCs w:val="20"/>
          <w:lang w:val="en-US"/>
        </w:rPr>
        <w:t xml:space="preserve"> 2.c.a)</w:t>
      </w:r>
      <w:r w:rsidR="006C37C9" w:rsidRPr="00AC57EA">
        <w:rPr>
          <w:rFonts w:eastAsia="Verdana" w:cs="Verdana"/>
          <w:sz w:val="20"/>
          <w:szCs w:val="20"/>
          <w:lang w:val="en-US"/>
        </w:rPr>
        <w:t xml:space="preserve">. </w:t>
      </w:r>
      <w:r w:rsidRPr="00AC57EA">
        <w:rPr>
          <w:rFonts w:eastAsia="Verdana" w:cs="Verdana"/>
          <w:sz w:val="20"/>
          <w:szCs w:val="20"/>
          <w:lang w:val="en-US"/>
        </w:rPr>
        <w:t>In addition, the</w:t>
      </w:r>
      <w:r w:rsidR="00B7258C" w:rsidRPr="00AC57EA">
        <w:rPr>
          <w:rFonts w:eastAsia="Verdana" w:cs="Verdana"/>
          <w:sz w:val="20"/>
          <w:szCs w:val="20"/>
          <w:lang w:val="en-US"/>
        </w:rPr>
        <w:t xml:space="preserve"> Commission</w:t>
      </w:r>
      <w:r w:rsidR="006C37C9" w:rsidRPr="00AC57EA">
        <w:rPr>
          <w:rFonts w:eastAsia="Verdana" w:cs="Verdana"/>
          <w:sz w:val="20"/>
          <w:szCs w:val="20"/>
          <w:lang w:val="en-US"/>
        </w:rPr>
        <w:t xml:space="preserve"> </w:t>
      </w:r>
      <w:r w:rsidRPr="00AC57EA">
        <w:rPr>
          <w:rFonts w:eastAsia="Verdana" w:cs="Verdana"/>
          <w:sz w:val="20"/>
          <w:szCs w:val="20"/>
          <w:lang w:val="en-US"/>
        </w:rPr>
        <w:t>asked</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Court</w:t>
      </w:r>
      <w:r w:rsidR="006C37C9" w:rsidRPr="00AC57EA">
        <w:rPr>
          <w:rFonts w:eastAsia="Verdana" w:cs="Verdana"/>
          <w:sz w:val="20"/>
          <w:szCs w:val="20"/>
          <w:lang w:val="en-US"/>
        </w:rPr>
        <w:t xml:space="preserve"> </w:t>
      </w:r>
      <w:r w:rsidRPr="00AC57EA">
        <w:rPr>
          <w:rFonts w:eastAsia="Verdana" w:cs="Verdana"/>
          <w:sz w:val="20"/>
          <w:szCs w:val="20"/>
          <w:lang w:val="en-US"/>
        </w:rPr>
        <w:t xml:space="preserve">to order the State to </w:t>
      </w:r>
      <w:r w:rsidR="002A7222" w:rsidRPr="00AC57EA">
        <w:rPr>
          <w:rFonts w:eastAsia="Verdana" w:cs="Verdana"/>
          <w:sz w:val="20"/>
          <w:szCs w:val="20"/>
          <w:lang w:val="en-US"/>
        </w:rPr>
        <w:t xml:space="preserve">adopt </w:t>
      </w:r>
      <w:r w:rsidRPr="00AC57EA">
        <w:rPr>
          <w:rFonts w:eastAsia="Verdana" w:cs="Verdana"/>
          <w:sz w:val="20"/>
          <w:szCs w:val="20"/>
          <w:lang w:val="en-US"/>
        </w:rPr>
        <w:t xml:space="preserve">certain measures of reparation, which are described and examined in Chapter </w:t>
      </w:r>
      <w:r w:rsidR="00646CC5" w:rsidRPr="00AC57EA">
        <w:rPr>
          <w:rFonts w:eastAsia="Verdana" w:cs="Verdana"/>
          <w:sz w:val="20"/>
          <w:szCs w:val="20"/>
          <w:lang w:val="en-US"/>
        </w:rPr>
        <w:t>IX</w:t>
      </w:r>
      <w:r w:rsidR="006C37C9" w:rsidRPr="00AC57EA">
        <w:rPr>
          <w:rFonts w:eastAsia="Verdana" w:cs="Verdana"/>
          <w:sz w:val="20"/>
          <w:szCs w:val="20"/>
          <w:lang w:val="en-US"/>
        </w:rPr>
        <w:t xml:space="preserve"> </w:t>
      </w:r>
      <w:r w:rsidRPr="00AC57EA">
        <w:rPr>
          <w:rFonts w:eastAsia="Verdana" w:cs="Verdana"/>
          <w:sz w:val="20"/>
          <w:szCs w:val="20"/>
          <w:lang w:val="en-US"/>
        </w:rPr>
        <w:t>of this judgment</w:t>
      </w:r>
      <w:r w:rsidR="006C37C9" w:rsidRPr="00AC57EA">
        <w:rPr>
          <w:rFonts w:eastAsia="Verdana" w:cs="Verdana"/>
          <w:sz w:val="20"/>
          <w:szCs w:val="20"/>
          <w:lang w:val="en-US"/>
        </w:rPr>
        <w:t>.</w:t>
      </w:r>
    </w:p>
    <w:p w14:paraId="0021A4A1" w14:textId="77777777" w:rsidR="006C37C9" w:rsidRPr="00AC57EA" w:rsidRDefault="006C37C9" w:rsidP="006C37C9">
      <w:pPr>
        <w:pStyle w:val="Prrafodelista"/>
        <w:autoSpaceDE w:val="0"/>
        <w:autoSpaceDN w:val="0"/>
        <w:spacing w:line="240" w:lineRule="auto"/>
        <w:ind w:left="709"/>
        <w:rPr>
          <w:rFonts w:eastAsia="Verdana" w:cs="Verdana"/>
          <w:sz w:val="20"/>
          <w:szCs w:val="20"/>
          <w:lang w:val="en-US"/>
        </w:rPr>
      </w:pPr>
    </w:p>
    <w:p w14:paraId="25B5571B" w14:textId="5B8A2332" w:rsidR="006C37C9" w:rsidRPr="00AC57EA" w:rsidRDefault="006C37C9" w:rsidP="00A93967">
      <w:pPr>
        <w:keepNext/>
        <w:keepLines/>
        <w:tabs>
          <w:tab w:val="left" w:pos="851"/>
        </w:tabs>
        <w:spacing w:line="240" w:lineRule="auto"/>
        <w:jc w:val="center"/>
        <w:outlineLvl w:val="0"/>
        <w:rPr>
          <w:rFonts w:cs="Verdana"/>
          <w:b/>
          <w:bCs/>
          <w:caps/>
          <w:snapToGrid w:val="0"/>
          <w:sz w:val="20"/>
          <w:szCs w:val="20"/>
          <w:lang w:val="en-US"/>
        </w:rPr>
      </w:pPr>
      <w:bookmarkStart w:id="12" w:name="_Toc372568229"/>
      <w:bookmarkStart w:id="13" w:name="_Toc373093235"/>
      <w:bookmarkStart w:id="14" w:name="_Toc373350047"/>
      <w:bookmarkStart w:id="15" w:name="_Toc375560893"/>
      <w:bookmarkStart w:id="16" w:name="_Toc401931878"/>
      <w:bookmarkStart w:id="17" w:name="_Toc428369977"/>
      <w:bookmarkStart w:id="18" w:name="_Toc459158093"/>
      <w:bookmarkStart w:id="19" w:name="_Toc470180033"/>
      <w:bookmarkStart w:id="20" w:name="_Toc514172590"/>
      <w:r w:rsidRPr="00AC57EA">
        <w:rPr>
          <w:rFonts w:cs="Verdana"/>
          <w:b/>
          <w:bCs/>
          <w:caps/>
          <w:snapToGrid w:val="0"/>
          <w:sz w:val="20"/>
          <w:szCs w:val="20"/>
          <w:lang w:val="en-US"/>
        </w:rPr>
        <w:t>II</w:t>
      </w:r>
      <w:bookmarkStart w:id="21" w:name="_Toc375062711"/>
      <w:bookmarkStart w:id="22" w:name="_Toc375140861"/>
      <w:bookmarkStart w:id="23" w:name="_Toc375504820"/>
      <w:bookmarkStart w:id="24" w:name="_Toc375560894"/>
      <w:bookmarkEnd w:id="12"/>
      <w:bookmarkEnd w:id="13"/>
      <w:bookmarkEnd w:id="14"/>
      <w:bookmarkEnd w:id="15"/>
      <w:r w:rsidRPr="00AC57EA">
        <w:rPr>
          <w:rFonts w:cs="Verdana"/>
          <w:b/>
          <w:bCs/>
          <w:caps/>
          <w:snapToGrid w:val="0"/>
          <w:sz w:val="20"/>
          <w:szCs w:val="20"/>
          <w:lang w:val="en-US"/>
        </w:rPr>
        <w:br/>
      </w:r>
      <w:r w:rsidR="00171E27" w:rsidRPr="00AC57EA">
        <w:rPr>
          <w:rFonts w:cs="Verdana"/>
          <w:b/>
          <w:bCs/>
          <w:caps/>
          <w:snapToGrid w:val="0"/>
          <w:sz w:val="20"/>
          <w:szCs w:val="20"/>
          <w:lang w:val="en-US"/>
        </w:rPr>
        <w:t>PROCEEDINGS BEFORE THE COURT</w:t>
      </w:r>
      <w:bookmarkEnd w:id="16"/>
      <w:bookmarkEnd w:id="17"/>
      <w:bookmarkEnd w:id="18"/>
      <w:bookmarkEnd w:id="19"/>
      <w:bookmarkEnd w:id="20"/>
      <w:bookmarkEnd w:id="21"/>
      <w:bookmarkEnd w:id="22"/>
      <w:bookmarkEnd w:id="23"/>
      <w:bookmarkEnd w:id="24"/>
    </w:p>
    <w:p w14:paraId="38DB7D81" w14:textId="77777777" w:rsidR="006C37C9" w:rsidRPr="00AC57EA" w:rsidRDefault="006C37C9" w:rsidP="006C37C9">
      <w:pPr>
        <w:spacing w:line="240" w:lineRule="auto"/>
        <w:ind w:left="3255" w:right="3302" w:firstLine="1776"/>
        <w:rPr>
          <w:rFonts w:eastAsia="Verdana" w:cs="Verdana"/>
          <w:sz w:val="20"/>
          <w:szCs w:val="20"/>
          <w:lang w:val="en-US"/>
        </w:rPr>
      </w:pPr>
    </w:p>
    <w:p w14:paraId="576A85CB" w14:textId="073C0136" w:rsidR="00724B11" w:rsidRPr="00AC57EA" w:rsidRDefault="00171E27" w:rsidP="00C8070B">
      <w:pPr>
        <w:numPr>
          <w:ilvl w:val="0"/>
          <w:numId w:val="2"/>
        </w:numPr>
        <w:tabs>
          <w:tab w:val="left" w:pos="567"/>
          <w:tab w:val="num" w:pos="12305"/>
        </w:tabs>
        <w:spacing w:line="240" w:lineRule="auto"/>
        <w:ind w:left="0" w:firstLine="0"/>
        <w:rPr>
          <w:rFonts w:eastAsia="Verdana" w:cs="Verdana"/>
          <w:sz w:val="16"/>
          <w:szCs w:val="16"/>
          <w:lang w:val="en-US"/>
        </w:rPr>
      </w:pPr>
      <w:r w:rsidRPr="00AC57EA">
        <w:rPr>
          <w:rFonts w:eastAsia="Calibri" w:cs="Verdana"/>
          <w:i/>
          <w:snapToGrid w:val="0"/>
          <w:sz w:val="20"/>
          <w:szCs w:val="20"/>
          <w:lang w:val="en-US" w:eastAsia="es-ES"/>
        </w:rPr>
        <w:t>Appointment of</w:t>
      </w:r>
      <w:r w:rsidR="00724B11" w:rsidRPr="00AC57EA">
        <w:rPr>
          <w:rFonts w:eastAsia="Calibri" w:cs="Verdana"/>
          <w:i/>
          <w:snapToGrid w:val="0"/>
          <w:sz w:val="20"/>
          <w:szCs w:val="20"/>
          <w:lang w:val="en-US" w:eastAsia="es-ES"/>
        </w:rPr>
        <w:t xml:space="preserve"> </w:t>
      </w:r>
      <w:r w:rsidRPr="00AC57EA">
        <w:rPr>
          <w:rFonts w:eastAsia="Calibri" w:cs="Verdana"/>
          <w:i/>
          <w:snapToGrid w:val="0"/>
          <w:sz w:val="20"/>
          <w:szCs w:val="20"/>
          <w:lang w:val="en-US" w:eastAsia="es-ES"/>
        </w:rPr>
        <w:t>Inter-American Public Defenders</w:t>
      </w:r>
      <w:r w:rsidR="00724B11" w:rsidRPr="00AC57EA">
        <w:rPr>
          <w:rFonts w:eastAsia="Calibri" w:cs="Verdana"/>
          <w:snapToGrid w:val="0"/>
          <w:sz w:val="20"/>
          <w:szCs w:val="20"/>
          <w:lang w:val="en-US" w:eastAsia="es-ES"/>
        </w:rPr>
        <w:t xml:space="preserve">. </w:t>
      </w:r>
      <w:r w:rsidRPr="00AC57EA">
        <w:rPr>
          <w:rFonts w:eastAsia="Calibri" w:cs="Verdana"/>
          <w:snapToGrid w:val="0"/>
          <w:sz w:val="20"/>
          <w:szCs w:val="20"/>
          <w:lang w:val="en-US" w:eastAsia="es-ES"/>
        </w:rPr>
        <w:t xml:space="preserve">In the brief presenting the case, </w:t>
      </w:r>
      <w:r w:rsidR="00B7258C" w:rsidRPr="00AC57EA">
        <w:rPr>
          <w:rFonts w:eastAsia="Calibri" w:cs="Verdana"/>
          <w:snapToGrid w:val="0"/>
          <w:sz w:val="20"/>
          <w:szCs w:val="20"/>
          <w:lang w:val="en-US" w:eastAsia="es-ES"/>
        </w:rPr>
        <w:t>the Commission</w:t>
      </w:r>
      <w:r w:rsidR="00724B11" w:rsidRPr="00AC57EA">
        <w:rPr>
          <w:rFonts w:eastAsia="Calibri" w:cs="Verdana"/>
          <w:snapToGrid w:val="0"/>
          <w:sz w:val="20"/>
          <w:szCs w:val="20"/>
          <w:lang w:val="en-US" w:eastAsia="es-ES"/>
        </w:rPr>
        <w:t xml:space="preserve"> indic</w:t>
      </w:r>
      <w:r w:rsidRPr="00AC57EA">
        <w:rPr>
          <w:rFonts w:eastAsia="Calibri" w:cs="Verdana"/>
          <w:snapToGrid w:val="0"/>
          <w:sz w:val="20"/>
          <w:szCs w:val="20"/>
          <w:lang w:val="en-US" w:eastAsia="es-ES"/>
        </w:rPr>
        <w:t>ated that V.P.C. had acted as petitioner. The</w:t>
      </w:r>
      <w:r w:rsidR="00DF2B30" w:rsidRPr="00AC57EA">
        <w:rPr>
          <w:rFonts w:eastAsia="Calibri" w:cs="Verdana"/>
          <w:snapToGrid w:val="0"/>
          <w:sz w:val="20"/>
          <w:szCs w:val="20"/>
          <w:lang w:val="en-US" w:eastAsia="es-ES"/>
        </w:rPr>
        <w:t>n</w:t>
      </w:r>
      <w:r w:rsidRPr="00AC57EA">
        <w:rPr>
          <w:rFonts w:eastAsia="Calibri" w:cs="Verdana"/>
          <w:snapToGrid w:val="0"/>
          <w:sz w:val="20"/>
          <w:szCs w:val="20"/>
          <w:lang w:val="en-US" w:eastAsia="es-ES"/>
        </w:rPr>
        <w:t xml:space="preserve">, following a communication sent by </w:t>
      </w:r>
      <w:r w:rsidRPr="00AC57EA">
        <w:rPr>
          <w:rFonts w:eastAsia="Calibri" w:cs="Verdana"/>
          <w:snapToGrid w:val="0"/>
          <w:sz w:val="20"/>
          <w:szCs w:val="20"/>
          <w:lang w:val="en-US" w:eastAsia="es-ES"/>
        </w:rPr>
        <w:lastRenderedPageBreak/>
        <w:t>the Secretariat,</w:t>
      </w:r>
      <w:r w:rsidR="00724B11" w:rsidRPr="00AC57EA">
        <w:rPr>
          <w:rFonts w:eastAsia="Calibri" w:cs="Verdana"/>
          <w:snapToGrid w:val="0"/>
          <w:sz w:val="20"/>
          <w:szCs w:val="20"/>
          <w:vertAlign w:val="superscript"/>
          <w:lang w:val="en-US" w:eastAsia="es-ES"/>
        </w:rPr>
        <w:footnoteReference w:id="5"/>
      </w:r>
      <w:r w:rsidRPr="00AC57EA">
        <w:rPr>
          <w:rFonts w:eastAsia="Calibri" w:cs="Verdana"/>
          <w:snapToGrid w:val="0"/>
          <w:sz w:val="20"/>
          <w:szCs w:val="20"/>
          <w:lang w:val="en-US" w:eastAsia="es-ES"/>
        </w:rPr>
        <w:t xml:space="preserve"> on the instructions </w:t>
      </w:r>
      <w:r w:rsidR="00B7258C" w:rsidRPr="00AC57EA">
        <w:rPr>
          <w:rFonts w:eastAsia="Calibri" w:cs="Verdana"/>
          <w:snapToGrid w:val="0"/>
          <w:sz w:val="20"/>
          <w:szCs w:val="20"/>
          <w:lang w:val="en-US" w:eastAsia="es-ES"/>
        </w:rPr>
        <w:t>of the President of the Court</w:t>
      </w:r>
      <w:r w:rsidR="00724B11" w:rsidRPr="00AC57EA">
        <w:rPr>
          <w:rFonts w:eastAsia="Calibri" w:cs="Verdana"/>
          <w:snapToGrid w:val="0"/>
          <w:sz w:val="20"/>
          <w:szCs w:val="20"/>
          <w:lang w:val="en-US" w:eastAsia="es-ES"/>
        </w:rPr>
        <w:t xml:space="preserve"> dur</w:t>
      </w:r>
      <w:r w:rsidRPr="00AC57EA">
        <w:rPr>
          <w:rFonts w:eastAsia="Calibri" w:cs="Verdana"/>
          <w:snapToGrid w:val="0"/>
          <w:sz w:val="20"/>
          <w:szCs w:val="20"/>
          <w:lang w:val="en-US" w:eastAsia="es-ES"/>
        </w:rPr>
        <w:t>ing the preliminary examination of the submission of the case, on November 4 and 10, 2016, V.P.C. and V.R.P</w:t>
      </w:r>
      <w:r w:rsidR="00E809CA" w:rsidRPr="00AC57EA">
        <w:rPr>
          <w:rFonts w:eastAsia="Calibri" w:cs="Verdana"/>
          <w:snapToGrid w:val="0"/>
          <w:sz w:val="20"/>
          <w:szCs w:val="20"/>
          <w:lang w:val="en-US" w:eastAsia="es-ES"/>
        </w:rPr>
        <w:t>.</w:t>
      </w:r>
      <w:r w:rsidR="00724B11" w:rsidRPr="00AC57EA">
        <w:rPr>
          <w:rFonts w:eastAsia="Calibri" w:cs="Verdana"/>
          <w:snapToGrid w:val="0"/>
          <w:sz w:val="20"/>
          <w:szCs w:val="20"/>
          <w:lang w:val="en-US" w:eastAsia="es-ES"/>
        </w:rPr>
        <w:t xml:space="preserve"> </w:t>
      </w:r>
      <w:r w:rsidRPr="00AC57EA">
        <w:rPr>
          <w:rFonts w:eastAsia="Calibri" w:cs="Verdana"/>
          <w:snapToGrid w:val="0"/>
          <w:sz w:val="20"/>
          <w:szCs w:val="20"/>
          <w:lang w:val="en-US" w:eastAsia="es-ES"/>
        </w:rPr>
        <w:t>requested the appointment of an inter-</w:t>
      </w:r>
      <w:r w:rsidR="00DF2B30" w:rsidRPr="00AC57EA">
        <w:rPr>
          <w:rFonts w:eastAsia="Calibri" w:cs="Verdana"/>
          <w:snapToGrid w:val="0"/>
          <w:sz w:val="20"/>
          <w:szCs w:val="20"/>
          <w:lang w:val="en-US" w:eastAsia="es-ES"/>
        </w:rPr>
        <w:t>A</w:t>
      </w:r>
      <w:r w:rsidRPr="00AC57EA">
        <w:rPr>
          <w:rFonts w:eastAsia="Calibri" w:cs="Verdana"/>
          <w:snapToGrid w:val="0"/>
          <w:sz w:val="20"/>
          <w:szCs w:val="20"/>
          <w:lang w:val="en-US" w:eastAsia="es-ES"/>
        </w:rPr>
        <w:t>merican defender</w:t>
      </w:r>
      <w:r w:rsidR="00724B11" w:rsidRPr="00AC57EA">
        <w:rPr>
          <w:rFonts w:eastAsia="Calibri" w:cs="Verdana"/>
          <w:snapToGrid w:val="0"/>
          <w:sz w:val="20"/>
          <w:szCs w:val="20"/>
          <w:lang w:val="en-US" w:eastAsia="es-ES"/>
        </w:rPr>
        <w:t xml:space="preserve">. </w:t>
      </w:r>
      <w:r w:rsidRPr="00AC57EA">
        <w:rPr>
          <w:rFonts w:eastAsia="Calibri" w:cs="Verdana"/>
          <w:snapToGrid w:val="0"/>
          <w:sz w:val="20"/>
          <w:szCs w:val="20"/>
          <w:lang w:val="en-US" w:eastAsia="es-ES"/>
        </w:rPr>
        <w:t xml:space="preserve">After the respective communications with the Inter-American Public Defenders Association </w:t>
      </w:r>
      <w:r w:rsidR="00724B11" w:rsidRPr="00AC57EA">
        <w:rPr>
          <w:rFonts w:eastAsia="Calibri" w:cs="Verdana"/>
          <w:snapToGrid w:val="0"/>
          <w:sz w:val="20"/>
          <w:szCs w:val="20"/>
          <w:lang w:val="en-US" w:eastAsia="es-ES"/>
        </w:rPr>
        <w:t>(AIDEF)</w:t>
      </w:r>
      <w:r w:rsidR="002A7222" w:rsidRPr="00AC57EA">
        <w:rPr>
          <w:rFonts w:eastAsia="Calibri" w:cs="Verdana"/>
          <w:snapToGrid w:val="0"/>
          <w:sz w:val="20"/>
          <w:szCs w:val="20"/>
          <w:lang w:val="en-US" w:eastAsia="es-ES"/>
        </w:rPr>
        <w:t>,</w:t>
      </w:r>
      <w:r w:rsidR="00724B11" w:rsidRPr="00AC57EA">
        <w:rPr>
          <w:rFonts w:eastAsia="Calibri" w:cs="Verdana"/>
          <w:snapToGrid w:val="0"/>
          <w:sz w:val="20"/>
          <w:szCs w:val="20"/>
          <w:vertAlign w:val="superscript"/>
          <w:lang w:val="en-US" w:eastAsia="es-ES"/>
        </w:rPr>
        <w:footnoteReference w:id="6"/>
      </w:r>
      <w:r w:rsidR="00724B11" w:rsidRPr="00AC57EA">
        <w:rPr>
          <w:rFonts w:eastAsia="Calibri" w:cs="Verdana"/>
          <w:snapToGrid w:val="0"/>
          <w:sz w:val="20"/>
          <w:szCs w:val="20"/>
          <w:lang w:val="en-US" w:eastAsia="es-ES"/>
        </w:rPr>
        <w:t xml:space="preserve"> </w:t>
      </w:r>
      <w:r w:rsidR="002A7222" w:rsidRPr="00AC57EA">
        <w:rPr>
          <w:rFonts w:eastAsia="Calibri" w:cs="Verdana"/>
          <w:snapToGrid w:val="0"/>
          <w:sz w:val="20"/>
          <w:szCs w:val="20"/>
          <w:lang w:val="en-US" w:eastAsia="es-ES"/>
        </w:rPr>
        <w:t>o</w:t>
      </w:r>
      <w:r w:rsidRPr="00AC57EA">
        <w:rPr>
          <w:rFonts w:eastAsia="Calibri" w:cs="Verdana"/>
          <w:snapToGrid w:val="0"/>
          <w:sz w:val="20"/>
          <w:szCs w:val="20"/>
          <w:lang w:val="en-US" w:eastAsia="es-ES"/>
        </w:rPr>
        <w:t>n November 22,</w:t>
      </w:r>
      <w:r w:rsidR="00724B11" w:rsidRPr="00AC57EA">
        <w:rPr>
          <w:rFonts w:eastAsia="Calibri" w:cs="Verdana"/>
          <w:snapToGrid w:val="0"/>
          <w:sz w:val="20"/>
          <w:szCs w:val="20"/>
          <w:lang w:val="en-US" w:eastAsia="es-ES"/>
        </w:rPr>
        <w:t xml:space="preserve"> 201</w:t>
      </w:r>
      <w:r w:rsidR="00E809CA" w:rsidRPr="00AC57EA">
        <w:rPr>
          <w:rFonts w:eastAsia="Calibri" w:cs="Verdana"/>
          <w:snapToGrid w:val="0"/>
          <w:sz w:val="20"/>
          <w:szCs w:val="20"/>
          <w:lang w:val="en-US" w:eastAsia="es-ES"/>
        </w:rPr>
        <w:t>6</w:t>
      </w:r>
      <w:r w:rsidRPr="00AC57EA">
        <w:rPr>
          <w:rFonts w:eastAsia="Calibri" w:cs="Verdana"/>
          <w:snapToGrid w:val="0"/>
          <w:sz w:val="20"/>
          <w:szCs w:val="20"/>
          <w:lang w:val="en-US" w:eastAsia="es-ES"/>
        </w:rPr>
        <w:t xml:space="preserve">, the General Coordinator of that Association advised the Court that </w:t>
      </w:r>
      <w:r w:rsidR="00E809CA" w:rsidRPr="00AC57EA">
        <w:rPr>
          <w:rFonts w:eastAsia="Calibri" w:cs="Verdana"/>
          <w:snapToGrid w:val="0"/>
          <w:sz w:val="20"/>
          <w:szCs w:val="20"/>
          <w:lang w:val="en-US" w:eastAsia="es-ES"/>
        </w:rPr>
        <w:t>Fidencia Orozco García</w:t>
      </w:r>
      <w:r w:rsidR="00450D2C" w:rsidRPr="00AC57EA">
        <w:rPr>
          <w:rFonts w:eastAsia="Calibri" w:cs="Verdana"/>
          <w:snapToGrid w:val="0"/>
          <w:sz w:val="20"/>
          <w:szCs w:val="20"/>
          <w:lang w:val="en-US" w:eastAsia="es-ES"/>
        </w:rPr>
        <w:t xml:space="preserve"> de Licardi</w:t>
      </w:r>
      <w:r w:rsidR="00E809CA" w:rsidRPr="00AC57EA">
        <w:rPr>
          <w:rFonts w:eastAsia="Calibri" w:cs="Verdana"/>
          <w:snapToGrid w:val="0"/>
          <w:sz w:val="20"/>
          <w:szCs w:val="20"/>
          <w:lang w:val="en-US" w:eastAsia="es-ES"/>
        </w:rPr>
        <w:t xml:space="preserve"> (Guatemala) </w:t>
      </w:r>
      <w:r w:rsidRPr="00AC57EA">
        <w:rPr>
          <w:rFonts w:eastAsia="Calibri" w:cs="Verdana"/>
          <w:snapToGrid w:val="0"/>
          <w:sz w:val="20"/>
          <w:szCs w:val="20"/>
          <w:lang w:val="en-US" w:eastAsia="es-ES"/>
        </w:rPr>
        <w:t>and</w:t>
      </w:r>
      <w:r w:rsidR="00E809CA" w:rsidRPr="00AC57EA">
        <w:rPr>
          <w:rFonts w:eastAsia="Calibri" w:cs="Verdana"/>
          <w:snapToGrid w:val="0"/>
          <w:sz w:val="20"/>
          <w:szCs w:val="20"/>
          <w:lang w:val="en-US" w:eastAsia="es-ES"/>
        </w:rPr>
        <w:t xml:space="preserve"> Juana María Cruz Fernández (</w:t>
      </w:r>
      <w:r w:rsidRPr="00AC57EA">
        <w:rPr>
          <w:rFonts w:eastAsia="Calibri" w:cs="Verdana"/>
          <w:snapToGrid w:val="0"/>
          <w:sz w:val="20"/>
          <w:szCs w:val="20"/>
          <w:lang w:val="en-US" w:eastAsia="es-ES"/>
        </w:rPr>
        <w:t>Dominican Republic</w:t>
      </w:r>
      <w:r w:rsidR="00E809CA" w:rsidRPr="00AC57EA">
        <w:rPr>
          <w:rFonts w:eastAsia="Calibri" w:cs="Verdana"/>
          <w:snapToGrid w:val="0"/>
          <w:sz w:val="20"/>
          <w:szCs w:val="20"/>
          <w:lang w:val="en-US" w:eastAsia="es-ES"/>
        </w:rPr>
        <w:t>)</w:t>
      </w:r>
      <w:r w:rsidR="00724B11" w:rsidRPr="00AC57EA">
        <w:rPr>
          <w:rFonts w:eastAsia="Calibri" w:cs="Verdana"/>
          <w:snapToGrid w:val="0"/>
          <w:sz w:val="20"/>
          <w:szCs w:val="20"/>
          <w:lang w:val="en-US" w:eastAsia="es-ES"/>
        </w:rPr>
        <w:t xml:space="preserve"> ha</w:t>
      </w:r>
      <w:r w:rsidRPr="00AC57EA">
        <w:rPr>
          <w:rFonts w:eastAsia="Calibri" w:cs="Verdana"/>
          <w:snapToGrid w:val="0"/>
          <w:sz w:val="20"/>
          <w:szCs w:val="20"/>
          <w:lang w:val="en-US" w:eastAsia="es-ES"/>
        </w:rPr>
        <w:t>d been designated as inter-American public defenders to exercise the legal representation of the presumed victims in this case</w:t>
      </w:r>
      <w:r w:rsidR="00724B11" w:rsidRPr="00AC57EA">
        <w:rPr>
          <w:rFonts w:eastAsia="Calibri" w:cs="Verdana"/>
          <w:snapToGrid w:val="0"/>
          <w:sz w:val="20"/>
          <w:szCs w:val="20"/>
          <w:lang w:val="en-US" w:eastAsia="es-ES"/>
        </w:rPr>
        <w:t xml:space="preserve"> (</w:t>
      </w:r>
      <w:r w:rsidR="00B7258C" w:rsidRPr="00AC57EA">
        <w:rPr>
          <w:rFonts w:eastAsia="Calibri" w:cs="Verdana"/>
          <w:snapToGrid w:val="0"/>
          <w:sz w:val="20"/>
          <w:szCs w:val="20"/>
          <w:lang w:val="en-US" w:eastAsia="es-ES"/>
        </w:rPr>
        <w:t>hereinafter</w:t>
      </w:r>
      <w:r w:rsidR="00724B11" w:rsidRPr="00AC57EA">
        <w:rPr>
          <w:rFonts w:eastAsia="Calibri" w:cs="Verdana"/>
          <w:snapToGrid w:val="0"/>
          <w:sz w:val="20"/>
          <w:szCs w:val="20"/>
          <w:lang w:val="en-US" w:eastAsia="es-ES"/>
        </w:rPr>
        <w:t xml:space="preserve"> “</w:t>
      </w:r>
      <w:r w:rsidRPr="00AC57EA">
        <w:rPr>
          <w:rFonts w:eastAsia="Calibri" w:cs="Verdana"/>
          <w:snapToGrid w:val="0"/>
          <w:sz w:val="20"/>
          <w:szCs w:val="20"/>
          <w:lang w:val="en-US" w:eastAsia="es-ES"/>
        </w:rPr>
        <w:t>the representatives</w:t>
      </w:r>
      <w:r w:rsidR="00724B11" w:rsidRPr="00AC57EA">
        <w:rPr>
          <w:rFonts w:eastAsia="Calibri" w:cs="Verdana"/>
          <w:snapToGrid w:val="0"/>
          <w:sz w:val="20"/>
          <w:szCs w:val="20"/>
          <w:lang w:val="en-US" w:eastAsia="es-ES"/>
        </w:rPr>
        <w:t>”)</w:t>
      </w:r>
      <w:r w:rsidRPr="00AC57EA">
        <w:rPr>
          <w:rFonts w:eastAsia="Calibri" w:cs="Verdana"/>
          <w:snapToGrid w:val="0"/>
          <w:sz w:val="20"/>
          <w:szCs w:val="20"/>
          <w:lang w:val="en-US" w:eastAsia="es-ES"/>
        </w:rPr>
        <w:t>.</w:t>
      </w:r>
      <w:r w:rsidR="00724B11" w:rsidRPr="00AC57EA">
        <w:rPr>
          <w:rFonts w:eastAsia="Calibri" w:cs="Verdana"/>
          <w:snapToGrid w:val="0"/>
          <w:sz w:val="20"/>
          <w:szCs w:val="20"/>
          <w:vertAlign w:val="superscript"/>
          <w:lang w:val="en-US" w:eastAsia="es-ES"/>
        </w:rPr>
        <w:footnoteReference w:id="7"/>
      </w:r>
    </w:p>
    <w:p w14:paraId="2C9BA4F9" w14:textId="77777777" w:rsidR="00724B11" w:rsidRPr="00AC57EA" w:rsidRDefault="00724B11" w:rsidP="00724B11">
      <w:pPr>
        <w:tabs>
          <w:tab w:val="left" w:pos="567"/>
        </w:tabs>
        <w:spacing w:line="240" w:lineRule="auto"/>
        <w:rPr>
          <w:rFonts w:eastAsia="Verdana" w:cs="Verdana"/>
          <w:sz w:val="16"/>
          <w:szCs w:val="16"/>
          <w:lang w:val="en-US"/>
        </w:rPr>
      </w:pPr>
    </w:p>
    <w:p w14:paraId="6A14B155" w14:textId="4A2F3279" w:rsidR="006C37C9" w:rsidRPr="00AC57EA" w:rsidRDefault="006C37C9" w:rsidP="00C8070B">
      <w:pPr>
        <w:numPr>
          <w:ilvl w:val="0"/>
          <w:numId w:val="2"/>
        </w:numPr>
        <w:tabs>
          <w:tab w:val="left" w:pos="567"/>
          <w:tab w:val="num" w:pos="12305"/>
        </w:tabs>
        <w:spacing w:line="240" w:lineRule="auto"/>
        <w:ind w:left="0" w:firstLine="0"/>
        <w:rPr>
          <w:rFonts w:eastAsia="Verdana" w:cs="Verdana"/>
          <w:sz w:val="16"/>
          <w:szCs w:val="16"/>
          <w:lang w:val="en-US"/>
        </w:rPr>
      </w:pPr>
      <w:r w:rsidRPr="00AC57EA">
        <w:rPr>
          <w:rFonts w:eastAsia="Verdana" w:cs="Verdana"/>
          <w:i/>
          <w:sz w:val="20"/>
          <w:szCs w:val="20"/>
          <w:lang w:val="en-US"/>
        </w:rPr>
        <w:t>Notifica</w:t>
      </w:r>
      <w:r w:rsidR="00171E27" w:rsidRPr="00AC57EA">
        <w:rPr>
          <w:rFonts w:eastAsia="Verdana" w:cs="Verdana"/>
          <w:i/>
          <w:sz w:val="20"/>
          <w:szCs w:val="20"/>
          <w:lang w:val="en-US"/>
        </w:rPr>
        <w:t>tion of</w:t>
      </w:r>
      <w:r w:rsidRPr="00AC57EA">
        <w:rPr>
          <w:rFonts w:eastAsia="Verdana" w:cs="Verdana"/>
          <w:i/>
          <w:sz w:val="20"/>
          <w:szCs w:val="20"/>
          <w:lang w:val="en-US"/>
        </w:rPr>
        <w:t xml:space="preserve"> </w:t>
      </w:r>
      <w:r w:rsidR="00171E27" w:rsidRPr="00AC57EA">
        <w:rPr>
          <w:rFonts w:eastAsia="Verdana" w:cs="Verdana"/>
          <w:i/>
          <w:sz w:val="20"/>
          <w:szCs w:val="20"/>
          <w:lang w:val="en-US"/>
        </w:rPr>
        <w:t>the representatives</w:t>
      </w:r>
      <w:r w:rsidR="00A26F4E" w:rsidRPr="00AC57EA">
        <w:rPr>
          <w:rFonts w:eastAsia="Verdana" w:cs="Verdana"/>
          <w:i/>
          <w:sz w:val="20"/>
          <w:szCs w:val="20"/>
          <w:lang w:val="en-US"/>
        </w:rPr>
        <w:t xml:space="preserve"> </w:t>
      </w:r>
      <w:r w:rsidR="00171E27" w:rsidRPr="00AC57EA">
        <w:rPr>
          <w:rFonts w:eastAsia="Verdana" w:cs="Verdana"/>
          <w:i/>
          <w:sz w:val="20"/>
          <w:szCs w:val="20"/>
          <w:lang w:val="en-US"/>
        </w:rPr>
        <w:t>and the State</w:t>
      </w:r>
      <w:r w:rsidRPr="00AC57EA">
        <w:rPr>
          <w:rFonts w:eastAsia="Verdana" w:cs="Verdana"/>
          <w:i/>
          <w:sz w:val="20"/>
          <w:szCs w:val="20"/>
          <w:lang w:val="en-US"/>
        </w:rPr>
        <w:t xml:space="preserve">. </w:t>
      </w:r>
      <w:r w:rsidR="00171E27" w:rsidRPr="00AC57EA">
        <w:rPr>
          <w:rFonts w:eastAsia="Verdana" w:cs="Verdana"/>
          <w:sz w:val="20"/>
          <w:szCs w:val="20"/>
          <w:lang w:val="en-US"/>
        </w:rPr>
        <w:t>The Court notified the Commission’s submission of the case to the inter-American public defenders of the presumed victims</w:t>
      </w:r>
      <w:r w:rsidR="008567B4" w:rsidRPr="00AC57EA">
        <w:rPr>
          <w:rFonts w:eastAsia="Verdana" w:cs="Verdana"/>
          <w:sz w:val="20"/>
          <w:szCs w:val="20"/>
          <w:lang w:val="en-US"/>
        </w:rPr>
        <w:t xml:space="preserve"> </w:t>
      </w:r>
      <w:r w:rsidR="00171E27" w:rsidRPr="00AC57EA">
        <w:rPr>
          <w:rFonts w:eastAsia="Verdana" w:cs="Verdana"/>
          <w:sz w:val="20"/>
          <w:szCs w:val="20"/>
          <w:lang w:val="en-US"/>
        </w:rPr>
        <w:t>on November 25,</w:t>
      </w:r>
      <w:r w:rsidR="004B6D26" w:rsidRPr="00AC57EA">
        <w:rPr>
          <w:rFonts w:eastAsia="Verdana" w:cs="Verdana"/>
          <w:sz w:val="20"/>
          <w:szCs w:val="20"/>
          <w:lang w:val="en-US"/>
        </w:rPr>
        <w:t xml:space="preserve"> 2016</w:t>
      </w:r>
      <w:r w:rsidR="00171E27" w:rsidRPr="00AC57EA">
        <w:rPr>
          <w:rFonts w:eastAsia="Verdana" w:cs="Verdana"/>
          <w:sz w:val="20"/>
          <w:szCs w:val="20"/>
          <w:lang w:val="en-US"/>
        </w:rPr>
        <w:t xml:space="preserve">, and to the Nicaraguan State on November 24, </w:t>
      </w:r>
      <w:r w:rsidR="004B6D26" w:rsidRPr="00AC57EA">
        <w:rPr>
          <w:rFonts w:eastAsia="Verdana" w:cs="Verdana"/>
          <w:sz w:val="20"/>
          <w:szCs w:val="20"/>
          <w:lang w:val="en-US"/>
        </w:rPr>
        <w:t>2016</w:t>
      </w:r>
      <w:r w:rsidRPr="00AC57EA">
        <w:rPr>
          <w:rFonts w:eastAsia="Verdana" w:cs="Verdana"/>
          <w:sz w:val="20"/>
          <w:szCs w:val="20"/>
          <w:lang w:val="en-US"/>
        </w:rPr>
        <w:t>.</w:t>
      </w:r>
    </w:p>
    <w:p w14:paraId="36E3F1A8" w14:textId="77777777" w:rsidR="006C37C9" w:rsidRPr="00AC57EA" w:rsidRDefault="006C37C9" w:rsidP="006C37C9">
      <w:pPr>
        <w:spacing w:before="3" w:line="240" w:lineRule="auto"/>
        <w:rPr>
          <w:sz w:val="20"/>
          <w:szCs w:val="20"/>
          <w:lang w:val="en-US"/>
        </w:rPr>
      </w:pPr>
    </w:p>
    <w:p w14:paraId="61BA8376" w14:textId="20855653" w:rsidR="006C37C9" w:rsidRPr="00AC57EA" w:rsidRDefault="00171E27" w:rsidP="00C8070B">
      <w:pPr>
        <w:numPr>
          <w:ilvl w:val="0"/>
          <w:numId w:val="2"/>
        </w:numPr>
        <w:tabs>
          <w:tab w:val="left" w:pos="567"/>
          <w:tab w:val="num" w:pos="12305"/>
        </w:tabs>
        <w:spacing w:line="240" w:lineRule="auto"/>
        <w:ind w:left="0" w:firstLine="0"/>
        <w:rPr>
          <w:rFonts w:eastAsia="Verdana" w:cs="Verdana"/>
          <w:sz w:val="20"/>
          <w:szCs w:val="20"/>
          <w:u w:val="single"/>
          <w:lang w:val="en-US"/>
        </w:rPr>
      </w:pPr>
      <w:r w:rsidRPr="00AC57EA">
        <w:rPr>
          <w:rFonts w:eastAsia="Verdana" w:cs="Verdana"/>
          <w:i/>
          <w:sz w:val="20"/>
          <w:szCs w:val="20"/>
          <w:lang w:val="en-US"/>
        </w:rPr>
        <w:t>Brief with pleadings, motions and evidence</w:t>
      </w:r>
      <w:r w:rsidR="006C37C9" w:rsidRPr="00AC57EA">
        <w:rPr>
          <w:rFonts w:eastAsia="Verdana" w:cs="Verdana"/>
          <w:i/>
          <w:sz w:val="20"/>
          <w:szCs w:val="20"/>
          <w:lang w:val="en-US"/>
        </w:rPr>
        <w:t xml:space="preserve">. </w:t>
      </w:r>
      <w:r w:rsidRPr="00AC57EA">
        <w:rPr>
          <w:rFonts w:eastAsia="Verdana" w:cs="Verdana"/>
          <w:sz w:val="20"/>
          <w:szCs w:val="20"/>
          <w:lang w:val="en-US"/>
        </w:rPr>
        <w:t>On January 27,</w:t>
      </w:r>
      <w:r w:rsidR="004B6D26" w:rsidRPr="00AC57EA">
        <w:rPr>
          <w:rFonts w:eastAsia="Verdana" w:cs="Verdana"/>
          <w:sz w:val="20"/>
          <w:szCs w:val="20"/>
          <w:lang w:val="en-US"/>
        </w:rPr>
        <w:t xml:space="preserve"> 2017</w:t>
      </w:r>
      <w:r w:rsidRPr="00AC57EA">
        <w:rPr>
          <w:rFonts w:eastAsia="Verdana" w:cs="Verdana"/>
          <w:sz w:val="20"/>
          <w:szCs w:val="20"/>
          <w:lang w:val="en-US"/>
        </w:rPr>
        <w:t>,</w:t>
      </w:r>
      <w:r w:rsidR="006C37C9" w:rsidRPr="00AC57EA">
        <w:rPr>
          <w:rFonts w:eastAsia="Verdana" w:cs="Verdana"/>
          <w:sz w:val="20"/>
          <w:szCs w:val="20"/>
          <w:lang w:val="en-US"/>
        </w:rPr>
        <w:t xml:space="preserve"> </w:t>
      </w:r>
      <w:r w:rsidRPr="00AC57EA">
        <w:rPr>
          <w:rFonts w:eastAsia="Verdana" w:cs="Verdana"/>
          <w:sz w:val="20"/>
          <w:szCs w:val="20"/>
          <w:lang w:val="en-US"/>
        </w:rPr>
        <w:t>the representatives</w:t>
      </w:r>
      <w:r w:rsidR="006C37C9" w:rsidRPr="00AC57EA">
        <w:rPr>
          <w:rFonts w:eastAsia="Verdana" w:cs="Verdana"/>
          <w:sz w:val="20"/>
          <w:szCs w:val="20"/>
          <w:lang w:val="en-US"/>
        </w:rPr>
        <w:t xml:space="preserve"> </w:t>
      </w:r>
      <w:r w:rsidRPr="00AC57EA">
        <w:rPr>
          <w:rFonts w:eastAsia="Verdana" w:cs="Verdana"/>
          <w:sz w:val="20"/>
          <w:szCs w:val="20"/>
          <w:lang w:val="en-US"/>
        </w:rPr>
        <w:t>submitted their</w:t>
      </w:r>
      <w:r w:rsidR="006C37C9" w:rsidRPr="00AC57EA">
        <w:rPr>
          <w:rFonts w:eastAsia="Verdana" w:cs="Verdana"/>
          <w:sz w:val="20"/>
          <w:szCs w:val="20"/>
          <w:lang w:val="en-US"/>
        </w:rPr>
        <w:t xml:space="preserve"> </w:t>
      </w:r>
      <w:r w:rsidRPr="00AC57EA">
        <w:rPr>
          <w:rFonts w:eastAsia="Verdana" w:cs="Verdana"/>
          <w:sz w:val="20"/>
          <w:szCs w:val="20"/>
          <w:lang w:val="en-US"/>
        </w:rPr>
        <w:t>brief with pleadings, motions and evidence</w:t>
      </w:r>
      <w:r w:rsidR="006C37C9" w:rsidRPr="00AC57EA">
        <w:rPr>
          <w:rFonts w:eastAsia="Verdana" w:cs="Verdana"/>
          <w:sz w:val="20"/>
          <w:szCs w:val="20"/>
          <w:lang w:val="en-US"/>
        </w:rPr>
        <w:t xml:space="preserve"> (</w:t>
      </w:r>
      <w:r w:rsidR="00B7258C" w:rsidRPr="00AC57EA">
        <w:rPr>
          <w:rFonts w:eastAsia="Verdana" w:cs="Verdana"/>
          <w:sz w:val="20"/>
          <w:szCs w:val="20"/>
          <w:lang w:val="en-US"/>
        </w:rPr>
        <w:t>hereinafter</w:t>
      </w:r>
      <w:r w:rsidR="006C37C9" w:rsidRPr="00AC57EA">
        <w:rPr>
          <w:rFonts w:eastAsia="Verdana" w:cs="Verdana"/>
          <w:sz w:val="20"/>
          <w:szCs w:val="20"/>
          <w:lang w:val="en-US"/>
        </w:rPr>
        <w:t xml:space="preserve"> “</w:t>
      </w:r>
      <w:r w:rsidRPr="00AC57EA">
        <w:rPr>
          <w:rFonts w:eastAsia="Verdana" w:cs="Verdana"/>
          <w:sz w:val="20"/>
          <w:szCs w:val="20"/>
          <w:lang w:val="en-US"/>
        </w:rPr>
        <w:t>pleadings and motions brief</w:t>
      </w:r>
      <w:r w:rsidR="006C37C9" w:rsidRPr="00AC57EA">
        <w:rPr>
          <w:rFonts w:eastAsia="Verdana" w:cs="Verdana"/>
          <w:sz w:val="20"/>
          <w:szCs w:val="20"/>
          <w:lang w:val="en-US"/>
        </w:rPr>
        <w:t>”)</w:t>
      </w:r>
      <w:r w:rsidRPr="00AC57EA">
        <w:rPr>
          <w:rFonts w:eastAsia="Verdana" w:cs="Verdana"/>
          <w:sz w:val="20"/>
          <w:szCs w:val="20"/>
          <w:lang w:val="en-US"/>
        </w:rPr>
        <w:t xml:space="preserve"> to the Court</w:t>
      </w:r>
      <w:r w:rsidR="006C37C9" w:rsidRPr="00AC57EA">
        <w:rPr>
          <w:rFonts w:eastAsia="Verdana" w:cs="Verdana"/>
          <w:sz w:val="20"/>
          <w:szCs w:val="20"/>
          <w:lang w:val="en-US"/>
        </w:rPr>
        <w:t>.</w:t>
      </w:r>
      <w:r w:rsidR="00934195" w:rsidRPr="00AC57EA">
        <w:rPr>
          <w:rFonts w:eastAsia="Verdana" w:cs="Verdana"/>
          <w:sz w:val="20"/>
          <w:szCs w:val="20"/>
          <w:lang w:val="en-US"/>
        </w:rPr>
        <w:t xml:space="preserve"> </w:t>
      </w:r>
      <w:r w:rsidRPr="00AC57EA">
        <w:rPr>
          <w:rFonts w:eastAsia="Verdana" w:cs="Verdana"/>
          <w:sz w:val="20"/>
          <w:szCs w:val="20"/>
          <w:lang w:val="en-US"/>
        </w:rPr>
        <w:t>The representatives</w:t>
      </w:r>
      <w:r w:rsidR="006C37C9" w:rsidRPr="00AC57EA">
        <w:rPr>
          <w:rFonts w:eastAsia="Verdana" w:cs="Verdana"/>
          <w:sz w:val="20"/>
          <w:szCs w:val="20"/>
          <w:lang w:val="en-US"/>
        </w:rPr>
        <w:t xml:space="preserve"> </w:t>
      </w:r>
      <w:r w:rsidR="002A7222" w:rsidRPr="00AC57EA">
        <w:rPr>
          <w:rFonts w:eastAsia="Verdana" w:cs="Verdana"/>
          <w:sz w:val="20"/>
          <w:szCs w:val="20"/>
          <w:lang w:val="en-US"/>
        </w:rPr>
        <w:t>were in substantial agreement</w:t>
      </w:r>
      <w:r w:rsidRPr="00AC57EA">
        <w:rPr>
          <w:rFonts w:eastAsia="Verdana" w:cs="Verdana"/>
          <w:sz w:val="20"/>
          <w:szCs w:val="20"/>
          <w:lang w:val="en-US"/>
        </w:rPr>
        <w:t xml:space="preserve"> with the arguments </w:t>
      </w:r>
      <w:r w:rsidR="00B7258C" w:rsidRPr="00AC57EA">
        <w:rPr>
          <w:rFonts w:eastAsia="Verdana" w:cs="Verdana"/>
          <w:sz w:val="20"/>
          <w:szCs w:val="20"/>
          <w:lang w:val="en-US"/>
        </w:rPr>
        <w:t>of the Commission</w:t>
      </w:r>
      <w:r w:rsidR="00AA0646" w:rsidRPr="00AC57EA">
        <w:rPr>
          <w:rFonts w:eastAsia="Verdana" w:cs="Verdana"/>
          <w:sz w:val="20"/>
          <w:szCs w:val="20"/>
          <w:lang w:val="en-US"/>
        </w:rPr>
        <w:t xml:space="preserve">. </w:t>
      </w:r>
      <w:r w:rsidRPr="00AC57EA">
        <w:rPr>
          <w:rFonts w:eastAsia="Verdana" w:cs="Verdana"/>
          <w:sz w:val="20"/>
          <w:szCs w:val="20"/>
          <w:lang w:val="en-US"/>
        </w:rPr>
        <w:t xml:space="preserve">In addition to the rights alleged by </w:t>
      </w:r>
      <w:r w:rsidR="00B7258C" w:rsidRPr="00AC57EA">
        <w:rPr>
          <w:sz w:val="20"/>
          <w:szCs w:val="20"/>
          <w:lang w:val="en-US"/>
        </w:rPr>
        <w:t>the Commission</w:t>
      </w:r>
      <w:r w:rsidR="00AA0646" w:rsidRPr="00AC57EA">
        <w:rPr>
          <w:sz w:val="20"/>
          <w:szCs w:val="20"/>
          <w:lang w:val="en-US"/>
        </w:rPr>
        <w:t xml:space="preserve">, </w:t>
      </w:r>
      <w:r w:rsidRPr="00AC57EA">
        <w:rPr>
          <w:sz w:val="20"/>
          <w:szCs w:val="20"/>
          <w:lang w:val="en-US"/>
        </w:rPr>
        <w:t xml:space="preserve">they presented arguments on the alleged violation of freedom of conscience and religion </w:t>
      </w:r>
      <w:r w:rsidR="00AA0646" w:rsidRPr="00AC57EA">
        <w:rPr>
          <w:sz w:val="20"/>
          <w:szCs w:val="20"/>
          <w:lang w:val="en-US"/>
        </w:rPr>
        <w:t>(</w:t>
      </w:r>
      <w:r w:rsidR="00B7258C" w:rsidRPr="00AC57EA">
        <w:rPr>
          <w:sz w:val="20"/>
          <w:szCs w:val="20"/>
          <w:lang w:val="en-US"/>
        </w:rPr>
        <w:t>Article</w:t>
      </w:r>
      <w:r w:rsidR="00AA0646" w:rsidRPr="00AC57EA">
        <w:rPr>
          <w:sz w:val="20"/>
          <w:szCs w:val="20"/>
          <w:lang w:val="en-US"/>
        </w:rPr>
        <w:t xml:space="preserve"> 1</w:t>
      </w:r>
      <w:r w:rsidRPr="00AC57EA">
        <w:rPr>
          <w:sz w:val="20"/>
          <w:szCs w:val="20"/>
          <w:lang w:val="en-US"/>
        </w:rPr>
        <w:t>2(1)</w:t>
      </w:r>
      <w:r w:rsidR="00AA0646" w:rsidRPr="00AC57EA">
        <w:rPr>
          <w:sz w:val="20"/>
          <w:szCs w:val="20"/>
          <w:lang w:val="en-US"/>
        </w:rPr>
        <w:t xml:space="preserve">), </w:t>
      </w:r>
      <w:r w:rsidRPr="00AC57EA">
        <w:rPr>
          <w:sz w:val="20"/>
          <w:szCs w:val="20"/>
          <w:lang w:val="en-US"/>
        </w:rPr>
        <w:t xml:space="preserve">the right to protection of the family </w:t>
      </w:r>
      <w:r w:rsidR="00AA0646" w:rsidRPr="00AC57EA">
        <w:rPr>
          <w:sz w:val="20"/>
          <w:szCs w:val="20"/>
          <w:lang w:val="en-US"/>
        </w:rPr>
        <w:t>(</w:t>
      </w:r>
      <w:r w:rsidR="00B7258C" w:rsidRPr="00AC57EA">
        <w:rPr>
          <w:sz w:val="20"/>
          <w:szCs w:val="20"/>
          <w:lang w:val="en-US"/>
        </w:rPr>
        <w:t>Article</w:t>
      </w:r>
      <w:r w:rsidR="00AA0646" w:rsidRPr="00AC57EA">
        <w:rPr>
          <w:sz w:val="20"/>
          <w:szCs w:val="20"/>
          <w:lang w:val="en-US"/>
        </w:rPr>
        <w:t xml:space="preserve"> </w:t>
      </w:r>
      <w:r w:rsidRPr="00AC57EA">
        <w:rPr>
          <w:sz w:val="20"/>
          <w:szCs w:val="20"/>
          <w:lang w:val="en-US"/>
        </w:rPr>
        <w:t>17(1)</w:t>
      </w:r>
      <w:r w:rsidR="00AA0646" w:rsidRPr="00AC57EA">
        <w:rPr>
          <w:sz w:val="20"/>
          <w:szCs w:val="20"/>
          <w:lang w:val="en-US"/>
        </w:rPr>
        <w:t>)</w:t>
      </w:r>
      <w:r w:rsidRPr="00AC57EA">
        <w:rPr>
          <w:sz w:val="20"/>
          <w:szCs w:val="20"/>
          <w:lang w:val="en-US"/>
        </w:rPr>
        <w:t xml:space="preserve"> and the right to freedom of movement and residence </w:t>
      </w:r>
      <w:r w:rsidR="00AA0646" w:rsidRPr="00AC57EA">
        <w:rPr>
          <w:sz w:val="20"/>
          <w:szCs w:val="20"/>
          <w:lang w:val="en-US"/>
        </w:rPr>
        <w:t>(</w:t>
      </w:r>
      <w:r w:rsidR="00B7258C" w:rsidRPr="00AC57EA">
        <w:rPr>
          <w:sz w:val="20"/>
          <w:szCs w:val="20"/>
          <w:lang w:val="en-US"/>
        </w:rPr>
        <w:t>Article</w:t>
      </w:r>
      <w:r w:rsidR="00AA0646" w:rsidRPr="00AC57EA">
        <w:rPr>
          <w:sz w:val="20"/>
          <w:szCs w:val="20"/>
          <w:lang w:val="en-US"/>
        </w:rPr>
        <w:t xml:space="preserve"> 2</w:t>
      </w:r>
      <w:r w:rsidRPr="00AC57EA">
        <w:rPr>
          <w:sz w:val="20"/>
          <w:szCs w:val="20"/>
          <w:lang w:val="en-US"/>
        </w:rPr>
        <w:t>2(1)</w:t>
      </w:r>
      <w:r w:rsidR="00AA0646" w:rsidRPr="00AC57EA">
        <w:rPr>
          <w:sz w:val="20"/>
          <w:szCs w:val="20"/>
          <w:lang w:val="en-US"/>
        </w:rPr>
        <w:t xml:space="preserve">). </w:t>
      </w:r>
      <w:r w:rsidRPr="00AC57EA">
        <w:rPr>
          <w:sz w:val="20"/>
          <w:szCs w:val="20"/>
          <w:lang w:val="en-US"/>
        </w:rPr>
        <w:t>They also presented arguments regarding other a</w:t>
      </w:r>
      <w:r w:rsidR="00B7258C" w:rsidRPr="00AC57EA">
        <w:rPr>
          <w:sz w:val="20"/>
          <w:szCs w:val="20"/>
          <w:lang w:val="en-US"/>
        </w:rPr>
        <w:t>rticle</w:t>
      </w:r>
      <w:r w:rsidR="00AA0646" w:rsidRPr="00AC57EA">
        <w:rPr>
          <w:sz w:val="20"/>
          <w:szCs w:val="20"/>
          <w:lang w:val="en-US"/>
        </w:rPr>
        <w:t>s</w:t>
      </w:r>
      <w:r w:rsidR="00B7258C" w:rsidRPr="00AC57EA">
        <w:rPr>
          <w:sz w:val="20"/>
          <w:szCs w:val="20"/>
          <w:lang w:val="en-US"/>
        </w:rPr>
        <w:t xml:space="preserve"> of the </w:t>
      </w:r>
      <w:r w:rsidRPr="00AC57EA">
        <w:rPr>
          <w:sz w:val="20"/>
          <w:szCs w:val="20"/>
          <w:lang w:val="en-US"/>
        </w:rPr>
        <w:t>Convention of Belém</w:t>
      </w:r>
      <w:r w:rsidR="00AA0646" w:rsidRPr="00AC57EA">
        <w:rPr>
          <w:sz w:val="20"/>
          <w:szCs w:val="20"/>
          <w:lang w:val="en-US"/>
        </w:rPr>
        <w:t xml:space="preserve"> do Pará</w:t>
      </w:r>
      <w:r w:rsidR="00D7413D" w:rsidRPr="00AC57EA">
        <w:rPr>
          <w:sz w:val="20"/>
          <w:szCs w:val="20"/>
          <w:lang w:val="en-US"/>
        </w:rPr>
        <w:t xml:space="preserve">, </w:t>
      </w:r>
      <w:r w:rsidRPr="00AC57EA">
        <w:rPr>
          <w:sz w:val="20"/>
          <w:szCs w:val="20"/>
          <w:lang w:val="en-US"/>
        </w:rPr>
        <w:t>i</w:t>
      </w:r>
      <w:r w:rsidR="00D7413D" w:rsidRPr="00AC57EA">
        <w:rPr>
          <w:sz w:val="20"/>
          <w:szCs w:val="20"/>
          <w:lang w:val="en-US"/>
        </w:rPr>
        <w:t>n particular</w:t>
      </w:r>
      <w:r w:rsidR="00AA0646" w:rsidRPr="00AC57EA">
        <w:rPr>
          <w:sz w:val="20"/>
          <w:szCs w:val="20"/>
          <w:lang w:val="en-US"/>
        </w:rPr>
        <w:t xml:space="preserve"> </w:t>
      </w:r>
      <w:r w:rsidR="00B7258C" w:rsidRPr="00AC57EA">
        <w:rPr>
          <w:sz w:val="20"/>
          <w:szCs w:val="20"/>
          <w:lang w:val="en-US"/>
        </w:rPr>
        <w:t>Articles</w:t>
      </w:r>
      <w:r w:rsidR="00AA0646" w:rsidRPr="00AC57EA">
        <w:rPr>
          <w:sz w:val="20"/>
          <w:szCs w:val="20"/>
          <w:lang w:val="en-US"/>
        </w:rPr>
        <w:t xml:space="preserve"> 1, 2, </w:t>
      </w:r>
      <w:r w:rsidRPr="00AC57EA">
        <w:rPr>
          <w:sz w:val="20"/>
          <w:szCs w:val="20"/>
          <w:lang w:val="en-US"/>
        </w:rPr>
        <w:t>4(b) and 4(g)</w:t>
      </w:r>
      <w:r w:rsidR="00AA0646" w:rsidRPr="00AC57EA">
        <w:rPr>
          <w:sz w:val="20"/>
          <w:szCs w:val="20"/>
          <w:lang w:val="en-US"/>
        </w:rPr>
        <w:t xml:space="preserve">, </w:t>
      </w:r>
      <w:r w:rsidRPr="00AC57EA">
        <w:rPr>
          <w:sz w:val="20"/>
          <w:szCs w:val="20"/>
          <w:lang w:val="en-US"/>
        </w:rPr>
        <w:t>as well as regarding</w:t>
      </w:r>
      <w:r w:rsidR="00AA0646" w:rsidRPr="00AC57EA">
        <w:rPr>
          <w:sz w:val="20"/>
          <w:szCs w:val="20"/>
          <w:lang w:val="en-US"/>
        </w:rPr>
        <w:t xml:space="preserve"> </w:t>
      </w:r>
      <w:r w:rsidR="00B7258C" w:rsidRPr="00AC57EA">
        <w:rPr>
          <w:sz w:val="20"/>
          <w:szCs w:val="20"/>
          <w:lang w:val="en-US"/>
        </w:rPr>
        <w:t>Articles</w:t>
      </w:r>
      <w:r w:rsidR="00AA0646" w:rsidRPr="00AC57EA">
        <w:rPr>
          <w:sz w:val="20"/>
          <w:szCs w:val="20"/>
          <w:lang w:val="en-US"/>
        </w:rPr>
        <w:t xml:space="preserve"> </w:t>
      </w:r>
      <w:r w:rsidR="00A05450" w:rsidRPr="00AC57EA">
        <w:rPr>
          <w:rFonts w:cstheme="minorBidi"/>
          <w:sz w:val="20"/>
          <w:szCs w:val="20"/>
          <w:lang w:val="en-US" w:eastAsia="en-US"/>
        </w:rPr>
        <w:t>2(1), 3(1)</w:t>
      </w:r>
      <w:r w:rsidR="00CF5B77" w:rsidRPr="00AC57EA">
        <w:rPr>
          <w:rFonts w:cstheme="minorBidi"/>
          <w:sz w:val="20"/>
          <w:szCs w:val="20"/>
          <w:lang w:val="en-US" w:eastAsia="en-US"/>
        </w:rPr>
        <w:t xml:space="preserve"> and </w:t>
      </w:r>
      <w:r w:rsidR="00A05450" w:rsidRPr="00AC57EA">
        <w:rPr>
          <w:rFonts w:cstheme="minorBidi"/>
          <w:sz w:val="20"/>
          <w:szCs w:val="20"/>
          <w:lang w:val="en-US" w:eastAsia="en-US"/>
        </w:rPr>
        <w:t>(2), 4, 16, 24(1) and</w:t>
      </w:r>
      <w:r w:rsidR="00CF5B77" w:rsidRPr="00AC57EA">
        <w:rPr>
          <w:rFonts w:cstheme="minorBidi"/>
          <w:sz w:val="20"/>
          <w:szCs w:val="20"/>
          <w:lang w:val="en-US" w:eastAsia="en-US"/>
        </w:rPr>
        <w:t xml:space="preserve"> </w:t>
      </w:r>
      <w:r w:rsidR="00A05450" w:rsidRPr="00AC57EA">
        <w:rPr>
          <w:rFonts w:cstheme="minorBidi"/>
          <w:sz w:val="20"/>
          <w:szCs w:val="20"/>
          <w:lang w:val="en-US" w:eastAsia="en-US"/>
        </w:rPr>
        <w:t xml:space="preserve">(2) </w:t>
      </w:r>
      <w:r w:rsidR="00B7258C" w:rsidRPr="00AC57EA">
        <w:rPr>
          <w:sz w:val="20"/>
          <w:szCs w:val="20"/>
          <w:lang w:val="en-US"/>
        </w:rPr>
        <w:t xml:space="preserve">of the </w:t>
      </w:r>
      <w:r w:rsidRPr="00AC57EA">
        <w:rPr>
          <w:sz w:val="20"/>
          <w:szCs w:val="20"/>
          <w:lang w:val="en-US"/>
        </w:rPr>
        <w:t>Convention on the Rights of the Child</w:t>
      </w:r>
      <w:r w:rsidR="00AA0646" w:rsidRPr="00AC57EA">
        <w:rPr>
          <w:sz w:val="20"/>
          <w:szCs w:val="20"/>
          <w:lang w:val="en-US"/>
        </w:rPr>
        <w:t xml:space="preserve">. </w:t>
      </w:r>
      <w:r w:rsidR="006C37C9" w:rsidRPr="00AC57EA">
        <w:rPr>
          <w:rFonts w:eastAsia="Verdana" w:cs="Verdana"/>
          <w:sz w:val="20"/>
          <w:szCs w:val="20"/>
          <w:lang w:val="en-US"/>
        </w:rPr>
        <w:t>A</w:t>
      </w:r>
      <w:r w:rsidRPr="00AC57EA">
        <w:rPr>
          <w:rFonts w:eastAsia="Verdana" w:cs="Verdana"/>
          <w:sz w:val="20"/>
          <w:szCs w:val="20"/>
          <w:lang w:val="en-US"/>
        </w:rPr>
        <w:t xml:space="preserve">dditionally, </w:t>
      </w:r>
      <w:r w:rsidRPr="00AC57EA">
        <w:rPr>
          <w:sz w:val="20"/>
          <w:szCs w:val="20"/>
          <w:lang w:val="en-US"/>
        </w:rPr>
        <w:t>the inter-American defenders</w:t>
      </w:r>
      <w:r w:rsidR="00AA0646" w:rsidRPr="00AC57EA">
        <w:rPr>
          <w:sz w:val="20"/>
          <w:szCs w:val="20"/>
          <w:lang w:val="en-US"/>
        </w:rPr>
        <w:t xml:space="preserve"> </w:t>
      </w:r>
      <w:r w:rsidRPr="00AC57EA">
        <w:rPr>
          <w:sz w:val="20"/>
          <w:szCs w:val="20"/>
          <w:lang w:val="en-US"/>
        </w:rPr>
        <w:t xml:space="preserve">requested access to the Victims’ Legal Assistance Fund </w:t>
      </w:r>
      <w:r w:rsidR="00B7258C" w:rsidRPr="00AC57EA">
        <w:rPr>
          <w:rFonts w:eastAsia="Verdana" w:cs="Verdana"/>
          <w:sz w:val="20"/>
          <w:szCs w:val="20"/>
          <w:lang w:val="en-US"/>
        </w:rPr>
        <w:t>of the Inter-American Court</w:t>
      </w:r>
      <w:r w:rsidR="006C37C9" w:rsidRPr="00AC57EA">
        <w:rPr>
          <w:rFonts w:eastAsia="Verdana" w:cs="Verdana"/>
          <w:sz w:val="20"/>
          <w:szCs w:val="20"/>
          <w:lang w:val="en-US"/>
        </w:rPr>
        <w:t xml:space="preserve"> (</w:t>
      </w:r>
      <w:r w:rsidR="00B7258C" w:rsidRPr="00AC57EA">
        <w:rPr>
          <w:rFonts w:eastAsia="Verdana" w:cs="Verdana"/>
          <w:sz w:val="20"/>
          <w:szCs w:val="20"/>
          <w:lang w:val="en-US"/>
        </w:rPr>
        <w:t>hereinafter</w:t>
      </w:r>
      <w:r w:rsidR="006C37C9" w:rsidRPr="00AC57EA">
        <w:rPr>
          <w:rFonts w:eastAsia="Verdana" w:cs="Verdana"/>
          <w:sz w:val="20"/>
          <w:szCs w:val="20"/>
          <w:lang w:val="en-US"/>
        </w:rPr>
        <w:t xml:space="preserve"> “</w:t>
      </w:r>
      <w:r w:rsidR="00567B45" w:rsidRPr="00AC57EA">
        <w:rPr>
          <w:rFonts w:eastAsia="Verdana" w:cs="Verdana"/>
          <w:sz w:val="20"/>
          <w:szCs w:val="20"/>
          <w:lang w:val="en-US"/>
        </w:rPr>
        <w:t xml:space="preserve">the </w:t>
      </w:r>
      <w:r w:rsidRPr="00AC57EA">
        <w:rPr>
          <w:rFonts w:eastAsia="Verdana" w:cs="Verdana"/>
          <w:sz w:val="20"/>
          <w:szCs w:val="20"/>
          <w:lang w:val="en-US"/>
        </w:rPr>
        <w:t>Court’s Assistance Fund</w:t>
      </w:r>
      <w:r w:rsidR="006C37C9" w:rsidRPr="00AC57EA">
        <w:rPr>
          <w:rFonts w:eastAsia="Verdana" w:cs="Verdana"/>
          <w:sz w:val="20"/>
          <w:szCs w:val="20"/>
          <w:lang w:val="en-US"/>
        </w:rPr>
        <w:t>” o</w:t>
      </w:r>
      <w:r w:rsidRPr="00AC57EA">
        <w:rPr>
          <w:rFonts w:eastAsia="Verdana" w:cs="Verdana"/>
          <w:sz w:val="20"/>
          <w:szCs w:val="20"/>
          <w:lang w:val="en-US"/>
        </w:rPr>
        <w:t>r</w:t>
      </w:r>
      <w:r w:rsidR="006C37C9" w:rsidRPr="00AC57EA">
        <w:rPr>
          <w:rFonts w:eastAsia="Verdana" w:cs="Verdana"/>
          <w:sz w:val="20"/>
          <w:szCs w:val="20"/>
          <w:lang w:val="en-US"/>
        </w:rPr>
        <w:t xml:space="preserve"> </w:t>
      </w:r>
      <w:r w:rsidRPr="00AC57EA">
        <w:rPr>
          <w:rFonts w:eastAsia="Verdana" w:cs="Verdana"/>
          <w:sz w:val="20"/>
          <w:szCs w:val="20"/>
          <w:lang w:val="en-US"/>
        </w:rPr>
        <w:t>“the Assistance Fund</w:t>
      </w:r>
      <w:r w:rsidR="006C37C9" w:rsidRPr="00AC57EA">
        <w:rPr>
          <w:rFonts w:eastAsia="Verdana" w:cs="Verdana"/>
          <w:sz w:val="20"/>
          <w:szCs w:val="20"/>
          <w:lang w:val="en-US"/>
        </w:rPr>
        <w:t>”).</w:t>
      </w:r>
      <w:r w:rsidR="00686D6A" w:rsidRPr="00AC57EA">
        <w:rPr>
          <w:rFonts w:eastAsia="Verdana" w:cs="Verdana"/>
          <w:sz w:val="20"/>
          <w:szCs w:val="20"/>
          <w:lang w:val="en-US"/>
        </w:rPr>
        <w:t xml:space="preserve"> </w:t>
      </w:r>
      <w:r w:rsidRPr="00AC57EA">
        <w:rPr>
          <w:rFonts w:eastAsia="Verdana" w:cs="Verdana"/>
          <w:sz w:val="20"/>
          <w:szCs w:val="20"/>
          <w:lang w:val="en-US"/>
        </w:rPr>
        <w:t xml:space="preserve">Lastly, they asked the Court to </w:t>
      </w:r>
      <w:r w:rsidR="00F75187" w:rsidRPr="00AC57EA">
        <w:rPr>
          <w:rFonts w:eastAsia="Verdana" w:cs="Verdana"/>
          <w:sz w:val="20"/>
          <w:szCs w:val="20"/>
          <w:lang w:val="en-US"/>
        </w:rPr>
        <w:t>o</w:t>
      </w:r>
      <w:r w:rsidRPr="00AC57EA">
        <w:rPr>
          <w:rFonts w:eastAsia="Verdana" w:cs="Verdana"/>
          <w:sz w:val="20"/>
          <w:szCs w:val="20"/>
          <w:lang w:val="en-US"/>
        </w:rPr>
        <w:t>rder the State to adopt different measures of reparation and to reimburse certain costs and expenses.</w:t>
      </w:r>
      <w:r w:rsidR="00E60C44" w:rsidRPr="00AC57EA">
        <w:rPr>
          <w:rStyle w:val="Refdenotaalpie"/>
          <w:rFonts w:eastAsia="Verdana" w:cs="Verdana"/>
          <w:sz w:val="20"/>
          <w:szCs w:val="20"/>
          <w:lang w:val="en-US"/>
        </w:rPr>
        <w:footnoteReference w:id="8"/>
      </w:r>
    </w:p>
    <w:p w14:paraId="4B522001" w14:textId="77777777" w:rsidR="006C37C9" w:rsidRPr="00AC57EA" w:rsidRDefault="006C37C9" w:rsidP="006C37C9">
      <w:pPr>
        <w:spacing w:before="4" w:line="240" w:lineRule="auto"/>
        <w:rPr>
          <w:sz w:val="20"/>
          <w:szCs w:val="20"/>
          <w:lang w:val="en-US"/>
        </w:rPr>
      </w:pPr>
    </w:p>
    <w:p w14:paraId="28A2B3E9" w14:textId="4569BF85" w:rsidR="006C37C9" w:rsidRPr="00AC57EA" w:rsidRDefault="00F75187" w:rsidP="00C8070B">
      <w:pPr>
        <w:numPr>
          <w:ilvl w:val="0"/>
          <w:numId w:val="2"/>
        </w:numPr>
        <w:tabs>
          <w:tab w:val="left" w:pos="567"/>
          <w:tab w:val="num" w:pos="12305"/>
        </w:tabs>
        <w:spacing w:line="240" w:lineRule="auto"/>
        <w:ind w:left="0" w:firstLine="0"/>
        <w:rPr>
          <w:rFonts w:eastAsia="Verdana" w:cs="Verdana"/>
          <w:i/>
          <w:sz w:val="20"/>
          <w:szCs w:val="20"/>
          <w:lang w:val="en-US"/>
        </w:rPr>
      </w:pPr>
      <w:r w:rsidRPr="00AC57EA">
        <w:rPr>
          <w:rFonts w:eastAsia="Verdana" w:cs="Verdana"/>
          <w:i/>
          <w:sz w:val="20"/>
          <w:szCs w:val="20"/>
          <w:lang w:val="en-US"/>
        </w:rPr>
        <w:t>Answering brief</w:t>
      </w:r>
      <w:r w:rsidR="006C37C9" w:rsidRPr="00AC57EA">
        <w:rPr>
          <w:rFonts w:eastAsia="Verdana" w:cs="Verdana"/>
          <w:i/>
          <w:sz w:val="20"/>
          <w:szCs w:val="20"/>
          <w:lang w:val="en-US"/>
        </w:rPr>
        <w:t xml:space="preserve">. </w:t>
      </w:r>
      <w:r w:rsidRPr="00AC57EA">
        <w:rPr>
          <w:rFonts w:eastAsia="Verdana" w:cs="Verdana"/>
          <w:sz w:val="20"/>
          <w:szCs w:val="20"/>
          <w:lang w:val="en-US"/>
        </w:rPr>
        <w:t>On May 16,</w:t>
      </w:r>
      <w:r w:rsidR="00686D6A" w:rsidRPr="00AC57EA">
        <w:rPr>
          <w:rFonts w:eastAsia="Verdana" w:cs="Verdana"/>
          <w:sz w:val="20"/>
          <w:szCs w:val="20"/>
          <w:lang w:val="en-US"/>
        </w:rPr>
        <w:t xml:space="preserve"> 2017</w:t>
      </w:r>
      <w:r w:rsidRPr="00AC57EA">
        <w:rPr>
          <w:rFonts w:eastAsia="Verdana" w:cs="Verdana"/>
          <w:sz w:val="20"/>
          <w:szCs w:val="20"/>
          <w:lang w:val="en-US"/>
        </w:rPr>
        <w:t>,</w:t>
      </w:r>
      <w:r w:rsidR="006C37C9" w:rsidRPr="00AC57EA">
        <w:rPr>
          <w:rFonts w:eastAsia="Verdana" w:cs="Verdana"/>
          <w:sz w:val="20"/>
          <w:szCs w:val="20"/>
          <w:lang w:val="en-US"/>
        </w:rPr>
        <w:t xml:space="preserve"> </w:t>
      </w:r>
      <w:r w:rsidR="00EC52D7" w:rsidRPr="00AC57EA">
        <w:rPr>
          <w:rFonts w:eastAsia="Verdana" w:cs="Verdana"/>
          <w:sz w:val="20"/>
          <w:szCs w:val="20"/>
          <w:lang w:val="en-US"/>
        </w:rPr>
        <w:t>the State</w:t>
      </w:r>
      <w:r w:rsidR="00EB3F3D" w:rsidRPr="00AC57EA">
        <w:rPr>
          <w:rStyle w:val="Refdenotaalpie"/>
          <w:rFonts w:eastAsia="Verdana" w:cs="Verdana"/>
          <w:sz w:val="20"/>
          <w:szCs w:val="20"/>
          <w:lang w:val="en-US"/>
        </w:rPr>
        <w:footnoteReference w:id="9"/>
      </w:r>
      <w:r w:rsidR="006C37C9" w:rsidRPr="00AC57EA">
        <w:rPr>
          <w:rFonts w:eastAsia="Verdana" w:cs="Verdana"/>
          <w:sz w:val="20"/>
          <w:szCs w:val="20"/>
          <w:lang w:val="en-US"/>
        </w:rPr>
        <w:t xml:space="preserve"> </w:t>
      </w:r>
      <w:r w:rsidRPr="00AC57EA">
        <w:rPr>
          <w:rFonts w:eastAsia="Verdana" w:cs="Verdana"/>
          <w:sz w:val="20"/>
          <w:szCs w:val="20"/>
          <w:lang w:val="en-US"/>
        </w:rPr>
        <w:t>submitted to</w:t>
      </w:r>
      <w:r w:rsidR="006C37C9" w:rsidRPr="00AC57EA">
        <w:rPr>
          <w:rFonts w:eastAsia="Verdana" w:cs="Verdana"/>
          <w:sz w:val="20"/>
          <w:szCs w:val="20"/>
          <w:lang w:val="en-US"/>
        </w:rPr>
        <w:t xml:space="preserve"> </w:t>
      </w:r>
      <w:r w:rsidR="00B7258C" w:rsidRPr="00AC57EA">
        <w:rPr>
          <w:rFonts w:eastAsia="Verdana" w:cs="Verdana"/>
          <w:sz w:val="20"/>
          <w:szCs w:val="20"/>
          <w:lang w:val="en-US"/>
        </w:rPr>
        <w:t>the Court</w:t>
      </w:r>
      <w:r w:rsidR="006C37C9" w:rsidRPr="00AC57EA">
        <w:rPr>
          <w:rFonts w:eastAsia="Verdana" w:cs="Verdana"/>
          <w:sz w:val="20"/>
          <w:szCs w:val="20"/>
          <w:lang w:val="en-US"/>
        </w:rPr>
        <w:t xml:space="preserve"> </w:t>
      </w:r>
      <w:r w:rsidRPr="00AC57EA">
        <w:rPr>
          <w:rFonts w:eastAsia="Verdana" w:cs="Verdana"/>
          <w:sz w:val="20"/>
          <w:szCs w:val="20"/>
          <w:lang w:val="en-US"/>
        </w:rPr>
        <w:t xml:space="preserve">its brief answering the submission of the case in the </w:t>
      </w:r>
      <w:r w:rsidR="00B7258C" w:rsidRPr="00AC57EA">
        <w:rPr>
          <w:rFonts w:eastAsia="Verdana" w:cs="Verdana"/>
          <w:sz w:val="20"/>
          <w:szCs w:val="20"/>
          <w:lang w:val="en-US"/>
        </w:rPr>
        <w:t>Inter-American Commission</w:t>
      </w:r>
      <w:r w:rsidR="00567B45" w:rsidRPr="00AC57EA">
        <w:rPr>
          <w:rFonts w:eastAsia="Verdana" w:cs="Verdana"/>
          <w:sz w:val="20"/>
          <w:szCs w:val="20"/>
          <w:lang w:val="en-US"/>
        </w:rPr>
        <w:t>’s Merits Report</w:t>
      </w:r>
      <w:r w:rsidR="00171E27" w:rsidRPr="00AC57EA">
        <w:rPr>
          <w:rFonts w:eastAsia="Verdana" w:cs="Verdana"/>
          <w:sz w:val="20"/>
          <w:szCs w:val="20"/>
          <w:lang w:val="en-US"/>
        </w:rPr>
        <w:t xml:space="preserve"> and </w:t>
      </w:r>
      <w:r w:rsidRPr="00AC57EA">
        <w:rPr>
          <w:rFonts w:eastAsia="Verdana" w:cs="Verdana"/>
          <w:sz w:val="20"/>
          <w:szCs w:val="20"/>
          <w:lang w:val="en-US"/>
        </w:rPr>
        <w:t>the brief</w:t>
      </w:r>
      <w:r w:rsidR="00171E27" w:rsidRPr="00AC57EA">
        <w:rPr>
          <w:rFonts w:eastAsia="Verdana" w:cs="Verdana"/>
          <w:sz w:val="20"/>
          <w:szCs w:val="20"/>
          <w:lang w:val="en-US"/>
        </w:rPr>
        <w:t xml:space="preserve"> with pleadings, motions and evidence of the representatives</w:t>
      </w:r>
      <w:r w:rsidR="006C37C9" w:rsidRPr="00AC57EA">
        <w:rPr>
          <w:rFonts w:eastAsia="Verdana" w:cs="Verdana"/>
          <w:sz w:val="20"/>
          <w:szCs w:val="20"/>
          <w:lang w:val="en-US"/>
        </w:rPr>
        <w:t xml:space="preserve"> (</w:t>
      </w:r>
      <w:r w:rsidR="00B7258C" w:rsidRPr="00AC57EA">
        <w:rPr>
          <w:rFonts w:eastAsia="Verdana" w:cs="Verdana"/>
          <w:sz w:val="20"/>
          <w:szCs w:val="20"/>
          <w:lang w:val="en-US"/>
        </w:rPr>
        <w:t>hereinafter</w:t>
      </w:r>
      <w:r w:rsidR="006C37C9" w:rsidRPr="00AC57EA">
        <w:rPr>
          <w:rFonts w:eastAsia="Verdana" w:cs="Verdana"/>
          <w:sz w:val="20"/>
          <w:szCs w:val="20"/>
          <w:lang w:val="en-US"/>
        </w:rPr>
        <w:t xml:space="preserve"> “</w:t>
      </w:r>
      <w:r w:rsidRPr="00AC57EA">
        <w:rPr>
          <w:rFonts w:eastAsia="Verdana" w:cs="Verdana"/>
          <w:sz w:val="20"/>
          <w:szCs w:val="20"/>
          <w:lang w:val="en-US"/>
        </w:rPr>
        <w:t>answering brief</w:t>
      </w:r>
      <w:r w:rsidR="006C37C9" w:rsidRPr="00AC57EA">
        <w:rPr>
          <w:rFonts w:eastAsia="Verdana" w:cs="Verdana"/>
          <w:sz w:val="20"/>
          <w:szCs w:val="20"/>
          <w:lang w:val="en-US"/>
        </w:rPr>
        <w:t xml:space="preserve">”). </w:t>
      </w:r>
      <w:r w:rsidR="00DF2B30" w:rsidRPr="00AC57EA">
        <w:rPr>
          <w:rFonts w:eastAsia="Verdana" w:cs="Verdana"/>
          <w:sz w:val="20"/>
          <w:szCs w:val="20"/>
          <w:lang w:val="en-US"/>
        </w:rPr>
        <w:t xml:space="preserve">In this brief, the State filed three </w:t>
      </w:r>
      <w:r w:rsidR="00DF2B30" w:rsidRPr="00AC57EA">
        <w:rPr>
          <w:sz w:val="20"/>
          <w:szCs w:val="20"/>
          <w:lang w:val="en-US"/>
        </w:rPr>
        <w:t>preliminary objections</w:t>
      </w:r>
      <w:r w:rsidR="00171E27" w:rsidRPr="00AC57EA">
        <w:rPr>
          <w:sz w:val="20"/>
          <w:szCs w:val="20"/>
          <w:lang w:val="en-US"/>
        </w:rPr>
        <w:t xml:space="preserve"> and </w:t>
      </w:r>
      <w:r w:rsidR="00DF2B30" w:rsidRPr="00AC57EA">
        <w:rPr>
          <w:sz w:val="20"/>
          <w:szCs w:val="20"/>
          <w:lang w:val="en-US"/>
        </w:rPr>
        <w:t>argued that the State was not responsible for the presumed violation of the rights alleged by</w:t>
      </w:r>
      <w:r w:rsidR="00415D0D" w:rsidRPr="00AC57EA">
        <w:rPr>
          <w:sz w:val="20"/>
          <w:szCs w:val="20"/>
          <w:lang w:val="en-US"/>
        </w:rPr>
        <w:t xml:space="preserve"> </w:t>
      </w:r>
      <w:r w:rsidR="00B7258C" w:rsidRPr="00AC57EA">
        <w:rPr>
          <w:sz w:val="20"/>
          <w:szCs w:val="20"/>
          <w:lang w:val="en-US"/>
        </w:rPr>
        <w:t>the Commission</w:t>
      </w:r>
      <w:r w:rsidR="00171E27" w:rsidRPr="00AC57EA">
        <w:rPr>
          <w:sz w:val="20"/>
          <w:szCs w:val="20"/>
          <w:lang w:val="en-US"/>
        </w:rPr>
        <w:t xml:space="preserve"> and</w:t>
      </w:r>
      <w:r w:rsidR="00415D0D" w:rsidRPr="00AC57EA">
        <w:rPr>
          <w:sz w:val="20"/>
          <w:szCs w:val="20"/>
          <w:lang w:val="en-US"/>
        </w:rPr>
        <w:t xml:space="preserve"> </w:t>
      </w:r>
      <w:r w:rsidR="00171E27" w:rsidRPr="00AC57EA">
        <w:rPr>
          <w:sz w:val="20"/>
          <w:szCs w:val="20"/>
          <w:lang w:val="en-US"/>
        </w:rPr>
        <w:t>the representatives</w:t>
      </w:r>
      <w:r w:rsidR="00415D0D" w:rsidRPr="00AC57EA">
        <w:rPr>
          <w:sz w:val="20"/>
          <w:szCs w:val="20"/>
          <w:lang w:val="en-US"/>
        </w:rPr>
        <w:t>.</w:t>
      </w:r>
    </w:p>
    <w:p w14:paraId="04DCBA8E" w14:textId="77777777" w:rsidR="006C37C9" w:rsidRPr="00AC57EA" w:rsidRDefault="006C37C9" w:rsidP="006C37C9">
      <w:pPr>
        <w:autoSpaceDE w:val="0"/>
        <w:autoSpaceDN w:val="0"/>
        <w:spacing w:line="240" w:lineRule="auto"/>
        <w:rPr>
          <w:rFonts w:eastAsia="Verdana" w:cs="Verdana"/>
          <w:sz w:val="20"/>
          <w:szCs w:val="20"/>
          <w:lang w:val="en-US"/>
        </w:rPr>
      </w:pPr>
    </w:p>
    <w:p w14:paraId="22ED82F3" w14:textId="522439A4" w:rsidR="006C37C9" w:rsidRPr="00AC57EA" w:rsidRDefault="006C37C9" w:rsidP="00C8070B">
      <w:pPr>
        <w:numPr>
          <w:ilvl w:val="0"/>
          <w:numId w:val="2"/>
        </w:numPr>
        <w:tabs>
          <w:tab w:val="left" w:pos="567"/>
          <w:tab w:val="num" w:pos="12305"/>
        </w:tabs>
        <w:spacing w:line="240" w:lineRule="auto"/>
        <w:ind w:left="0" w:firstLine="0"/>
        <w:rPr>
          <w:rFonts w:eastAsia="Verdana" w:cs="Verdana"/>
          <w:sz w:val="20"/>
          <w:szCs w:val="20"/>
          <w:lang w:val="en-US"/>
        </w:rPr>
      </w:pPr>
      <w:r w:rsidRPr="00AC57EA">
        <w:rPr>
          <w:rFonts w:eastAsia="Verdana" w:cs="Verdana"/>
          <w:i/>
          <w:sz w:val="20"/>
          <w:szCs w:val="20"/>
          <w:lang w:val="en-US"/>
        </w:rPr>
        <w:lastRenderedPageBreak/>
        <w:t>Observa</w:t>
      </w:r>
      <w:r w:rsidR="00517CF7" w:rsidRPr="00AC57EA">
        <w:rPr>
          <w:rFonts w:eastAsia="Verdana" w:cs="Verdana"/>
          <w:i/>
          <w:sz w:val="20"/>
          <w:szCs w:val="20"/>
          <w:lang w:val="en-US"/>
        </w:rPr>
        <w:t>tions on the preli</w:t>
      </w:r>
      <w:r w:rsidR="00DF2B30" w:rsidRPr="00AC57EA">
        <w:rPr>
          <w:rFonts w:eastAsia="Verdana" w:cs="Verdana"/>
          <w:i/>
          <w:sz w:val="20"/>
          <w:szCs w:val="20"/>
          <w:lang w:val="en-US"/>
        </w:rPr>
        <w:t>minary objections</w:t>
      </w:r>
      <w:r w:rsidRPr="00AC57EA">
        <w:rPr>
          <w:rFonts w:eastAsia="Verdana" w:cs="Verdana"/>
          <w:i/>
          <w:sz w:val="20"/>
          <w:szCs w:val="20"/>
          <w:lang w:val="en-US"/>
        </w:rPr>
        <w:t xml:space="preserve">. </w:t>
      </w:r>
      <w:r w:rsidR="00517CF7" w:rsidRPr="00AC57EA">
        <w:rPr>
          <w:rFonts w:eastAsia="Verdana" w:cs="Verdana"/>
          <w:iCs/>
          <w:sz w:val="20"/>
          <w:szCs w:val="20"/>
          <w:lang w:val="en-US"/>
        </w:rPr>
        <w:t>On July</w:t>
      </w:r>
      <w:r w:rsidRPr="00AC57EA">
        <w:rPr>
          <w:rFonts w:eastAsia="Verdana" w:cs="Verdana"/>
          <w:sz w:val="20"/>
          <w:szCs w:val="20"/>
          <w:lang w:val="en-US"/>
        </w:rPr>
        <w:t xml:space="preserve"> </w:t>
      </w:r>
      <w:r w:rsidR="002C2972" w:rsidRPr="00AC57EA">
        <w:rPr>
          <w:rFonts w:eastAsia="Verdana" w:cs="Verdana"/>
          <w:sz w:val="20"/>
          <w:szCs w:val="20"/>
          <w:lang w:val="en-US"/>
        </w:rPr>
        <w:t>5</w:t>
      </w:r>
      <w:r w:rsidR="00171E27" w:rsidRPr="00AC57EA">
        <w:rPr>
          <w:rFonts w:eastAsia="Verdana" w:cs="Verdana"/>
          <w:sz w:val="20"/>
          <w:szCs w:val="20"/>
          <w:lang w:val="en-US"/>
        </w:rPr>
        <w:t xml:space="preserve"> and </w:t>
      </w:r>
      <w:r w:rsidR="002C2972" w:rsidRPr="00AC57EA">
        <w:rPr>
          <w:rFonts w:eastAsia="Verdana" w:cs="Verdana"/>
          <w:sz w:val="20"/>
          <w:szCs w:val="20"/>
          <w:lang w:val="en-US"/>
        </w:rPr>
        <w:t>6</w:t>
      </w:r>
      <w:r w:rsidR="00517CF7" w:rsidRPr="00AC57EA">
        <w:rPr>
          <w:rFonts w:eastAsia="Verdana" w:cs="Verdana"/>
          <w:sz w:val="20"/>
          <w:szCs w:val="20"/>
          <w:lang w:val="en-US"/>
        </w:rPr>
        <w:t xml:space="preserve">, </w:t>
      </w:r>
      <w:r w:rsidRPr="00AC57EA">
        <w:rPr>
          <w:rFonts w:eastAsia="Verdana" w:cs="Verdana"/>
          <w:sz w:val="20"/>
          <w:szCs w:val="20"/>
          <w:lang w:val="en-US"/>
        </w:rPr>
        <w:t>201</w:t>
      </w:r>
      <w:r w:rsidR="002C2972" w:rsidRPr="00AC57EA">
        <w:rPr>
          <w:rFonts w:eastAsia="Verdana" w:cs="Verdana"/>
          <w:sz w:val="20"/>
          <w:szCs w:val="20"/>
          <w:lang w:val="en-US"/>
        </w:rPr>
        <w:t>7</w:t>
      </w:r>
      <w:r w:rsidR="00517CF7" w:rsidRPr="00AC57EA">
        <w:rPr>
          <w:rFonts w:eastAsia="Verdana" w:cs="Verdana"/>
          <w:sz w:val="20"/>
          <w:szCs w:val="20"/>
          <w:lang w:val="en-US"/>
        </w:rPr>
        <w:t>,</w:t>
      </w:r>
      <w:r w:rsidRPr="00AC57EA">
        <w:rPr>
          <w:rFonts w:eastAsia="Verdana" w:cs="Verdana"/>
          <w:sz w:val="20"/>
          <w:szCs w:val="20"/>
          <w:lang w:val="en-US"/>
        </w:rPr>
        <w:t xml:space="preserve"> </w:t>
      </w:r>
      <w:r w:rsidR="00B7258C" w:rsidRPr="00AC57EA">
        <w:rPr>
          <w:rFonts w:eastAsia="Verdana" w:cs="Verdana"/>
          <w:sz w:val="20"/>
          <w:szCs w:val="20"/>
          <w:lang w:val="en-US"/>
        </w:rPr>
        <w:t>the Commission</w:t>
      </w:r>
      <w:r w:rsidR="00171E27" w:rsidRPr="00AC57EA">
        <w:rPr>
          <w:rFonts w:eastAsia="Verdana" w:cs="Verdana"/>
          <w:sz w:val="20"/>
          <w:szCs w:val="20"/>
          <w:lang w:val="en-US"/>
        </w:rPr>
        <w:t xml:space="preserve"> and the representatives</w:t>
      </w:r>
      <w:r w:rsidR="00517CF7" w:rsidRPr="00AC57EA">
        <w:rPr>
          <w:rFonts w:eastAsia="Verdana" w:cs="Verdana"/>
          <w:sz w:val="20"/>
          <w:szCs w:val="20"/>
          <w:lang w:val="en-US"/>
        </w:rPr>
        <w:t xml:space="preserve">, respectively, presented their observations on the </w:t>
      </w:r>
      <w:r w:rsidR="00DF2B30" w:rsidRPr="00AC57EA">
        <w:rPr>
          <w:rFonts w:eastAsia="Verdana" w:cs="Verdana"/>
          <w:sz w:val="20"/>
          <w:szCs w:val="20"/>
          <w:lang w:val="en-US"/>
        </w:rPr>
        <w:t>preliminary objections</w:t>
      </w:r>
      <w:r w:rsidRPr="00AC57EA">
        <w:rPr>
          <w:rFonts w:eastAsia="Verdana" w:cs="Verdana"/>
          <w:sz w:val="20"/>
          <w:szCs w:val="20"/>
          <w:lang w:val="en-US"/>
        </w:rPr>
        <w:t xml:space="preserve"> </w:t>
      </w:r>
      <w:r w:rsidR="00517CF7" w:rsidRPr="00AC57EA">
        <w:rPr>
          <w:rFonts w:eastAsia="Verdana" w:cs="Verdana"/>
          <w:sz w:val="20"/>
          <w:szCs w:val="20"/>
          <w:lang w:val="en-US"/>
        </w:rPr>
        <w:t xml:space="preserve">filed by the </w:t>
      </w:r>
      <w:r w:rsidR="00EC52D7" w:rsidRPr="00AC57EA">
        <w:rPr>
          <w:rFonts w:eastAsia="Verdana" w:cs="Verdana"/>
          <w:sz w:val="20"/>
          <w:szCs w:val="20"/>
          <w:lang w:val="en-US"/>
        </w:rPr>
        <w:t>State</w:t>
      </w:r>
      <w:r w:rsidRPr="00AC57EA">
        <w:rPr>
          <w:rFonts w:eastAsia="Verdana" w:cs="Verdana"/>
          <w:sz w:val="20"/>
          <w:szCs w:val="20"/>
          <w:lang w:val="en-US"/>
        </w:rPr>
        <w:t>.</w:t>
      </w:r>
      <w:r w:rsidR="000070CB" w:rsidRPr="00AC57EA">
        <w:rPr>
          <w:rFonts w:eastAsia="Verdana" w:cs="Verdana"/>
          <w:sz w:val="20"/>
          <w:szCs w:val="20"/>
          <w:lang w:val="en-US"/>
        </w:rPr>
        <w:t xml:space="preserve"> </w:t>
      </w:r>
      <w:r w:rsidR="00171E27" w:rsidRPr="00AC57EA">
        <w:rPr>
          <w:rFonts w:eastAsia="Verdana" w:cs="Verdana"/>
          <w:sz w:val="20"/>
          <w:szCs w:val="20"/>
          <w:lang w:val="en-US"/>
        </w:rPr>
        <w:t>The representatives</w:t>
      </w:r>
      <w:r w:rsidR="000070CB" w:rsidRPr="00AC57EA">
        <w:rPr>
          <w:rFonts w:eastAsia="Verdana" w:cs="Verdana"/>
          <w:sz w:val="20"/>
          <w:szCs w:val="20"/>
          <w:lang w:val="en-US"/>
        </w:rPr>
        <w:t xml:space="preserve"> </w:t>
      </w:r>
      <w:r w:rsidR="00517CF7" w:rsidRPr="00AC57EA">
        <w:rPr>
          <w:rFonts w:eastAsia="Verdana" w:cs="Verdana"/>
          <w:sz w:val="20"/>
          <w:szCs w:val="20"/>
          <w:lang w:val="en-US"/>
        </w:rPr>
        <w:t xml:space="preserve">also referred to other aspects of the State’s </w:t>
      </w:r>
      <w:r w:rsidR="00F75187" w:rsidRPr="00AC57EA">
        <w:rPr>
          <w:rFonts w:eastAsia="Verdana" w:cs="Verdana"/>
          <w:sz w:val="20"/>
          <w:szCs w:val="20"/>
          <w:lang w:val="en-US"/>
        </w:rPr>
        <w:t>answering brief</w:t>
      </w:r>
      <w:r w:rsidR="00517CF7" w:rsidRPr="00AC57EA">
        <w:rPr>
          <w:rFonts w:eastAsia="Verdana" w:cs="Verdana"/>
          <w:sz w:val="20"/>
          <w:szCs w:val="20"/>
          <w:lang w:val="en-US"/>
        </w:rPr>
        <w:t xml:space="preserve">, </w:t>
      </w:r>
      <w:r w:rsidR="00567B45" w:rsidRPr="00AC57EA">
        <w:rPr>
          <w:rFonts w:eastAsia="Verdana" w:cs="Verdana"/>
          <w:sz w:val="20"/>
          <w:szCs w:val="20"/>
          <w:lang w:val="en-US"/>
        </w:rPr>
        <w:t xml:space="preserve">although this </w:t>
      </w:r>
      <w:r w:rsidR="00517CF7" w:rsidRPr="00AC57EA">
        <w:rPr>
          <w:rFonts w:eastAsia="Verdana" w:cs="Verdana"/>
          <w:sz w:val="20"/>
          <w:szCs w:val="20"/>
          <w:lang w:val="en-US"/>
        </w:rPr>
        <w:t>had not been requested. In addition</w:t>
      </w:r>
      <w:r w:rsidR="000070CB" w:rsidRPr="00AC57EA">
        <w:rPr>
          <w:rFonts w:eastAsia="Verdana" w:cs="Verdana"/>
          <w:sz w:val="20"/>
          <w:szCs w:val="20"/>
          <w:lang w:val="en-US"/>
        </w:rPr>
        <w:t xml:space="preserve">, </w:t>
      </w:r>
      <w:r w:rsidR="00171E27" w:rsidRPr="00AC57EA">
        <w:rPr>
          <w:rFonts w:eastAsia="Verdana" w:cs="Verdana"/>
          <w:sz w:val="20"/>
          <w:szCs w:val="20"/>
          <w:lang w:val="en-US"/>
        </w:rPr>
        <w:t>the representatives</w:t>
      </w:r>
      <w:r w:rsidR="000070CB" w:rsidRPr="00AC57EA">
        <w:rPr>
          <w:rFonts w:eastAsia="Verdana" w:cs="Verdana"/>
          <w:sz w:val="20"/>
          <w:szCs w:val="20"/>
          <w:lang w:val="en-US"/>
        </w:rPr>
        <w:t xml:space="preserve"> </w:t>
      </w:r>
      <w:r w:rsidR="00517CF7" w:rsidRPr="00AC57EA">
        <w:rPr>
          <w:rFonts w:eastAsia="Verdana" w:cs="Verdana"/>
          <w:sz w:val="20"/>
          <w:szCs w:val="20"/>
          <w:lang w:val="en-US"/>
        </w:rPr>
        <w:t xml:space="preserve">contested certain evidence offered by </w:t>
      </w:r>
      <w:r w:rsidR="00EC52D7" w:rsidRPr="00AC57EA">
        <w:rPr>
          <w:rFonts w:eastAsia="Verdana" w:cs="Verdana"/>
          <w:sz w:val="20"/>
          <w:szCs w:val="20"/>
          <w:lang w:val="en-US"/>
        </w:rPr>
        <w:t>the State</w:t>
      </w:r>
      <w:r w:rsidR="000070CB" w:rsidRPr="00AC57EA">
        <w:rPr>
          <w:rFonts w:eastAsia="Verdana" w:cs="Verdana"/>
          <w:sz w:val="20"/>
          <w:szCs w:val="20"/>
          <w:lang w:val="en-US"/>
        </w:rPr>
        <w:t>.</w:t>
      </w:r>
    </w:p>
    <w:p w14:paraId="0CC561F2" w14:textId="77777777" w:rsidR="006C37C9" w:rsidRPr="00AC57EA" w:rsidRDefault="006C37C9" w:rsidP="006C37C9">
      <w:pPr>
        <w:autoSpaceDE w:val="0"/>
        <w:autoSpaceDN w:val="0"/>
        <w:spacing w:line="240" w:lineRule="auto"/>
        <w:rPr>
          <w:rFonts w:eastAsia="Verdana" w:cs="Verdana"/>
          <w:sz w:val="20"/>
          <w:szCs w:val="20"/>
          <w:lang w:val="en-US"/>
        </w:rPr>
      </w:pPr>
    </w:p>
    <w:p w14:paraId="0B4B4733" w14:textId="2D8BC5B8" w:rsidR="006C37C9" w:rsidRPr="00AC57EA" w:rsidRDefault="00517CF7" w:rsidP="00517CF7">
      <w:pPr>
        <w:numPr>
          <w:ilvl w:val="0"/>
          <w:numId w:val="2"/>
        </w:numPr>
        <w:tabs>
          <w:tab w:val="left" w:pos="567"/>
          <w:tab w:val="num" w:pos="12305"/>
        </w:tabs>
        <w:spacing w:line="240" w:lineRule="auto"/>
        <w:ind w:left="0" w:firstLine="0"/>
        <w:rPr>
          <w:rFonts w:eastAsia="Verdana" w:cs="Verdana"/>
          <w:sz w:val="20"/>
          <w:szCs w:val="20"/>
          <w:lang w:val="en-US"/>
        </w:rPr>
      </w:pPr>
      <w:r w:rsidRPr="00AC57EA">
        <w:rPr>
          <w:rFonts w:eastAsia="Verdana" w:cs="Verdana"/>
          <w:i/>
          <w:position w:val="-1"/>
          <w:sz w:val="20"/>
          <w:szCs w:val="20"/>
          <w:lang w:val="en-US"/>
        </w:rPr>
        <w:t>Public hearing.</w:t>
      </w:r>
      <w:r w:rsidR="006C37C9" w:rsidRPr="00AC57EA">
        <w:rPr>
          <w:rFonts w:eastAsia="Verdana" w:cs="Verdana"/>
          <w:i/>
          <w:position w:val="-1"/>
          <w:sz w:val="20"/>
          <w:szCs w:val="20"/>
          <w:lang w:val="en-US"/>
        </w:rPr>
        <w:t xml:space="preserve"> </w:t>
      </w:r>
      <w:r w:rsidRPr="00AC57EA">
        <w:rPr>
          <w:rFonts w:eastAsia="Verdana" w:cs="Verdana"/>
          <w:position w:val="-1"/>
          <w:sz w:val="20"/>
          <w:szCs w:val="20"/>
          <w:lang w:val="en-US"/>
        </w:rPr>
        <w:t xml:space="preserve">In an order of September 21, </w:t>
      </w:r>
      <w:r w:rsidR="002C2972" w:rsidRPr="00AC57EA">
        <w:rPr>
          <w:rFonts w:eastAsia="Verdana" w:cs="Verdana"/>
          <w:position w:val="-1"/>
          <w:sz w:val="20"/>
          <w:szCs w:val="20"/>
          <w:lang w:val="en-US"/>
        </w:rPr>
        <w:t>2017</w:t>
      </w:r>
      <w:r w:rsidRPr="00AC57EA">
        <w:rPr>
          <w:rFonts w:eastAsia="Verdana" w:cs="Verdana"/>
          <w:position w:val="-1"/>
          <w:sz w:val="20"/>
          <w:szCs w:val="20"/>
          <w:lang w:val="en-US"/>
        </w:rPr>
        <w:t>,</w:t>
      </w:r>
      <w:r w:rsidR="006C37C9" w:rsidRPr="00AC57EA">
        <w:rPr>
          <w:rStyle w:val="Refdenotaalpie"/>
          <w:rFonts w:eastAsia="Verdana" w:cs="Verdana"/>
          <w:position w:val="-1"/>
          <w:sz w:val="20"/>
          <w:szCs w:val="20"/>
          <w:lang w:val="en-US"/>
        </w:rPr>
        <w:footnoteReference w:id="10"/>
      </w:r>
      <w:r w:rsidR="006C37C9" w:rsidRPr="00AC57EA">
        <w:rPr>
          <w:rFonts w:eastAsia="Verdana" w:cs="Verdana"/>
          <w:position w:val="-1"/>
          <w:sz w:val="20"/>
          <w:szCs w:val="20"/>
          <w:lang w:val="en-US"/>
        </w:rPr>
        <w:t xml:space="preserve"> </w:t>
      </w:r>
      <w:r w:rsidR="00B7258C" w:rsidRPr="00AC57EA">
        <w:rPr>
          <w:rFonts w:eastAsia="Verdana" w:cs="Verdana"/>
          <w:position w:val="-1"/>
          <w:sz w:val="20"/>
          <w:szCs w:val="20"/>
          <w:lang w:val="en-US"/>
        </w:rPr>
        <w:t>the President</w:t>
      </w:r>
      <w:r w:rsidR="006C37C9" w:rsidRPr="00AC57EA">
        <w:rPr>
          <w:rFonts w:eastAsia="Verdana" w:cs="Verdana"/>
          <w:position w:val="-1"/>
          <w:sz w:val="20"/>
          <w:szCs w:val="20"/>
          <w:lang w:val="en-US"/>
        </w:rPr>
        <w:t xml:space="preserve"> c</w:t>
      </w:r>
      <w:r w:rsidRPr="00AC57EA">
        <w:rPr>
          <w:rFonts w:eastAsia="Verdana" w:cs="Verdana"/>
          <w:position w:val="-1"/>
          <w:sz w:val="20"/>
          <w:szCs w:val="20"/>
          <w:lang w:val="en-US"/>
        </w:rPr>
        <w:t xml:space="preserve">alled the parties and </w:t>
      </w:r>
      <w:r w:rsidR="00B7258C" w:rsidRPr="00AC57EA">
        <w:rPr>
          <w:rFonts w:eastAsia="Verdana" w:cs="Verdana"/>
          <w:position w:val="-1"/>
          <w:sz w:val="20"/>
          <w:szCs w:val="20"/>
          <w:lang w:val="en-US"/>
        </w:rPr>
        <w:t>the Inter-American Commission</w:t>
      </w:r>
      <w:r w:rsidR="006C37C9" w:rsidRPr="00AC57EA">
        <w:rPr>
          <w:rFonts w:eastAsia="Verdana" w:cs="Verdana"/>
          <w:position w:val="-1"/>
          <w:sz w:val="20"/>
          <w:szCs w:val="20"/>
          <w:lang w:val="en-US"/>
        </w:rPr>
        <w:t xml:space="preserve"> </w:t>
      </w:r>
      <w:r w:rsidRPr="00AC57EA">
        <w:rPr>
          <w:rFonts w:eastAsia="Verdana" w:cs="Verdana"/>
          <w:position w:val="-1"/>
          <w:sz w:val="20"/>
          <w:szCs w:val="20"/>
          <w:lang w:val="en-US"/>
        </w:rPr>
        <w:t>to a</w:t>
      </w:r>
      <w:r w:rsidR="006C37C9" w:rsidRPr="00AC57EA">
        <w:rPr>
          <w:rFonts w:eastAsia="Verdana" w:cs="Verdana"/>
          <w:position w:val="-1"/>
          <w:sz w:val="20"/>
          <w:szCs w:val="20"/>
          <w:lang w:val="en-US"/>
        </w:rPr>
        <w:t xml:space="preserve"> </w:t>
      </w:r>
      <w:r w:rsidRPr="00AC57EA">
        <w:rPr>
          <w:rFonts w:eastAsia="Verdana" w:cs="Verdana"/>
          <w:position w:val="-1"/>
          <w:sz w:val="20"/>
          <w:szCs w:val="20"/>
          <w:lang w:val="en-US"/>
        </w:rPr>
        <w:t>public hearing</w:t>
      </w:r>
      <w:r w:rsidR="006C37C9" w:rsidRPr="00AC57EA">
        <w:rPr>
          <w:rFonts w:eastAsia="Verdana" w:cs="Verdana"/>
          <w:position w:val="-1"/>
          <w:sz w:val="20"/>
          <w:szCs w:val="20"/>
          <w:lang w:val="en-US"/>
        </w:rPr>
        <w:t xml:space="preserve"> </w:t>
      </w:r>
      <w:r w:rsidRPr="00AC57EA">
        <w:rPr>
          <w:rFonts w:eastAsia="Verdana" w:cs="Verdana"/>
          <w:position w:val="-1"/>
          <w:sz w:val="20"/>
          <w:szCs w:val="20"/>
          <w:lang w:val="en-US"/>
        </w:rPr>
        <w:t xml:space="preserve">to receive their final oral arguments and observations on the </w:t>
      </w:r>
      <w:r w:rsidR="00DF2B30" w:rsidRPr="00AC57EA">
        <w:rPr>
          <w:rFonts w:eastAsia="Verdana" w:cs="Verdana"/>
          <w:position w:val="-1"/>
          <w:sz w:val="20"/>
          <w:szCs w:val="20"/>
          <w:lang w:val="en-US"/>
        </w:rPr>
        <w:t>preliminary objections</w:t>
      </w:r>
      <w:r w:rsidR="00171E27" w:rsidRPr="00AC57EA">
        <w:rPr>
          <w:rFonts w:eastAsia="Verdana" w:cs="Verdana"/>
          <w:position w:val="-1"/>
          <w:sz w:val="20"/>
          <w:szCs w:val="20"/>
          <w:lang w:val="en-US"/>
        </w:rPr>
        <w:t xml:space="preserve"> and </w:t>
      </w:r>
      <w:r w:rsidR="006C37C9" w:rsidRPr="00AC57EA">
        <w:rPr>
          <w:rFonts w:eastAsia="Verdana" w:cs="Verdana"/>
          <w:position w:val="-1"/>
          <w:sz w:val="20"/>
          <w:szCs w:val="20"/>
          <w:lang w:val="en-US"/>
        </w:rPr>
        <w:t xml:space="preserve">eventual </w:t>
      </w:r>
      <w:r w:rsidR="00B7258C" w:rsidRPr="00AC57EA">
        <w:rPr>
          <w:rFonts w:eastAsia="Verdana" w:cs="Verdana"/>
          <w:position w:val="-1"/>
          <w:sz w:val="20"/>
          <w:szCs w:val="20"/>
          <w:lang w:val="en-US"/>
        </w:rPr>
        <w:t>merits, reparations and costs</w:t>
      </w:r>
      <w:r w:rsidR="006C37C9" w:rsidRPr="00AC57EA">
        <w:rPr>
          <w:rFonts w:eastAsia="Verdana" w:cs="Verdana"/>
          <w:position w:val="-1"/>
          <w:sz w:val="20"/>
          <w:szCs w:val="20"/>
          <w:lang w:val="en-US"/>
        </w:rPr>
        <w:t xml:space="preserve">, </w:t>
      </w:r>
      <w:r w:rsidRPr="00AC57EA">
        <w:rPr>
          <w:rFonts w:eastAsia="Verdana" w:cs="Verdana"/>
          <w:position w:val="-1"/>
          <w:sz w:val="20"/>
          <w:szCs w:val="20"/>
          <w:lang w:val="en-US"/>
        </w:rPr>
        <w:t xml:space="preserve">and also to receive the statements of two presumed victims, one expert witness proposed by </w:t>
      </w:r>
      <w:r w:rsidR="00171E27" w:rsidRPr="00AC57EA">
        <w:rPr>
          <w:rFonts w:eastAsia="Verdana" w:cs="Verdana"/>
          <w:position w:val="-1"/>
          <w:sz w:val="20"/>
          <w:szCs w:val="20"/>
          <w:lang w:val="en-US"/>
        </w:rPr>
        <w:t xml:space="preserve">the representatives and </w:t>
      </w:r>
      <w:r w:rsidRPr="00AC57EA">
        <w:rPr>
          <w:rFonts w:eastAsia="Verdana" w:cs="Verdana"/>
          <w:position w:val="-1"/>
          <w:sz w:val="20"/>
          <w:szCs w:val="20"/>
          <w:lang w:val="en-US"/>
        </w:rPr>
        <w:t xml:space="preserve">one expert witness proposed by </w:t>
      </w:r>
      <w:r w:rsidR="00B7258C" w:rsidRPr="00AC57EA">
        <w:rPr>
          <w:rFonts w:eastAsia="Verdana" w:cs="Verdana"/>
          <w:position w:val="-1"/>
          <w:sz w:val="20"/>
          <w:szCs w:val="20"/>
          <w:lang w:val="en-US"/>
        </w:rPr>
        <w:t>the Commission</w:t>
      </w:r>
      <w:r w:rsidR="006C37C9" w:rsidRPr="00AC57EA">
        <w:rPr>
          <w:rFonts w:eastAsia="Verdana" w:cs="Verdana"/>
          <w:position w:val="-1"/>
          <w:sz w:val="20"/>
          <w:szCs w:val="20"/>
          <w:lang w:val="en-US"/>
        </w:rPr>
        <w:t xml:space="preserve">. </w:t>
      </w:r>
      <w:r w:rsidRPr="00AC57EA">
        <w:rPr>
          <w:rFonts w:eastAsia="Verdana" w:cs="Verdana"/>
          <w:sz w:val="20"/>
          <w:szCs w:val="20"/>
          <w:lang w:val="en-US"/>
        </w:rPr>
        <w:t>The</w:t>
      </w:r>
      <w:r w:rsidR="006C37C9" w:rsidRPr="00AC57EA">
        <w:rPr>
          <w:rFonts w:eastAsia="Verdana" w:cs="Verdana"/>
          <w:sz w:val="20"/>
          <w:szCs w:val="20"/>
          <w:lang w:val="en-US"/>
        </w:rPr>
        <w:t xml:space="preserve"> </w:t>
      </w:r>
      <w:r w:rsidRPr="00AC57EA">
        <w:rPr>
          <w:rFonts w:eastAsia="Verdana" w:cs="Verdana"/>
          <w:sz w:val="20"/>
          <w:szCs w:val="20"/>
          <w:lang w:val="en-US"/>
        </w:rPr>
        <w:t>public hearing</w:t>
      </w:r>
      <w:r w:rsidR="006C37C9" w:rsidRPr="00AC57EA">
        <w:rPr>
          <w:rFonts w:eastAsia="Verdana" w:cs="Verdana"/>
          <w:sz w:val="20"/>
          <w:szCs w:val="20"/>
          <w:lang w:val="en-US"/>
        </w:rPr>
        <w:t xml:space="preserve"> </w:t>
      </w:r>
      <w:r w:rsidR="00567B45" w:rsidRPr="00AC57EA">
        <w:rPr>
          <w:rFonts w:eastAsia="Verdana" w:cs="Verdana"/>
          <w:sz w:val="20"/>
          <w:szCs w:val="20"/>
          <w:lang w:val="en-US"/>
        </w:rPr>
        <w:t>took place</w:t>
      </w:r>
      <w:r w:rsidRPr="00AC57EA">
        <w:rPr>
          <w:rFonts w:eastAsia="Verdana" w:cs="Verdana"/>
          <w:sz w:val="20"/>
          <w:szCs w:val="20"/>
          <w:lang w:val="en-US"/>
        </w:rPr>
        <w:t xml:space="preserve"> on October </w:t>
      </w:r>
      <w:r w:rsidR="002C2972" w:rsidRPr="00AC57EA">
        <w:rPr>
          <w:rFonts w:eastAsia="Verdana" w:cs="Verdana"/>
          <w:sz w:val="20"/>
          <w:szCs w:val="20"/>
          <w:lang w:val="en-US"/>
        </w:rPr>
        <w:t>16</w:t>
      </w:r>
      <w:r w:rsidR="00171E27" w:rsidRPr="00AC57EA">
        <w:rPr>
          <w:rFonts w:eastAsia="Verdana" w:cs="Verdana"/>
          <w:sz w:val="20"/>
          <w:szCs w:val="20"/>
          <w:lang w:val="en-US"/>
        </w:rPr>
        <w:t xml:space="preserve"> and </w:t>
      </w:r>
      <w:r w:rsidR="002C2972" w:rsidRPr="00AC57EA">
        <w:rPr>
          <w:rFonts w:eastAsia="Verdana" w:cs="Verdana"/>
          <w:sz w:val="20"/>
          <w:szCs w:val="20"/>
          <w:lang w:val="en-US"/>
        </w:rPr>
        <w:t>17</w:t>
      </w:r>
      <w:r w:rsidRPr="00AC57EA">
        <w:rPr>
          <w:rFonts w:eastAsia="Verdana" w:cs="Verdana"/>
          <w:sz w:val="20"/>
          <w:szCs w:val="20"/>
          <w:lang w:val="en-US"/>
        </w:rPr>
        <w:t xml:space="preserve">, </w:t>
      </w:r>
      <w:r w:rsidR="002C2972" w:rsidRPr="00AC57EA">
        <w:rPr>
          <w:rFonts w:eastAsia="Verdana" w:cs="Verdana"/>
          <w:sz w:val="20"/>
          <w:szCs w:val="20"/>
          <w:lang w:val="en-US"/>
        </w:rPr>
        <w:t>2017</w:t>
      </w:r>
      <w:r w:rsidR="006C37C9" w:rsidRPr="00AC57EA">
        <w:rPr>
          <w:rFonts w:eastAsia="Verdana" w:cs="Verdana"/>
          <w:sz w:val="20"/>
          <w:szCs w:val="20"/>
          <w:lang w:val="en-US"/>
        </w:rPr>
        <w:t>,</w:t>
      </w:r>
      <w:r w:rsidRPr="00AC57EA">
        <w:rPr>
          <w:rFonts w:eastAsia="Verdana" w:cs="Verdana"/>
          <w:sz w:val="20"/>
          <w:szCs w:val="20"/>
          <w:lang w:val="en-US"/>
        </w:rPr>
        <w:t xml:space="preserve"> during the fifty-eight special session of the Court held in Panama City, Republic of </w:t>
      </w:r>
      <w:r w:rsidR="000F2A01" w:rsidRPr="00AC57EA">
        <w:rPr>
          <w:rFonts w:eastAsia="Verdana" w:cs="Verdana"/>
          <w:sz w:val="20"/>
          <w:szCs w:val="20"/>
          <w:lang w:val="en-US"/>
        </w:rPr>
        <w:t>Panama</w:t>
      </w:r>
      <w:r w:rsidRPr="00AC57EA">
        <w:rPr>
          <w:rFonts w:eastAsia="Verdana" w:cs="Verdana"/>
          <w:sz w:val="20"/>
          <w:szCs w:val="20"/>
          <w:lang w:val="en-US"/>
        </w:rPr>
        <w:t>.</w:t>
      </w:r>
      <w:r w:rsidR="006C37C9" w:rsidRPr="00AC57EA">
        <w:rPr>
          <w:rStyle w:val="Refdenotaalpie"/>
          <w:rFonts w:eastAsia="Verdana" w:cs="Verdana"/>
          <w:sz w:val="20"/>
          <w:szCs w:val="20"/>
          <w:lang w:val="en-US"/>
        </w:rPr>
        <w:footnoteReference w:id="11"/>
      </w:r>
      <w:r w:rsidR="006C37C9" w:rsidRPr="00AC57EA">
        <w:rPr>
          <w:rFonts w:eastAsia="Verdana" w:cs="Verdana"/>
          <w:sz w:val="20"/>
          <w:szCs w:val="20"/>
          <w:lang w:val="en-US"/>
        </w:rPr>
        <w:t xml:space="preserve"> </w:t>
      </w:r>
      <w:r w:rsidRPr="00AC57EA">
        <w:rPr>
          <w:rFonts w:eastAsia="Verdana" w:cs="Verdana"/>
          <w:sz w:val="20"/>
          <w:szCs w:val="20"/>
          <w:lang w:val="en-US"/>
        </w:rPr>
        <w:t>Before the</w:t>
      </w:r>
      <w:r w:rsidR="0093300A" w:rsidRPr="00AC57EA">
        <w:rPr>
          <w:sz w:val="20"/>
          <w:lang w:val="en-US"/>
        </w:rPr>
        <w:t xml:space="preserve"> </w:t>
      </w:r>
      <w:r w:rsidRPr="00AC57EA">
        <w:rPr>
          <w:sz w:val="20"/>
          <w:lang w:val="en-US"/>
        </w:rPr>
        <w:t xml:space="preserve">public hearing began, the statement of </w:t>
      </w:r>
      <w:r w:rsidR="0093300A" w:rsidRPr="00AC57EA">
        <w:rPr>
          <w:sz w:val="20"/>
          <w:lang w:val="en-US"/>
        </w:rPr>
        <w:t xml:space="preserve"> V.R.P.</w:t>
      </w:r>
      <w:r w:rsidRPr="00AC57EA">
        <w:rPr>
          <w:sz w:val="20"/>
          <w:lang w:val="en-US"/>
        </w:rPr>
        <w:t xml:space="preserve"> was received in private, with only the parties to the case, </w:t>
      </w:r>
      <w:r w:rsidR="00B7258C" w:rsidRPr="00AC57EA">
        <w:rPr>
          <w:sz w:val="20"/>
          <w:lang w:val="en-US"/>
        </w:rPr>
        <w:t>the Inter-American Commission</w:t>
      </w:r>
      <w:r w:rsidR="00567B45" w:rsidRPr="00AC57EA">
        <w:rPr>
          <w:sz w:val="20"/>
          <w:lang w:val="en-US"/>
        </w:rPr>
        <w:t>,</w:t>
      </w:r>
      <w:r w:rsidR="00171E27" w:rsidRPr="00AC57EA">
        <w:rPr>
          <w:sz w:val="20"/>
          <w:lang w:val="en-US"/>
        </w:rPr>
        <w:t xml:space="preserve"> and </w:t>
      </w:r>
      <w:r w:rsidRPr="00AC57EA">
        <w:rPr>
          <w:sz w:val="20"/>
          <w:lang w:val="en-US"/>
        </w:rPr>
        <w:t xml:space="preserve">the Secretariat staff essential for the implementation of this procedure. Once this statement and the questions of the parties had concluded, the public part of the hearing continued, during which the Court received the statements of </w:t>
      </w:r>
      <w:r w:rsidRPr="00AC57EA">
        <w:rPr>
          <w:rFonts w:eastAsia="Verdana" w:cs="Verdana"/>
          <w:sz w:val="20"/>
          <w:szCs w:val="20"/>
          <w:lang w:val="en-US"/>
        </w:rPr>
        <w:t xml:space="preserve">V.P.C., and of expert witnesses </w:t>
      </w:r>
      <w:r w:rsidR="00AB59D1" w:rsidRPr="00AC57EA">
        <w:rPr>
          <w:rFonts w:eastAsia="Verdana" w:cs="Verdana"/>
          <w:sz w:val="20"/>
          <w:szCs w:val="20"/>
          <w:lang w:val="en-US"/>
        </w:rPr>
        <w:t>Enrique Oscar Stola</w:t>
      </w:r>
      <w:r w:rsidR="00171E27" w:rsidRPr="00AC57EA">
        <w:rPr>
          <w:rFonts w:eastAsia="Verdana" w:cs="Verdana"/>
          <w:sz w:val="20"/>
          <w:szCs w:val="20"/>
          <w:lang w:val="en-US"/>
        </w:rPr>
        <w:t xml:space="preserve"> and </w:t>
      </w:r>
      <w:r w:rsidR="00AB59D1" w:rsidRPr="00AC57EA">
        <w:rPr>
          <w:rFonts w:eastAsia="Verdana" w:cs="Verdana"/>
          <w:sz w:val="20"/>
          <w:szCs w:val="20"/>
          <w:lang w:val="en-US"/>
        </w:rPr>
        <w:t>Miguel Cillero Bruñol</w:t>
      </w:r>
      <w:r w:rsidR="006C37C9" w:rsidRPr="00AC57EA">
        <w:rPr>
          <w:rFonts w:eastAsia="Verdana" w:cs="Verdana"/>
          <w:sz w:val="20"/>
          <w:szCs w:val="20"/>
          <w:lang w:val="en-US"/>
        </w:rPr>
        <w:t xml:space="preserve">. </w:t>
      </w:r>
      <w:r w:rsidRPr="00AC57EA">
        <w:rPr>
          <w:sz w:val="20"/>
          <w:szCs w:val="20"/>
          <w:lang w:val="en-US" w:eastAsia="es-ES"/>
        </w:rPr>
        <w:t>In addition, the</w:t>
      </w:r>
      <w:r w:rsidR="00B7258C" w:rsidRPr="00AC57EA">
        <w:rPr>
          <w:sz w:val="20"/>
          <w:szCs w:val="20"/>
          <w:lang w:val="en-US" w:eastAsia="es-ES"/>
        </w:rPr>
        <w:t xml:space="preserve"> Court</w:t>
      </w:r>
      <w:r w:rsidR="0011543E" w:rsidRPr="00AC57EA">
        <w:rPr>
          <w:sz w:val="20"/>
          <w:szCs w:val="20"/>
          <w:lang w:val="en-US" w:eastAsia="es-ES"/>
        </w:rPr>
        <w:t xml:space="preserve"> re</w:t>
      </w:r>
      <w:r w:rsidRPr="00AC57EA">
        <w:rPr>
          <w:sz w:val="20"/>
          <w:szCs w:val="20"/>
          <w:lang w:val="en-US" w:eastAsia="es-ES"/>
        </w:rPr>
        <w:t xml:space="preserve">quested the parties to present certain information and documentation. The affidavits that had been requested were received on October 10, </w:t>
      </w:r>
      <w:r w:rsidR="00631F29" w:rsidRPr="00AC57EA">
        <w:rPr>
          <w:rFonts w:eastAsia="Verdana" w:cs="Verdana"/>
          <w:position w:val="-1"/>
          <w:sz w:val="20"/>
          <w:szCs w:val="20"/>
          <w:lang w:val="en-US"/>
        </w:rPr>
        <w:t>2017</w:t>
      </w:r>
      <w:r w:rsidR="006C37C9" w:rsidRPr="00AC57EA">
        <w:rPr>
          <w:rFonts w:eastAsia="Verdana" w:cs="Verdana"/>
          <w:position w:val="-1"/>
          <w:sz w:val="20"/>
          <w:szCs w:val="20"/>
          <w:lang w:val="en-US"/>
        </w:rPr>
        <w:t>.</w:t>
      </w:r>
    </w:p>
    <w:p w14:paraId="61F7318A" w14:textId="77777777" w:rsidR="006C37C9" w:rsidRPr="00AC57EA" w:rsidRDefault="006C37C9" w:rsidP="006C37C9">
      <w:pPr>
        <w:autoSpaceDE w:val="0"/>
        <w:autoSpaceDN w:val="0"/>
        <w:spacing w:line="240" w:lineRule="auto"/>
        <w:rPr>
          <w:rFonts w:eastAsia="Verdana" w:cs="Verdana"/>
          <w:sz w:val="20"/>
          <w:szCs w:val="20"/>
          <w:lang w:val="en-US"/>
        </w:rPr>
      </w:pPr>
    </w:p>
    <w:p w14:paraId="633455F2" w14:textId="0D23A798" w:rsidR="003765A7" w:rsidRPr="00AC57EA" w:rsidRDefault="003765A7" w:rsidP="00C8070B">
      <w:pPr>
        <w:numPr>
          <w:ilvl w:val="0"/>
          <w:numId w:val="2"/>
        </w:numPr>
        <w:tabs>
          <w:tab w:val="left" w:pos="567"/>
          <w:tab w:val="num" w:pos="12305"/>
        </w:tabs>
        <w:spacing w:line="240" w:lineRule="auto"/>
        <w:ind w:left="0" w:firstLine="0"/>
        <w:rPr>
          <w:rFonts w:eastAsia="Verdana" w:cs="Verdana"/>
          <w:bCs/>
          <w:sz w:val="20"/>
          <w:szCs w:val="20"/>
          <w:lang w:val="en-US"/>
        </w:rPr>
      </w:pPr>
      <w:r w:rsidRPr="00AC57EA">
        <w:rPr>
          <w:rFonts w:eastAsia="Verdana" w:cs="Verdana"/>
          <w:i/>
          <w:sz w:val="20"/>
          <w:szCs w:val="20"/>
          <w:lang w:val="en-US"/>
        </w:rPr>
        <w:t>Amic</w:t>
      </w:r>
      <w:r w:rsidR="00867066" w:rsidRPr="00AC57EA">
        <w:rPr>
          <w:rFonts w:eastAsia="Verdana" w:cs="Verdana"/>
          <w:i/>
          <w:sz w:val="20"/>
          <w:szCs w:val="20"/>
          <w:lang w:val="en-US"/>
        </w:rPr>
        <w:t>i</w:t>
      </w:r>
      <w:r w:rsidRPr="00AC57EA">
        <w:rPr>
          <w:rFonts w:eastAsia="Verdana" w:cs="Verdana"/>
          <w:i/>
          <w:sz w:val="20"/>
          <w:szCs w:val="20"/>
          <w:lang w:val="en-US"/>
        </w:rPr>
        <w:t xml:space="preserve"> curiae. </w:t>
      </w:r>
      <w:r w:rsidR="00517CF7" w:rsidRPr="00AC57EA">
        <w:rPr>
          <w:rFonts w:eastAsia="Verdana" w:cs="Verdana"/>
          <w:i/>
          <w:sz w:val="20"/>
          <w:szCs w:val="20"/>
          <w:lang w:val="en-US"/>
        </w:rPr>
        <w:t>A</w:t>
      </w:r>
      <w:r w:rsidRPr="00AC57EA">
        <w:rPr>
          <w:rFonts w:eastAsia="Verdana" w:cs="Verdana"/>
          <w:i/>
          <w:sz w:val="20"/>
          <w:szCs w:val="20"/>
          <w:lang w:val="en-US"/>
        </w:rPr>
        <w:t>micus curiae</w:t>
      </w:r>
      <w:r w:rsidRPr="00AC57EA">
        <w:rPr>
          <w:rFonts w:eastAsia="Verdana" w:cs="Verdana"/>
          <w:sz w:val="20"/>
          <w:szCs w:val="20"/>
          <w:lang w:val="en-US"/>
        </w:rPr>
        <w:t xml:space="preserve"> </w:t>
      </w:r>
      <w:r w:rsidR="00517CF7" w:rsidRPr="00AC57EA">
        <w:rPr>
          <w:rFonts w:eastAsia="Verdana" w:cs="Verdana"/>
          <w:sz w:val="20"/>
          <w:szCs w:val="20"/>
          <w:lang w:val="en-US"/>
        </w:rPr>
        <w:t>briefs were received from:</w:t>
      </w:r>
      <w:r w:rsidRPr="00AC57EA">
        <w:rPr>
          <w:rFonts w:eastAsia="Verdana" w:cs="Verdana"/>
          <w:sz w:val="20"/>
          <w:szCs w:val="20"/>
          <w:lang w:val="en-US"/>
        </w:rPr>
        <w:t xml:space="preserve"> (1) </w:t>
      </w:r>
      <w:r w:rsidR="007D6AD8" w:rsidRPr="00AC57EA">
        <w:rPr>
          <w:rFonts w:cs="TimesNewRomanPSMT"/>
          <w:sz w:val="20"/>
          <w:szCs w:val="20"/>
          <w:lang w:val="en-US"/>
        </w:rPr>
        <w:t>Muhammad Muzahidul Islam</w:t>
      </w:r>
      <w:r w:rsidR="00517CF7" w:rsidRPr="00AC57EA">
        <w:rPr>
          <w:rFonts w:cs="TimesNewRomanPSMT"/>
          <w:sz w:val="20"/>
          <w:szCs w:val="20"/>
          <w:lang w:val="en-US"/>
        </w:rPr>
        <w:t xml:space="preserve">, on October </w:t>
      </w:r>
      <w:r w:rsidR="005A3F57" w:rsidRPr="00AC57EA">
        <w:rPr>
          <w:rFonts w:cs="TimesNewRomanPSMT"/>
          <w:sz w:val="20"/>
          <w:szCs w:val="20"/>
          <w:lang w:val="en-US"/>
        </w:rPr>
        <w:t>16</w:t>
      </w:r>
      <w:r w:rsidR="00171E27" w:rsidRPr="00AC57EA">
        <w:rPr>
          <w:rFonts w:cs="TimesNewRomanPSMT"/>
          <w:sz w:val="20"/>
          <w:szCs w:val="20"/>
          <w:lang w:val="en-US"/>
        </w:rPr>
        <w:t xml:space="preserve"> and </w:t>
      </w:r>
      <w:r w:rsidR="005A3F57" w:rsidRPr="00AC57EA">
        <w:rPr>
          <w:rFonts w:cs="TimesNewRomanPSMT"/>
          <w:sz w:val="20"/>
          <w:szCs w:val="20"/>
          <w:lang w:val="en-US"/>
        </w:rPr>
        <w:t>20</w:t>
      </w:r>
      <w:r w:rsidR="00517CF7" w:rsidRPr="00AC57EA">
        <w:rPr>
          <w:rFonts w:cs="TimesNewRomanPSMT"/>
          <w:sz w:val="20"/>
          <w:szCs w:val="20"/>
          <w:lang w:val="en-US"/>
        </w:rPr>
        <w:t xml:space="preserve">, </w:t>
      </w:r>
      <w:r w:rsidR="005A3F57" w:rsidRPr="00AC57EA">
        <w:rPr>
          <w:rFonts w:cs="TimesNewRomanPSMT"/>
          <w:sz w:val="20"/>
          <w:szCs w:val="20"/>
          <w:lang w:val="en-US"/>
        </w:rPr>
        <w:t>2017</w:t>
      </w:r>
      <w:r w:rsidR="00517CF7" w:rsidRPr="00AC57EA">
        <w:rPr>
          <w:rFonts w:cs="TimesNewRomanPSMT"/>
          <w:sz w:val="20"/>
          <w:szCs w:val="20"/>
          <w:lang w:val="en-US"/>
        </w:rPr>
        <w:t>,</w:t>
      </w:r>
      <w:r w:rsidR="00B65DC0" w:rsidRPr="00AC57EA">
        <w:rPr>
          <w:rStyle w:val="Refdenotaalpie"/>
          <w:rFonts w:cs="TimesNewRomanPSMT"/>
          <w:sz w:val="20"/>
          <w:szCs w:val="20"/>
          <w:lang w:val="en-US"/>
        </w:rPr>
        <w:footnoteReference w:id="12"/>
      </w:r>
      <w:r w:rsidR="00171E27" w:rsidRPr="00AC57EA">
        <w:rPr>
          <w:rFonts w:eastAsia="Verdana" w:cs="Verdana"/>
          <w:sz w:val="20"/>
          <w:szCs w:val="20"/>
          <w:lang w:val="en-US"/>
        </w:rPr>
        <w:t xml:space="preserve"> and </w:t>
      </w:r>
      <w:r w:rsidRPr="00AC57EA">
        <w:rPr>
          <w:rFonts w:eastAsia="Verdana" w:cs="Verdana"/>
          <w:sz w:val="20"/>
          <w:szCs w:val="20"/>
          <w:lang w:val="en-US"/>
        </w:rPr>
        <w:t>(2)</w:t>
      </w:r>
      <w:r w:rsidRPr="00AC57EA">
        <w:rPr>
          <w:rFonts w:eastAsia="Verdana" w:cs="Verdana"/>
          <w:bCs/>
          <w:sz w:val="20"/>
          <w:szCs w:val="20"/>
          <w:lang w:val="en-US"/>
        </w:rPr>
        <w:t xml:space="preserve"> </w:t>
      </w:r>
      <w:r w:rsidR="00517CF7" w:rsidRPr="00AC57EA">
        <w:rPr>
          <w:rFonts w:cs="Calibri"/>
          <w:sz w:val="20"/>
          <w:szCs w:val="20"/>
          <w:lang w:val="en-US"/>
        </w:rPr>
        <w:t xml:space="preserve">the Colombian </w:t>
      </w:r>
      <w:r w:rsidR="007D6AD8" w:rsidRPr="00AC57EA">
        <w:rPr>
          <w:rFonts w:cs="Calibri"/>
          <w:sz w:val="20"/>
          <w:szCs w:val="20"/>
          <w:lang w:val="en-US"/>
        </w:rPr>
        <w:t xml:space="preserve">ProBono </w:t>
      </w:r>
      <w:r w:rsidR="00517CF7" w:rsidRPr="00AC57EA">
        <w:rPr>
          <w:rFonts w:cs="Calibri"/>
          <w:sz w:val="20"/>
          <w:szCs w:val="20"/>
          <w:lang w:val="en-US"/>
        </w:rPr>
        <w:t>Foundation</w:t>
      </w:r>
      <w:r w:rsidR="00171E27" w:rsidRPr="00AC57EA">
        <w:rPr>
          <w:rFonts w:cs="Calibri"/>
          <w:sz w:val="20"/>
          <w:szCs w:val="20"/>
          <w:lang w:val="en-US"/>
        </w:rPr>
        <w:t xml:space="preserve"> and </w:t>
      </w:r>
      <w:r w:rsidR="007D6AD8" w:rsidRPr="00AC57EA">
        <w:rPr>
          <w:rFonts w:cs="Calibri"/>
          <w:sz w:val="20"/>
          <w:szCs w:val="20"/>
          <w:lang w:val="en-US"/>
        </w:rPr>
        <w:t>Gómez</w:t>
      </w:r>
      <w:r w:rsidR="002F731A" w:rsidRPr="00AC57EA">
        <w:rPr>
          <w:rFonts w:cs="Calibri"/>
          <w:sz w:val="20"/>
          <w:szCs w:val="20"/>
          <w:lang w:val="en-US"/>
        </w:rPr>
        <w:t>-</w:t>
      </w:r>
      <w:r w:rsidR="00DF5313" w:rsidRPr="00AC57EA">
        <w:rPr>
          <w:rFonts w:cs="Calibri"/>
          <w:sz w:val="20"/>
          <w:szCs w:val="20"/>
          <w:lang w:val="en-US"/>
        </w:rPr>
        <w:t>Pinzón</w:t>
      </w:r>
      <w:r w:rsidR="007D6AD8" w:rsidRPr="00AC57EA">
        <w:rPr>
          <w:rFonts w:cs="Calibri"/>
          <w:sz w:val="20"/>
          <w:szCs w:val="20"/>
          <w:lang w:val="en-US"/>
        </w:rPr>
        <w:t xml:space="preserve"> Abogados</w:t>
      </w:r>
      <w:r w:rsidR="00517CF7" w:rsidRPr="00AC57EA">
        <w:rPr>
          <w:rFonts w:cs="Calibri"/>
          <w:sz w:val="20"/>
          <w:szCs w:val="20"/>
          <w:lang w:val="en-US"/>
        </w:rPr>
        <w:t>,</w:t>
      </w:r>
      <w:r w:rsidR="00B65DC0" w:rsidRPr="00AC57EA">
        <w:rPr>
          <w:rStyle w:val="Refdenotaalpie"/>
          <w:rFonts w:cs="Calibri"/>
          <w:sz w:val="20"/>
          <w:szCs w:val="20"/>
          <w:lang w:val="en-US"/>
        </w:rPr>
        <w:footnoteReference w:id="13"/>
      </w:r>
      <w:r w:rsidRPr="00AC57EA">
        <w:rPr>
          <w:rFonts w:eastAsia="Verdana" w:cs="Verdana"/>
          <w:sz w:val="20"/>
          <w:szCs w:val="20"/>
          <w:lang w:val="en-US"/>
        </w:rPr>
        <w:t xml:space="preserve"> </w:t>
      </w:r>
      <w:r w:rsidR="00517CF7" w:rsidRPr="00AC57EA">
        <w:rPr>
          <w:rFonts w:eastAsia="Verdana" w:cs="Verdana"/>
          <w:sz w:val="20"/>
          <w:szCs w:val="20"/>
          <w:lang w:val="en-US"/>
        </w:rPr>
        <w:t>on October 23,</w:t>
      </w:r>
      <w:r w:rsidRPr="00AC57EA">
        <w:rPr>
          <w:rFonts w:eastAsia="Verdana" w:cs="Verdana"/>
          <w:sz w:val="20"/>
          <w:szCs w:val="20"/>
          <w:lang w:val="en-US"/>
        </w:rPr>
        <w:t xml:space="preserve"> 201</w:t>
      </w:r>
      <w:r w:rsidR="00FE3E45" w:rsidRPr="00AC57EA">
        <w:rPr>
          <w:rFonts w:eastAsia="Verdana" w:cs="Verdana"/>
          <w:sz w:val="20"/>
          <w:szCs w:val="20"/>
          <w:lang w:val="en-US"/>
        </w:rPr>
        <w:t>7</w:t>
      </w:r>
      <w:r w:rsidR="00517CF7" w:rsidRPr="00AC57EA">
        <w:rPr>
          <w:rFonts w:eastAsia="Verdana" w:cs="Verdana"/>
          <w:sz w:val="20"/>
          <w:szCs w:val="20"/>
          <w:lang w:val="en-US"/>
        </w:rPr>
        <w:t>.</w:t>
      </w:r>
      <w:r w:rsidR="009D3678" w:rsidRPr="00AC57EA">
        <w:rPr>
          <w:rStyle w:val="Refdenotaalpie"/>
          <w:rFonts w:eastAsia="Verdana" w:cs="Verdana"/>
          <w:sz w:val="20"/>
          <w:szCs w:val="20"/>
          <w:lang w:val="en-US"/>
        </w:rPr>
        <w:footnoteReference w:id="14"/>
      </w:r>
    </w:p>
    <w:p w14:paraId="69D20472" w14:textId="77777777" w:rsidR="003765A7" w:rsidRPr="00AC57EA" w:rsidRDefault="003765A7" w:rsidP="006C37C9">
      <w:pPr>
        <w:autoSpaceDE w:val="0"/>
        <w:autoSpaceDN w:val="0"/>
        <w:spacing w:line="240" w:lineRule="auto"/>
        <w:rPr>
          <w:rFonts w:eastAsia="Verdana" w:cs="Verdana"/>
          <w:sz w:val="20"/>
          <w:szCs w:val="20"/>
          <w:lang w:val="en-US"/>
        </w:rPr>
      </w:pPr>
    </w:p>
    <w:p w14:paraId="390179F5" w14:textId="662CE93A" w:rsidR="006C37C9" w:rsidRPr="00AC57EA" w:rsidRDefault="00517CF7" w:rsidP="00C8070B">
      <w:pPr>
        <w:numPr>
          <w:ilvl w:val="0"/>
          <w:numId w:val="2"/>
        </w:numPr>
        <w:tabs>
          <w:tab w:val="left" w:pos="567"/>
          <w:tab w:val="num" w:pos="12305"/>
        </w:tabs>
        <w:spacing w:line="240" w:lineRule="auto"/>
        <w:ind w:left="0" w:firstLine="0"/>
        <w:rPr>
          <w:rFonts w:cs="Verdana"/>
          <w:snapToGrid w:val="0"/>
          <w:sz w:val="20"/>
          <w:szCs w:val="20"/>
          <w:lang w:val="en-US" w:eastAsia="es-ES"/>
        </w:rPr>
      </w:pPr>
      <w:bookmarkStart w:id="25" w:name="_Ref354147731"/>
      <w:r w:rsidRPr="00AC57EA">
        <w:rPr>
          <w:rFonts w:cs="Verdana"/>
          <w:i/>
          <w:sz w:val="20"/>
          <w:szCs w:val="20"/>
          <w:lang w:val="en-US"/>
        </w:rPr>
        <w:t xml:space="preserve">Final written arguments and observations. </w:t>
      </w:r>
      <w:bookmarkEnd w:id="25"/>
      <w:r w:rsidRPr="00AC57EA">
        <w:rPr>
          <w:rFonts w:cs="Verdana"/>
          <w:sz w:val="20"/>
          <w:szCs w:val="20"/>
          <w:lang w:val="en-US"/>
        </w:rPr>
        <w:t>On November 20,</w:t>
      </w:r>
      <w:r w:rsidR="00581CAD" w:rsidRPr="00AC57EA">
        <w:rPr>
          <w:rFonts w:cs="Verdana"/>
          <w:sz w:val="20"/>
          <w:szCs w:val="20"/>
          <w:lang w:val="en-US"/>
        </w:rPr>
        <w:t xml:space="preserve"> 2017</w:t>
      </w:r>
      <w:r w:rsidRPr="00AC57EA">
        <w:rPr>
          <w:rFonts w:cs="Verdana"/>
          <w:sz w:val="20"/>
          <w:szCs w:val="20"/>
          <w:lang w:val="en-US"/>
        </w:rPr>
        <w:t>,</w:t>
      </w:r>
      <w:r w:rsidR="00581CAD" w:rsidRPr="00AC57EA">
        <w:rPr>
          <w:rFonts w:cs="Verdana"/>
          <w:sz w:val="20"/>
          <w:szCs w:val="20"/>
          <w:lang w:val="en-US"/>
        </w:rPr>
        <w:t xml:space="preserve"> </w:t>
      </w:r>
      <w:r w:rsidR="00171E27" w:rsidRPr="00AC57EA">
        <w:rPr>
          <w:rFonts w:cs="Verdana"/>
          <w:sz w:val="20"/>
          <w:szCs w:val="20"/>
          <w:lang w:val="en-US"/>
        </w:rPr>
        <w:t xml:space="preserve">the representatives and </w:t>
      </w:r>
      <w:r w:rsidR="00EC52D7" w:rsidRPr="00AC57EA">
        <w:rPr>
          <w:rFonts w:cs="Verdana"/>
          <w:sz w:val="20"/>
          <w:szCs w:val="20"/>
          <w:lang w:val="en-US"/>
        </w:rPr>
        <w:t>the State</w:t>
      </w:r>
      <w:r w:rsidR="00581CAD" w:rsidRPr="00AC57EA">
        <w:rPr>
          <w:rFonts w:cs="Verdana"/>
          <w:sz w:val="20"/>
          <w:szCs w:val="20"/>
          <w:lang w:val="en-US"/>
        </w:rPr>
        <w:t xml:space="preserve"> </w:t>
      </w:r>
      <w:r w:rsidRPr="00AC57EA">
        <w:rPr>
          <w:rFonts w:cs="Verdana"/>
          <w:sz w:val="20"/>
          <w:szCs w:val="20"/>
          <w:lang w:val="en-US"/>
        </w:rPr>
        <w:t>forwarded their respective final written argument</w:t>
      </w:r>
      <w:r w:rsidR="00567B45" w:rsidRPr="00AC57EA">
        <w:rPr>
          <w:rFonts w:cs="Verdana"/>
          <w:sz w:val="20"/>
          <w:szCs w:val="20"/>
          <w:lang w:val="en-US"/>
        </w:rPr>
        <w:t>s</w:t>
      </w:r>
      <w:r w:rsidRPr="00AC57EA">
        <w:rPr>
          <w:rFonts w:cs="Verdana"/>
          <w:sz w:val="20"/>
          <w:szCs w:val="20"/>
          <w:lang w:val="en-US"/>
        </w:rPr>
        <w:t xml:space="preserve">, </w:t>
      </w:r>
      <w:r w:rsidR="00171E27" w:rsidRPr="00AC57EA">
        <w:rPr>
          <w:rFonts w:cs="Verdana"/>
          <w:sz w:val="20"/>
          <w:szCs w:val="20"/>
          <w:lang w:val="en-US"/>
        </w:rPr>
        <w:t xml:space="preserve">and </w:t>
      </w:r>
      <w:r w:rsidR="00B7258C" w:rsidRPr="00AC57EA">
        <w:rPr>
          <w:rFonts w:cs="Verdana"/>
          <w:sz w:val="20"/>
          <w:szCs w:val="20"/>
          <w:lang w:val="en-US"/>
        </w:rPr>
        <w:t>the Commission</w:t>
      </w:r>
      <w:r w:rsidR="00581CAD" w:rsidRPr="00AC57EA">
        <w:rPr>
          <w:rFonts w:cs="Verdana"/>
          <w:sz w:val="20"/>
          <w:szCs w:val="20"/>
          <w:lang w:val="en-US"/>
        </w:rPr>
        <w:t xml:space="preserve"> </w:t>
      </w:r>
      <w:r w:rsidRPr="00AC57EA">
        <w:rPr>
          <w:rFonts w:cs="Verdana"/>
          <w:sz w:val="20"/>
          <w:szCs w:val="20"/>
          <w:lang w:val="en-US"/>
        </w:rPr>
        <w:t>presented its final written observations</w:t>
      </w:r>
      <w:r w:rsidR="00581CAD" w:rsidRPr="00AC57EA">
        <w:rPr>
          <w:rFonts w:cs="Verdana"/>
          <w:sz w:val="20"/>
          <w:szCs w:val="20"/>
          <w:lang w:val="en-US"/>
        </w:rPr>
        <w:t>.</w:t>
      </w:r>
    </w:p>
    <w:p w14:paraId="08B07F1A" w14:textId="77777777" w:rsidR="006C37C9" w:rsidRPr="00AC57EA" w:rsidRDefault="006C37C9" w:rsidP="006C37C9">
      <w:pPr>
        <w:autoSpaceDE w:val="0"/>
        <w:autoSpaceDN w:val="0"/>
        <w:spacing w:line="240" w:lineRule="auto"/>
        <w:rPr>
          <w:rFonts w:eastAsia="Batang"/>
          <w:sz w:val="20"/>
          <w:lang w:val="en-US"/>
        </w:rPr>
      </w:pPr>
    </w:p>
    <w:p w14:paraId="089BFCAA" w14:textId="4378E881" w:rsidR="009E569E" w:rsidRPr="00AC57EA" w:rsidRDefault="009E569E" w:rsidP="00581CAD">
      <w:pPr>
        <w:numPr>
          <w:ilvl w:val="0"/>
          <w:numId w:val="2"/>
        </w:numPr>
        <w:tabs>
          <w:tab w:val="left" w:pos="567"/>
          <w:tab w:val="num" w:pos="12305"/>
        </w:tabs>
        <w:spacing w:line="240" w:lineRule="auto"/>
        <w:ind w:left="0" w:firstLine="0"/>
        <w:rPr>
          <w:rFonts w:eastAsia="Batang"/>
          <w:sz w:val="20"/>
          <w:lang w:val="en-US"/>
        </w:rPr>
      </w:pPr>
      <w:r w:rsidRPr="00AC57EA">
        <w:rPr>
          <w:rFonts w:eastAsia="Batang"/>
          <w:i/>
          <w:sz w:val="20"/>
          <w:lang w:val="en-US"/>
        </w:rPr>
        <w:lastRenderedPageBreak/>
        <w:t>Helpful</w:t>
      </w:r>
      <w:r w:rsidR="00C92904" w:rsidRPr="00AC57EA">
        <w:rPr>
          <w:rFonts w:eastAsia="Batang"/>
          <w:i/>
          <w:sz w:val="20"/>
          <w:lang w:val="en-US"/>
        </w:rPr>
        <w:t xml:space="preserve"> </w:t>
      </w:r>
      <w:r w:rsidRPr="00AC57EA">
        <w:rPr>
          <w:rFonts w:eastAsia="Batang"/>
          <w:i/>
          <w:sz w:val="20"/>
          <w:lang w:val="en-US"/>
        </w:rPr>
        <w:t>evidence</w:t>
      </w:r>
      <w:r w:rsidR="00C92904" w:rsidRPr="00AC57EA">
        <w:rPr>
          <w:rFonts w:eastAsia="Batang"/>
          <w:i/>
          <w:sz w:val="20"/>
          <w:lang w:val="en-US"/>
        </w:rPr>
        <w:t xml:space="preserve">. </w:t>
      </w:r>
      <w:r w:rsidRPr="00AC57EA">
        <w:rPr>
          <w:rFonts w:cs="Verdana"/>
          <w:sz w:val="20"/>
          <w:szCs w:val="20"/>
          <w:lang w:val="en-US"/>
        </w:rPr>
        <w:t>On November 27,</w:t>
      </w:r>
      <w:r w:rsidR="00581CAD" w:rsidRPr="00AC57EA">
        <w:rPr>
          <w:rFonts w:cs="Verdana"/>
          <w:sz w:val="20"/>
          <w:szCs w:val="20"/>
          <w:lang w:val="en-US"/>
        </w:rPr>
        <w:t xml:space="preserve"> 2017</w:t>
      </w:r>
      <w:r w:rsidRPr="00AC57EA">
        <w:rPr>
          <w:rFonts w:cs="Verdana"/>
          <w:sz w:val="20"/>
          <w:szCs w:val="20"/>
          <w:lang w:val="en-US"/>
        </w:rPr>
        <w:t>,</w:t>
      </w:r>
      <w:r w:rsidR="00581CAD" w:rsidRPr="00AC57EA">
        <w:rPr>
          <w:rFonts w:cs="Verdana"/>
          <w:sz w:val="20"/>
          <w:szCs w:val="20"/>
          <w:lang w:val="en-US"/>
        </w:rPr>
        <w:t xml:space="preserve"> </w:t>
      </w:r>
      <w:r w:rsidR="00B7258C" w:rsidRPr="00AC57EA">
        <w:rPr>
          <w:rFonts w:cs="Verdana"/>
          <w:sz w:val="20"/>
          <w:szCs w:val="20"/>
          <w:lang w:val="en-US"/>
        </w:rPr>
        <w:t>the President of the Court</w:t>
      </w:r>
      <w:r w:rsidR="00581CAD" w:rsidRPr="00AC57EA">
        <w:rPr>
          <w:rFonts w:cs="Verdana"/>
          <w:sz w:val="20"/>
          <w:szCs w:val="20"/>
          <w:lang w:val="en-US"/>
        </w:rPr>
        <w:t xml:space="preserve"> </w:t>
      </w:r>
      <w:r w:rsidRPr="00AC57EA">
        <w:rPr>
          <w:rFonts w:cs="Verdana"/>
          <w:sz w:val="20"/>
          <w:szCs w:val="20"/>
          <w:lang w:val="en-US"/>
        </w:rPr>
        <w:t>asked the State for helpful evidence. Nicaragua presented this documentation on December 5, 2017.</w:t>
      </w:r>
      <w:r w:rsidRPr="00AC57EA">
        <w:rPr>
          <w:rFonts w:eastAsia="Batang"/>
          <w:sz w:val="20"/>
          <w:lang w:val="en-US"/>
        </w:rPr>
        <w:t xml:space="preserve"> On December 15, 2017, the State sent some missing pages and clarified other annexes forwarded as part of the helpful evidence requested.</w:t>
      </w:r>
    </w:p>
    <w:p w14:paraId="4AA4E14F" w14:textId="77777777" w:rsidR="00C92904" w:rsidRPr="00AC57EA" w:rsidRDefault="00C92904" w:rsidP="006C37C9">
      <w:pPr>
        <w:autoSpaceDE w:val="0"/>
        <w:autoSpaceDN w:val="0"/>
        <w:spacing w:line="240" w:lineRule="auto"/>
        <w:rPr>
          <w:rFonts w:eastAsia="Batang"/>
          <w:sz w:val="20"/>
          <w:lang w:val="en-US"/>
        </w:rPr>
      </w:pPr>
    </w:p>
    <w:p w14:paraId="326466A5" w14:textId="6E1BE60B" w:rsidR="006C37C9" w:rsidRPr="00AC57EA" w:rsidRDefault="009E569E" w:rsidP="004546DF">
      <w:pPr>
        <w:numPr>
          <w:ilvl w:val="0"/>
          <w:numId w:val="2"/>
        </w:numPr>
        <w:tabs>
          <w:tab w:val="left" w:pos="567"/>
          <w:tab w:val="num" w:pos="12305"/>
        </w:tabs>
        <w:spacing w:line="240" w:lineRule="auto"/>
        <w:ind w:left="0" w:firstLine="0"/>
        <w:rPr>
          <w:rFonts w:cs="Verdana"/>
          <w:snapToGrid w:val="0"/>
          <w:sz w:val="20"/>
          <w:szCs w:val="20"/>
          <w:lang w:val="en-US" w:eastAsia="es-ES"/>
        </w:rPr>
      </w:pPr>
      <w:bookmarkStart w:id="26" w:name="_Ref313990861"/>
      <w:r w:rsidRPr="00AC57EA">
        <w:rPr>
          <w:rFonts w:eastAsia="Batang"/>
          <w:i/>
          <w:sz w:val="20"/>
          <w:lang w:val="en-US"/>
        </w:rPr>
        <w:t>Observations</w:t>
      </w:r>
      <w:r w:rsidR="00171E27" w:rsidRPr="00AC57EA">
        <w:rPr>
          <w:rFonts w:cs="Verdana"/>
          <w:i/>
          <w:snapToGrid w:val="0"/>
          <w:sz w:val="20"/>
          <w:szCs w:val="20"/>
          <w:lang w:val="en-US" w:eastAsia="es-ES"/>
        </w:rPr>
        <w:t xml:space="preserve"> of the representatives and </w:t>
      </w:r>
      <w:r w:rsidR="00B7258C" w:rsidRPr="00AC57EA">
        <w:rPr>
          <w:rFonts w:cs="Verdana"/>
          <w:i/>
          <w:snapToGrid w:val="0"/>
          <w:sz w:val="20"/>
          <w:szCs w:val="20"/>
          <w:lang w:val="en-US" w:eastAsia="es-ES"/>
        </w:rPr>
        <w:t>the Commission</w:t>
      </w:r>
      <w:r w:rsidR="006C37C9" w:rsidRPr="00AC57EA">
        <w:rPr>
          <w:rFonts w:cs="Verdana"/>
          <w:i/>
          <w:snapToGrid w:val="0"/>
          <w:sz w:val="20"/>
          <w:szCs w:val="20"/>
          <w:lang w:val="en-US" w:eastAsia="es-ES"/>
        </w:rPr>
        <w:t xml:space="preserve">. </w:t>
      </w:r>
      <w:bookmarkEnd w:id="26"/>
      <w:r w:rsidR="00B7258C" w:rsidRPr="00AC57EA">
        <w:rPr>
          <w:rFonts w:cs="Verdana"/>
          <w:snapToGrid w:val="0"/>
          <w:sz w:val="20"/>
          <w:szCs w:val="20"/>
          <w:lang w:val="en-US" w:eastAsia="es-ES"/>
        </w:rPr>
        <w:t>The President</w:t>
      </w:r>
      <w:r w:rsidR="00935CD3" w:rsidRPr="00AC57EA">
        <w:rPr>
          <w:rFonts w:cs="Verdana"/>
          <w:snapToGrid w:val="0"/>
          <w:sz w:val="20"/>
          <w:szCs w:val="20"/>
          <w:lang w:val="en-US" w:eastAsia="es-ES"/>
        </w:rPr>
        <w:t xml:space="preserve"> </w:t>
      </w:r>
      <w:r w:rsidRPr="00AC57EA">
        <w:rPr>
          <w:rFonts w:cs="Verdana"/>
          <w:snapToGrid w:val="0"/>
          <w:sz w:val="20"/>
          <w:szCs w:val="20"/>
          <w:lang w:val="en-US" w:eastAsia="es-ES"/>
        </w:rPr>
        <w:t>granted</w:t>
      </w:r>
      <w:r w:rsidR="00935CD3" w:rsidRPr="00AC57EA">
        <w:rPr>
          <w:rFonts w:cs="Verdana"/>
          <w:snapToGrid w:val="0"/>
          <w:sz w:val="20"/>
          <w:szCs w:val="20"/>
          <w:lang w:val="en-US" w:eastAsia="es-ES"/>
        </w:rPr>
        <w:t xml:space="preserve"> </w:t>
      </w:r>
      <w:r w:rsidR="00171E27" w:rsidRPr="00AC57EA">
        <w:rPr>
          <w:rFonts w:cs="Verdana"/>
          <w:snapToGrid w:val="0"/>
          <w:sz w:val="20"/>
          <w:szCs w:val="20"/>
          <w:lang w:val="en-US" w:eastAsia="es-ES"/>
        </w:rPr>
        <w:t>the representatives and</w:t>
      </w:r>
      <w:r w:rsidR="00935CD3" w:rsidRPr="00AC57EA">
        <w:rPr>
          <w:rFonts w:cs="Verdana"/>
          <w:snapToGrid w:val="0"/>
          <w:sz w:val="20"/>
          <w:szCs w:val="20"/>
          <w:lang w:val="en-US" w:eastAsia="es-ES"/>
        </w:rPr>
        <w:t xml:space="preserve"> </w:t>
      </w:r>
      <w:r w:rsidR="00B7258C" w:rsidRPr="00AC57EA">
        <w:rPr>
          <w:rFonts w:cs="Verdana"/>
          <w:snapToGrid w:val="0"/>
          <w:sz w:val="20"/>
          <w:szCs w:val="20"/>
          <w:lang w:val="en-US" w:eastAsia="es-ES"/>
        </w:rPr>
        <w:t>the Commission</w:t>
      </w:r>
      <w:r w:rsidR="00935CD3" w:rsidRPr="00AC57EA">
        <w:rPr>
          <w:rFonts w:cs="Verdana"/>
          <w:snapToGrid w:val="0"/>
          <w:sz w:val="20"/>
          <w:szCs w:val="20"/>
          <w:lang w:val="en-US" w:eastAsia="es-ES"/>
        </w:rPr>
        <w:t xml:space="preserve"> </w:t>
      </w:r>
      <w:r w:rsidRPr="00AC57EA">
        <w:rPr>
          <w:rFonts w:cs="Verdana"/>
          <w:snapToGrid w:val="0"/>
          <w:sz w:val="20"/>
          <w:szCs w:val="20"/>
          <w:lang w:val="en-US" w:eastAsia="es-ES"/>
        </w:rPr>
        <w:t>a time frame for submitting any observations</w:t>
      </w:r>
      <w:r w:rsidR="00935CD3" w:rsidRPr="00AC57EA">
        <w:rPr>
          <w:rFonts w:cs="Verdana"/>
          <w:snapToGrid w:val="0"/>
          <w:sz w:val="20"/>
          <w:szCs w:val="20"/>
          <w:lang w:val="en-US" w:eastAsia="es-ES"/>
        </w:rPr>
        <w:t xml:space="preserve"> </w:t>
      </w:r>
      <w:r w:rsidRPr="00AC57EA">
        <w:rPr>
          <w:rFonts w:cs="Verdana"/>
          <w:snapToGrid w:val="0"/>
          <w:sz w:val="20"/>
          <w:szCs w:val="20"/>
          <w:lang w:val="en-US" w:eastAsia="es-ES"/>
        </w:rPr>
        <w:t xml:space="preserve">they deemed pertinent on the helpful evidence provided by the State. On December 21, 2017, </w:t>
      </w:r>
      <w:r w:rsidR="00171E27" w:rsidRPr="00AC57EA">
        <w:rPr>
          <w:rFonts w:eastAsia="Times"/>
          <w:sz w:val="20"/>
          <w:szCs w:val="20"/>
          <w:lang w:val="en-US"/>
        </w:rPr>
        <w:t>the representatives</w:t>
      </w:r>
      <w:r w:rsidR="004546DF" w:rsidRPr="00AC57EA">
        <w:rPr>
          <w:rFonts w:eastAsia="Times"/>
          <w:sz w:val="20"/>
          <w:szCs w:val="20"/>
          <w:lang w:val="en-US"/>
        </w:rPr>
        <w:t xml:space="preserve"> </w:t>
      </w:r>
      <w:r w:rsidRPr="00AC57EA">
        <w:rPr>
          <w:rFonts w:eastAsia="Times"/>
          <w:sz w:val="20"/>
          <w:szCs w:val="20"/>
          <w:lang w:val="en-US"/>
        </w:rPr>
        <w:t>forwarded their</w:t>
      </w:r>
      <w:r w:rsidR="004546DF" w:rsidRPr="00AC57EA">
        <w:rPr>
          <w:rFonts w:eastAsia="Times"/>
          <w:sz w:val="20"/>
          <w:szCs w:val="20"/>
          <w:lang w:val="en-US"/>
        </w:rPr>
        <w:t xml:space="preserve"> </w:t>
      </w:r>
      <w:r w:rsidRPr="00AC57EA">
        <w:rPr>
          <w:rFonts w:eastAsia="Times"/>
          <w:sz w:val="20"/>
          <w:szCs w:val="20"/>
          <w:lang w:val="en-US"/>
        </w:rPr>
        <w:t xml:space="preserve">observations on the helpful documentation provided by the State </w:t>
      </w:r>
      <w:r w:rsidR="00171E27" w:rsidRPr="00AC57EA">
        <w:rPr>
          <w:sz w:val="20"/>
          <w:szCs w:val="20"/>
          <w:lang w:val="en-US"/>
        </w:rPr>
        <w:t xml:space="preserve">and </w:t>
      </w:r>
      <w:r w:rsidR="00B7258C" w:rsidRPr="00AC57EA">
        <w:rPr>
          <w:rFonts w:eastAsia="Times"/>
          <w:sz w:val="20"/>
          <w:szCs w:val="20"/>
          <w:lang w:val="en-US"/>
        </w:rPr>
        <w:t>the Commission</w:t>
      </w:r>
      <w:r w:rsidRPr="00AC57EA">
        <w:rPr>
          <w:rFonts w:eastAsia="Times"/>
          <w:sz w:val="20"/>
          <w:szCs w:val="20"/>
          <w:lang w:val="en-US"/>
        </w:rPr>
        <w:t xml:space="preserve"> indicated that it would not be making any observations.</w:t>
      </w:r>
      <w:r w:rsidR="00AD0DB3" w:rsidRPr="00AC57EA">
        <w:rPr>
          <w:rStyle w:val="Refdenotaalpie"/>
          <w:rFonts w:eastAsia="Times"/>
          <w:sz w:val="20"/>
          <w:szCs w:val="20"/>
          <w:lang w:val="en-US"/>
        </w:rPr>
        <w:footnoteReference w:id="15"/>
      </w:r>
    </w:p>
    <w:p w14:paraId="50C2A4B4" w14:textId="77777777" w:rsidR="006C37C9" w:rsidRPr="00AC57EA" w:rsidRDefault="006C37C9" w:rsidP="006C37C9">
      <w:pPr>
        <w:tabs>
          <w:tab w:val="left" w:pos="567"/>
          <w:tab w:val="left" w:pos="1134"/>
          <w:tab w:val="num" w:pos="6042"/>
        </w:tabs>
        <w:autoSpaceDE w:val="0"/>
        <w:autoSpaceDN w:val="0"/>
        <w:spacing w:line="240" w:lineRule="auto"/>
        <w:rPr>
          <w:rFonts w:eastAsia="Calibri" w:cs="Verdana"/>
          <w:snapToGrid w:val="0"/>
          <w:sz w:val="20"/>
          <w:szCs w:val="20"/>
          <w:lang w:val="en-US" w:eastAsia="es-ES"/>
        </w:rPr>
      </w:pPr>
    </w:p>
    <w:p w14:paraId="56356249" w14:textId="2C592DA3" w:rsidR="006C37C9" w:rsidRPr="00AC57EA" w:rsidRDefault="009E569E" w:rsidP="006C37C9">
      <w:pPr>
        <w:numPr>
          <w:ilvl w:val="0"/>
          <w:numId w:val="2"/>
        </w:numPr>
        <w:tabs>
          <w:tab w:val="left" w:pos="567"/>
          <w:tab w:val="num" w:pos="6042"/>
          <w:tab w:val="num" w:pos="12305"/>
        </w:tabs>
        <w:autoSpaceDE w:val="0"/>
        <w:autoSpaceDN w:val="0"/>
        <w:spacing w:line="240" w:lineRule="auto"/>
        <w:ind w:left="0" w:firstLine="0"/>
        <w:rPr>
          <w:rFonts w:eastAsia="Calibri" w:cs="Verdana"/>
          <w:snapToGrid w:val="0"/>
          <w:sz w:val="20"/>
          <w:szCs w:val="20"/>
          <w:lang w:val="en-US" w:eastAsia="es-ES"/>
        </w:rPr>
      </w:pPr>
      <w:r w:rsidRPr="00AC57EA">
        <w:rPr>
          <w:rFonts w:cs="Verdana"/>
          <w:i/>
          <w:snapToGrid w:val="0"/>
          <w:sz w:val="20"/>
          <w:szCs w:val="20"/>
          <w:lang w:val="en-US" w:eastAsia="es-ES"/>
        </w:rPr>
        <w:t xml:space="preserve">Disbursements in application of the </w:t>
      </w:r>
      <w:r w:rsidR="00171E27" w:rsidRPr="00AC57EA">
        <w:rPr>
          <w:rFonts w:cs="Verdana"/>
          <w:i/>
          <w:snapToGrid w:val="0"/>
          <w:sz w:val="20"/>
          <w:szCs w:val="20"/>
          <w:lang w:val="en-US" w:eastAsia="es-ES"/>
        </w:rPr>
        <w:t>Assistance Fund</w:t>
      </w:r>
      <w:r w:rsidR="006C37C9" w:rsidRPr="00AC57EA">
        <w:rPr>
          <w:rFonts w:cs="Verdana"/>
          <w:i/>
          <w:snapToGrid w:val="0"/>
          <w:sz w:val="20"/>
          <w:szCs w:val="20"/>
          <w:lang w:val="en-US" w:eastAsia="es-ES"/>
        </w:rPr>
        <w:t>.</w:t>
      </w:r>
      <w:r w:rsidR="006C37C9" w:rsidRPr="00AC57EA">
        <w:rPr>
          <w:rFonts w:cs="Verdana"/>
          <w:snapToGrid w:val="0"/>
          <w:sz w:val="20"/>
          <w:szCs w:val="20"/>
          <w:lang w:val="en-US" w:eastAsia="es-ES"/>
        </w:rPr>
        <w:t xml:space="preserve"> </w:t>
      </w:r>
      <w:r w:rsidRPr="00AC57EA">
        <w:rPr>
          <w:rFonts w:cs="Verdana"/>
          <w:snapToGrid w:val="0"/>
          <w:sz w:val="20"/>
          <w:szCs w:val="20"/>
          <w:lang w:val="en-US" w:eastAsia="es-ES"/>
        </w:rPr>
        <w:t>On December 15,</w:t>
      </w:r>
      <w:r w:rsidR="003B046D" w:rsidRPr="00AC57EA">
        <w:rPr>
          <w:rFonts w:cs="Verdana"/>
          <w:snapToGrid w:val="0"/>
          <w:sz w:val="20"/>
          <w:szCs w:val="20"/>
          <w:lang w:val="en-US" w:eastAsia="es-ES"/>
        </w:rPr>
        <w:t xml:space="preserve"> 2017</w:t>
      </w:r>
      <w:r w:rsidRPr="00AC57EA">
        <w:rPr>
          <w:rFonts w:cs="Verdana"/>
          <w:snapToGrid w:val="0"/>
          <w:sz w:val="20"/>
          <w:szCs w:val="20"/>
          <w:lang w:val="en-US" w:eastAsia="es-ES"/>
        </w:rPr>
        <w:t xml:space="preserve">, on the instructions of </w:t>
      </w:r>
      <w:r w:rsidR="00B7258C" w:rsidRPr="00AC57EA">
        <w:rPr>
          <w:rFonts w:cs="Verdana"/>
          <w:snapToGrid w:val="0"/>
          <w:sz w:val="20"/>
          <w:szCs w:val="20"/>
          <w:lang w:val="en-US" w:eastAsia="es-ES"/>
        </w:rPr>
        <w:t>the President of the Court</w:t>
      </w:r>
      <w:r w:rsidR="003B046D" w:rsidRPr="00AC57EA">
        <w:rPr>
          <w:rFonts w:cs="Verdana"/>
          <w:snapToGrid w:val="0"/>
          <w:sz w:val="20"/>
          <w:szCs w:val="20"/>
          <w:lang w:val="en-US" w:eastAsia="es-ES"/>
        </w:rPr>
        <w:t>,</w:t>
      </w:r>
      <w:r w:rsidRPr="00AC57EA">
        <w:rPr>
          <w:rFonts w:cs="Verdana"/>
          <w:snapToGrid w:val="0"/>
          <w:sz w:val="20"/>
          <w:szCs w:val="20"/>
          <w:lang w:val="en-US" w:eastAsia="es-ES"/>
        </w:rPr>
        <w:t xml:space="preserve"> the Secretariat forwarded information to the State on the disbursements made in application of the Victims’ Legal </w:t>
      </w:r>
      <w:r w:rsidR="00171E27" w:rsidRPr="00AC57EA">
        <w:rPr>
          <w:rFonts w:cs="Verdana"/>
          <w:snapToGrid w:val="0"/>
          <w:sz w:val="20"/>
          <w:szCs w:val="20"/>
          <w:lang w:val="en-US" w:eastAsia="es-ES"/>
        </w:rPr>
        <w:t>Assistance Fund</w:t>
      </w:r>
      <w:r w:rsidR="00703FA8" w:rsidRPr="00AC57EA">
        <w:rPr>
          <w:rFonts w:cs="Verdana"/>
          <w:snapToGrid w:val="0"/>
          <w:sz w:val="20"/>
          <w:szCs w:val="20"/>
          <w:lang w:val="en-US" w:eastAsia="es-ES"/>
        </w:rPr>
        <w:t xml:space="preserve"> </w:t>
      </w:r>
      <w:r w:rsidRPr="00AC57EA">
        <w:rPr>
          <w:rFonts w:cs="Verdana"/>
          <w:snapToGrid w:val="0"/>
          <w:sz w:val="20"/>
          <w:szCs w:val="20"/>
          <w:lang w:val="en-US" w:eastAsia="es-ES"/>
        </w:rPr>
        <w:t xml:space="preserve">in this case and, as established in </w:t>
      </w:r>
      <w:r w:rsidR="00B7258C" w:rsidRPr="00AC57EA">
        <w:rPr>
          <w:rFonts w:cs="Verdana"/>
          <w:snapToGrid w:val="0"/>
          <w:sz w:val="20"/>
          <w:szCs w:val="20"/>
          <w:lang w:val="en-US" w:eastAsia="es-ES"/>
        </w:rPr>
        <w:t>Article</w:t>
      </w:r>
      <w:r w:rsidR="003B046D" w:rsidRPr="00AC57EA">
        <w:rPr>
          <w:rFonts w:cs="Verdana"/>
          <w:snapToGrid w:val="0"/>
          <w:sz w:val="20"/>
          <w:szCs w:val="20"/>
          <w:lang w:val="en-US" w:eastAsia="es-ES"/>
        </w:rPr>
        <w:t xml:space="preserve"> 5</w:t>
      </w:r>
      <w:r w:rsidR="00B7258C" w:rsidRPr="00AC57EA">
        <w:rPr>
          <w:rFonts w:cs="Verdana"/>
          <w:snapToGrid w:val="0"/>
          <w:sz w:val="20"/>
          <w:szCs w:val="20"/>
          <w:lang w:val="en-US" w:eastAsia="es-ES"/>
        </w:rPr>
        <w:t xml:space="preserve"> of the Rules</w:t>
      </w:r>
      <w:r w:rsidRPr="00AC57EA">
        <w:rPr>
          <w:rFonts w:cs="Verdana"/>
          <w:snapToGrid w:val="0"/>
          <w:sz w:val="20"/>
          <w:szCs w:val="20"/>
          <w:lang w:val="en-US" w:eastAsia="es-ES"/>
        </w:rPr>
        <w:t xml:space="preserve"> for the Operation of this Fund, granted it a time frame to present any observations</w:t>
      </w:r>
      <w:r w:rsidR="003B046D" w:rsidRPr="00AC57EA">
        <w:rPr>
          <w:rFonts w:cs="Verdana"/>
          <w:snapToGrid w:val="0"/>
          <w:sz w:val="20"/>
          <w:szCs w:val="20"/>
          <w:lang w:val="en-US" w:eastAsia="es-ES"/>
        </w:rPr>
        <w:t xml:space="preserve"> </w:t>
      </w:r>
      <w:r w:rsidRPr="00AC57EA">
        <w:rPr>
          <w:rFonts w:cs="Verdana"/>
          <w:snapToGrid w:val="0"/>
          <w:sz w:val="20"/>
          <w:szCs w:val="20"/>
          <w:lang w:val="en-US" w:eastAsia="es-ES"/>
        </w:rPr>
        <w:t>it deemed pertinent.</w:t>
      </w:r>
      <w:r w:rsidR="003B046D" w:rsidRPr="00AC57EA">
        <w:rPr>
          <w:rFonts w:cs="Verdana"/>
          <w:snapToGrid w:val="0"/>
          <w:sz w:val="20"/>
          <w:szCs w:val="20"/>
          <w:lang w:val="en-US" w:eastAsia="es-ES"/>
        </w:rPr>
        <w:t xml:space="preserve"> </w:t>
      </w:r>
      <w:r w:rsidR="00EC52D7" w:rsidRPr="00AC57EA">
        <w:rPr>
          <w:rFonts w:cs="Verdana"/>
          <w:snapToGrid w:val="0"/>
          <w:sz w:val="20"/>
          <w:szCs w:val="20"/>
          <w:lang w:val="en-US" w:eastAsia="es-ES"/>
        </w:rPr>
        <w:t>The State</w:t>
      </w:r>
      <w:r w:rsidRPr="00AC57EA">
        <w:rPr>
          <w:rFonts w:cs="Verdana"/>
          <w:snapToGrid w:val="0"/>
          <w:sz w:val="20"/>
          <w:szCs w:val="20"/>
          <w:lang w:val="en-US" w:eastAsia="es-ES"/>
        </w:rPr>
        <w:t xml:space="preserve"> submitted its observations</w:t>
      </w:r>
      <w:r w:rsidR="00B5399E" w:rsidRPr="00AC57EA">
        <w:rPr>
          <w:rFonts w:cs="Verdana"/>
          <w:snapToGrid w:val="0"/>
          <w:sz w:val="20"/>
          <w:szCs w:val="20"/>
          <w:lang w:val="en-US" w:eastAsia="es-ES"/>
        </w:rPr>
        <w:t xml:space="preserve"> </w:t>
      </w:r>
      <w:r w:rsidRPr="00AC57EA">
        <w:rPr>
          <w:rFonts w:cs="Verdana"/>
          <w:snapToGrid w:val="0"/>
          <w:sz w:val="20"/>
          <w:szCs w:val="20"/>
          <w:lang w:val="en-US" w:eastAsia="es-ES"/>
        </w:rPr>
        <w:t xml:space="preserve">on December 21, </w:t>
      </w:r>
      <w:r w:rsidR="00B5399E" w:rsidRPr="00AC57EA">
        <w:rPr>
          <w:rFonts w:cs="Verdana"/>
          <w:snapToGrid w:val="0"/>
          <w:sz w:val="20"/>
          <w:szCs w:val="20"/>
          <w:lang w:val="en-US" w:eastAsia="es-ES"/>
        </w:rPr>
        <w:t>2017.</w:t>
      </w:r>
    </w:p>
    <w:p w14:paraId="59085CA4" w14:textId="77777777" w:rsidR="00B5399E" w:rsidRPr="00AC57EA" w:rsidRDefault="00B5399E" w:rsidP="00B5399E">
      <w:pPr>
        <w:tabs>
          <w:tab w:val="left" w:pos="567"/>
          <w:tab w:val="num" w:pos="6042"/>
        </w:tabs>
        <w:autoSpaceDE w:val="0"/>
        <w:autoSpaceDN w:val="0"/>
        <w:spacing w:line="240" w:lineRule="auto"/>
        <w:rPr>
          <w:rFonts w:eastAsia="Calibri" w:cs="Verdana"/>
          <w:snapToGrid w:val="0"/>
          <w:sz w:val="20"/>
          <w:szCs w:val="20"/>
          <w:lang w:val="en-US" w:eastAsia="es-ES"/>
        </w:rPr>
      </w:pPr>
    </w:p>
    <w:p w14:paraId="30D6DC6A" w14:textId="6299295A" w:rsidR="006C37C9" w:rsidRPr="00AC57EA" w:rsidRDefault="006C37C9" w:rsidP="00C8070B">
      <w:pPr>
        <w:numPr>
          <w:ilvl w:val="0"/>
          <w:numId w:val="2"/>
        </w:numPr>
        <w:tabs>
          <w:tab w:val="left" w:pos="567"/>
          <w:tab w:val="num" w:pos="12305"/>
        </w:tabs>
        <w:spacing w:line="240" w:lineRule="auto"/>
        <w:ind w:left="0" w:firstLine="0"/>
        <w:rPr>
          <w:rFonts w:cs="Verdana"/>
          <w:snapToGrid w:val="0"/>
          <w:sz w:val="20"/>
          <w:szCs w:val="20"/>
          <w:lang w:val="en-US" w:eastAsia="es-ES"/>
        </w:rPr>
      </w:pPr>
      <w:r w:rsidRPr="00AC57EA">
        <w:rPr>
          <w:rFonts w:cs="Verdana"/>
          <w:i/>
          <w:snapToGrid w:val="0"/>
          <w:sz w:val="20"/>
          <w:szCs w:val="20"/>
          <w:lang w:val="en-US" w:eastAsia="es-ES"/>
        </w:rPr>
        <w:t>Delibera</w:t>
      </w:r>
      <w:r w:rsidR="009E569E" w:rsidRPr="00AC57EA">
        <w:rPr>
          <w:rFonts w:cs="Verdana"/>
          <w:i/>
          <w:snapToGrid w:val="0"/>
          <w:sz w:val="20"/>
          <w:szCs w:val="20"/>
          <w:lang w:val="en-US" w:eastAsia="es-ES"/>
        </w:rPr>
        <w:t>tion of this case</w:t>
      </w:r>
      <w:r w:rsidRPr="00AC57EA">
        <w:rPr>
          <w:rFonts w:cs="Verdana"/>
          <w:i/>
          <w:iCs/>
          <w:snapToGrid w:val="0"/>
          <w:sz w:val="20"/>
          <w:szCs w:val="20"/>
          <w:lang w:val="en-US" w:eastAsia="es-ES"/>
        </w:rPr>
        <w:t xml:space="preserve">. </w:t>
      </w:r>
      <w:r w:rsidR="00B7258C" w:rsidRPr="00AC57EA">
        <w:rPr>
          <w:rFonts w:cs="Verdana"/>
          <w:snapToGrid w:val="0"/>
          <w:sz w:val="20"/>
          <w:szCs w:val="20"/>
          <w:lang w:val="en-US" w:eastAsia="es-ES"/>
        </w:rPr>
        <w:t>The Court</w:t>
      </w:r>
      <w:r w:rsidR="00393D8D" w:rsidRPr="00AC57EA">
        <w:rPr>
          <w:rFonts w:cs="Verdana"/>
          <w:snapToGrid w:val="0"/>
          <w:sz w:val="20"/>
          <w:szCs w:val="20"/>
          <w:lang w:val="en-US" w:eastAsia="es-ES"/>
        </w:rPr>
        <w:t xml:space="preserve"> </w:t>
      </w:r>
      <w:r w:rsidR="009E569E" w:rsidRPr="00AC57EA">
        <w:rPr>
          <w:rFonts w:cs="Verdana"/>
          <w:snapToGrid w:val="0"/>
          <w:sz w:val="20"/>
          <w:szCs w:val="20"/>
          <w:lang w:val="en-US" w:eastAsia="es-ES"/>
        </w:rPr>
        <w:t xml:space="preserve">began deliberating </w:t>
      </w:r>
      <w:r w:rsidR="00171E27" w:rsidRPr="00AC57EA">
        <w:rPr>
          <w:rFonts w:cs="Verdana"/>
          <w:snapToGrid w:val="0"/>
          <w:sz w:val="20"/>
          <w:szCs w:val="20"/>
          <w:lang w:val="en-US" w:eastAsia="es-ES"/>
        </w:rPr>
        <w:t>this judgment</w:t>
      </w:r>
      <w:r w:rsidR="00393D8D" w:rsidRPr="00AC57EA">
        <w:rPr>
          <w:rFonts w:cs="Verdana"/>
          <w:snapToGrid w:val="0"/>
          <w:sz w:val="20"/>
          <w:szCs w:val="20"/>
          <w:lang w:val="en-US" w:eastAsia="es-ES"/>
        </w:rPr>
        <w:t xml:space="preserve"> </w:t>
      </w:r>
      <w:r w:rsidR="009E569E" w:rsidRPr="00AC57EA">
        <w:rPr>
          <w:rFonts w:cs="Verdana"/>
          <w:snapToGrid w:val="0"/>
          <w:sz w:val="20"/>
          <w:szCs w:val="20"/>
          <w:lang w:val="en-US" w:eastAsia="es-ES"/>
        </w:rPr>
        <w:t>on</w:t>
      </w:r>
      <w:r w:rsidR="00393D8D" w:rsidRPr="00AC57EA">
        <w:rPr>
          <w:rFonts w:cs="Verdana"/>
          <w:snapToGrid w:val="0"/>
          <w:sz w:val="20"/>
          <w:szCs w:val="20"/>
          <w:lang w:val="en-US" w:eastAsia="es-ES"/>
        </w:rPr>
        <w:t xml:space="preserve"> </w:t>
      </w:r>
      <w:r w:rsidR="00B7258C" w:rsidRPr="00AC57EA">
        <w:rPr>
          <w:rFonts w:cs="Verdana"/>
          <w:snapToGrid w:val="0"/>
          <w:sz w:val="20"/>
          <w:szCs w:val="20"/>
          <w:lang w:val="en-US" w:eastAsia="es-ES"/>
        </w:rPr>
        <w:t>March 8,</w:t>
      </w:r>
      <w:r w:rsidR="00393D8D" w:rsidRPr="00AC57EA">
        <w:rPr>
          <w:rFonts w:cs="Verdana"/>
          <w:snapToGrid w:val="0"/>
          <w:sz w:val="20"/>
          <w:szCs w:val="20"/>
          <w:lang w:val="en-US" w:eastAsia="es-ES"/>
        </w:rPr>
        <w:t xml:space="preserve"> 2018.</w:t>
      </w:r>
    </w:p>
    <w:p w14:paraId="28D45EFA" w14:textId="77777777" w:rsidR="00540FB2" w:rsidRPr="00AC57EA" w:rsidRDefault="00540FB2" w:rsidP="00540FB2">
      <w:pPr>
        <w:tabs>
          <w:tab w:val="left" w:pos="567"/>
        </w:tabs>
        <w:spacing w:line="240" w:lineRule="auto"/>
        <w:rPr>
          <w:rFonts w:cs="Verdana"/>
          <w:snapToGrid w:val="0"/>
          <w:sz w:val="20"/>
          <w:szCs w:val="20"/>
          <w:lang w:val="en-US" w:eastAsia="es-ES"/>
        </w:rPr>
      </w:pPr>
    </w:p>
    <w:p w14:paraId="3DD2AA5F" w14:textId="77777777" w:rsidR="006C37C9" w:rsidRPr="00AC57EA" w:rsidRDefault="006C37C9" w:rsidP="00393D8D">
      <w:pPr>
        <w:spacing w:line="240" w:lineRule="auto"/>
        <w:rPr>
          <w:rFonts w:eastAsia="Verdana" w:cs="Verdana"/>
          <w:sz w:val="20"/>
          <w:szCs w:val="20"/>
          <w:lang w:val="en-US"/>
        </w:rPr>
      </w:pPr>
    </w:p>
    <w:p w14:paraId="55DECC83" w14:textId="633BD547" w:rsidR="006C37C9" w:rsidRPr="00AC57EA" w:rsidRDefault="006C37C9" w:rsidP="00A93967">
      <w:pPr>
        <w:keepNext/>
        <w:keepLines/>
        <w:tabs>
          <w:tab w:val="left" w:pos="851"/>
        </w:tabs>
        <w:spacing w:line="240" w:lineRule="auto"/>
        <w:jc w:val="center"/>
        <w:outlineLvl w:val="0"/>
        <w:rPr>
          <w:rFonts w:cs="Verdana"/>
          <w:b/>
          <w:bCs/>
          <w:caps/>
          <w:snapToGrid w:val="0"/>
          <w:sz w:val="20"/>
          <w:szCs w:val="20"/>
          <w:lang w:val="en-US"/>
        </w:rPr>
      </w:pPr>
      <w:bookmarkStart w:id="27" w:name="_Toc470180034"/>
      <w:bookmarkStart w:id="28" w:name="_Toc514172591"/>
      <w:r w:rsidRPr="00AC57EA">
        <w:rPr>
          <w:rFonts w:cs="Verdana"/>
          <w:b/>
          <w:bCs/>
          <w:caps/>
          <w:snapToGrid w:val="0"/>
          <w:sz w:val="20"/>
          <w:szCs w:val="20"/>
          <w:lang w:val="en-US"/>
        </w:rPr>
        <w:t>III</w:t>
      </w:r>
      <w:r w:rsidRPr="00AC57EA">
        <w:rPr>
          <w:rFonts w:cs="Verdana"/>
          <w:b/>
          <w:bCs/>
          <w:caps/>
          <w:snapToGrid w:val="0"/>
          <w:sz w:val="20"/>
          <w:szCs w:val="20"/>
          <w:lang w:val="en-US"/>
        </w:rPr>
        <w:br/>
      </w:r>
      <w:r w:rsidR="009E569E" w:rsidRPr="00AC57EA">
        <w:rPr>
          <w:rFonts w:cs="Verdana"/>
          <w:b/>
          <w:bCs/>
          <w:caps/>
          <w:snapToGrid w:val="0"/>
          <w:sz w:val="20"/>
          <w:szCs w:val="20"/>
          <w:lang w:val="en-US"/>
        </w:rPr>
        <w:t>JURISDICTION</w:t>
      </w:r>
      <w:bookmarkEnd w:id="27"/>
      <w:bookmarkEnd w:id="28"/>
    </w:p>
    <w:p w14:paraId="5F589ACD" w14:textId="77777777" w:rsidR="006C37C9" w:rsidRPr="00AC57EA" w:rsidRDefault="006C37C9" w:rsidP="006C37C9">
      <w:pPr>
        <w:spacing w:before="5" w:line="240" w:lineRule="auto"/>
        <w:rPr>
          <w:sz w:val="20"/>
          <w:szCs w:val="20"/>
          <w:lang w:val="en-US"/>
        </w:rPr>
      </w:pPr>
    </w:p>
    <w:p w14:paraId="06C09D57" w14:textId="579E4EEF" w:rsidR="00540FB2" w:rsidRPr="00AC57EA" w:rsidRDefault="00B7258C" w:rsidP="00540FB2">
      <w:pPr>
        <w:numPr>
          <w:ilvl w:val="0"/>
          <w:numId w:val="2"/>
        </w:numPr>
        <w:tabs>
          <w:tab w:val="left" w:pos="567"/>
          <w:tab w:val="num" w:pos="12305"/>
        </w:tabs>
        <w:spacing w:line="240" w:lineRule="auto"/>
        <w:ind w:left="0" w:firstLine="0"/>
        <w:rPr>
          <w:lang w:val="en-US"/>
        </w:rPr>
      </w:pPr>
      <w:r w:rsidRPr="00AC57EA">
        <w:rPr>
          <w:sz w:val="20"/>
          <w:lang w:val="en-US"/>
        </w:rPr>
        <w:t>The Inter-American Court</w:t>
      </w:r>
      <w:r w:rsidR="006C37C9" w:rsidRPr="00AC57EA">
        <w:rPr>
          <w:sz w:val="20"/>
          <w:lang w:val="en-US"/>
        </w:rPr>
        <w:t xml:space="preserve"> </w:t>
      </w:r>
      <w:r w:rsidR="009E569E" w:rsidRPr="00AC57EA">
        <w:rPr>
          <w:sz w:val="20"/>
          <w:lang w:val="en-US"/>
        </w:rPr>
        <w:t xml:space="preserve">has jurisdiction to hear this case, pursuant to </w:t>
      </w:r>
      <w:r w:rsidR="00171E27" w:rsidRPr="00AC57EA">
        <w:rPr>
          <w:sz w:val="20"/>
          <w:lang w:val="en-US"/>
        </w:rPr>
        <w:t>Article</w:t>
      </w:r>
      <w:r w:rsidR="006C37C9" w:rsidRPr="00AC57EA">
        <w:rPr>
          <w:sz w:val="20"/>
          <w:lang w:val="en-US"/>
        </w:rPr>
        <w:t xml:space="preserve"> 62</w:t>
      </w:r>
      <w:r w:rsidR="009E569E" w:rsidRPr="00AC57EA">
        <w:rPr>
          <w:sz w:val="20"/>
          <w:lang w:val="en-US"/>
        </w:rPr>
        <w:t>(</w:t>
      </w:r>
      <w:r w:rsidR="006C37C9" w:rsidRPr="00AC57EA">
        <w:rPr>
          <w:sz w:val="20"/>
          <w:lang w:val="en-US"/>
        </w:rPr>
        <w:t>3</w:t>
      </w:r>
      <w:r w:rsidR="009E569E" w:rsidRPr="00AC57EA">
        <w:rPr>
          <w:sz w:val="20"/>
          <w:lang w:val="en-US"/>
        </w:rPr>
        <w:t>)</w:t>
      </w:r>
      <w:r w:rsidRPr="00AC57EA">
        <w:rPr>
          <w:sz w:val="20"/>
          <w:lang w:val="en-US"/>
        </w:rPr>
        <w:t xml:space="preserve"> of the American Convention</w:t>
      </w:r>
      <w:r w:rsidR="00540FB2" w:rsidRPr="00AC57EA">
        <w:rPr>
          <w:sz w:val="20"/>
          <w:lang w:val="en-US"/>
        </w:rPr>
        <w:t xml:space="preserve">, </w:t>
      </w:r>
      <w:r w:rsidR="009E569E" w:rsidRPr="00AC57EA">
        <w:rPr>
          <w:rFonts w:cs="Verdana"/>
          <w:sz w:val="20"/>
          <w:szCs w:val="20"/>
          <w:lang w:val="en-US"/>
        </w:rPr>
        <w:t>because</w:t>
      </w:r>
      <w:r w:rsidR="006C37C9" w:rsidRPr="00AC57EA">
        <w:rPr>
          <w:rFonts w:cs="Verdana"/>
          <w:sz w:val="20"/>
          <w:szCs w:val="20"/>
          <w:lang w:val="en-US"/>
        </w:rPr>
        <w:t xml:space="preserve"> </w:t>
      </w:r>
      <w:r w:rsidR="00DF4CDE" w:rsidRPr="00AC57EA">
        <w:rPr>
          <w:sz w:val="20"/>
          <w:lang w:val="en-US"/>
        </w:rPr>
        <w:t>Nicaragua</w:t>
      </w:r>
      <w:r w:rsidR="006C37C9" w:rsidRPr="00AC57EA">
        <w:rPr>
          <w:sz w:val="20"/>
          <w:lang w:val="en-US"/>
        </w:rPr>
        <w:t xml:space="preserve"> </w:t>
      </w:r>
      <w:r w:rsidR="009E569E" w:rsidRPr="00AC57EA">
        <w:rPr>
          <w:sz w:val="20"/>
          <w:lang w:val="en-US"/>
        </w:rPr>
        <w:t xml:space="preserve">has been a State Party to </w:t>
      </w:r>
      <w:r w:rsidR="00171E27" w:rsidRPr="00AC57EA">
        <w:rPr>
          <w:rFonts w:cs="Verdana"/>
          <w:sz w:val="20"/>
          <w:szCs w:val="20"/>
          <w:lang w:val="en-US"/>
        </w:rPr>
        <w:t>this instrument</w:t>
      </w:r>
      <w:r w:rsidR="006C37C9" w:rsidRPr="00AC57EA">
        <w:rPr>
          <w:rFonts w:cs="Verdana"/>
          <w:sz w:val="20"/>
          <w:szCs w:val="20"/>
          <w:lang w:val="en-US"/>
        </w:rPr>
        <w:t xml:space="preserve"> </w:t>
      </w:r>
      <w:r w:rsidR="009E569E" w:rsidRPr="00AC57EA">
        <w:rPr>
          <w:rFonts w:cs="Verdana"/>
          <w:sz w:val="20"/>
          <w:szCs w:val="20"/>
          <w:lang w:val="en-US"/>
        </w:rPr>
        <w:t>since September</w:t>
      </w:r>
      <w:r w:rsidR="006C37C9" w:rsidRPr="00AC57EA">
        <w:rPr>
          <w:rFonts w:cs="Verdana"/>
          <w:sz w:val="20"/>
          <w:szCs w:val="20"/>
          <w:lang w:val="en-US"/>
        </w:rPr>
        <w:t xml:space="preserve"> </w:t>
      </w:r>
      <w:r w:rsidR="00DF4CDE" w:rsidRPr="00AC57EA">
        <w:rPr>
          <w:sz w:val="20"/>
          <w:lang w:val="en-US"/>
        </w:rPr>
        <w:t>25</w:t>
      </w:r>
      <w:r w:rsidR="009E569E" w:rsidRPr="00AC57EA">
        <w:rPr>
          <w:sz w:val="20"/>
          <w:lang w:val="en-US"/>
        </w:rPr>
        <w:t xml:space="preserve">, </w:t>
      </w:r>
      <w:r w:rsidR="006C37C9" w:rsidRPr="00AC57EA">
        <w:rPr>
          <w:sz w:val="20"/>
          <w:lang w:val="en-US"/>
        </w:rPr>
        <w:t>1979</w:t>
      </w:r>
      <w:r w:rsidR="006C37C9" w:rsidRPr="00AC57EA">
        <w:rPr>
          <w:rFonts w:cs="Verdana"/>
          <w:sz w:val="20"/>
          <w:szCs w:val="20"/>
          <w:lang w:val="en-US"/>
        </w:rPr>
        <w:t>,</w:t>
      </w:r>
      <w:r w:rsidR="00171E27" w:rsidRPr="00AC57EA">
        <w:rPr>
          <w:rFonts w:cs="Verdana"/>
          <w:sz w:val="20"/>
          <w:szCs w:val="20"/>
          <w:lang w:val="en-US"/>
        </w:rPr>
        <w:t xml:space="preserve"> and </w:t>
      </w:r>
      <w:r w:rsidR="009E569E" w:rsidRPr="00AC57EA">
        <w:rPr>
          <w:rFonts w:cs="Verdana"/>
          <w:sz w:val="20"/>
          <w:szCs w:val="20"/>
          <w:lang w:val="en-US"/>
        </w:rPr>
        <w:t>accepted the contentious jurisdiction of the Court on February 12, 1991. In addition, Nicaragua deposited the instrument ratifying</w:t>
      </w:r>
      <w:r w:rsidRPr="00AC57EA">
        <w:rPr>
          <w:sz w:val="20"/>
          <w:szCs w:val="20"/>
          <w:lang w:val="en-US"/>
        </w:rPr>
        <w:t xml:space="preserve"> the </w:t>
      </w:r>
      <w:r w:rsidR="00171E27" w:rsidRPr="00AC57EA">
        <w:rPr>
          <w:sz w:val="20"/>
          <w:szCs w:val="20"/>
          <w:lang w:val="en-US"/>
        </w:rPr>
        <w:t>Convention of Belém</w:t>
      </w:r>
      <w:r w:rsidR="00AF089D" w:rsidRPr="00AC57EA">
        <w:rPr>
          <w:sz w:val="20"/>
          <w:szCs w:val="20"/>
          <w:lang w:val="en-US"/>
        </w:rPr>
        <w:t xml:space="preserve"> do Pará </w:t>
      </w:r>
      <w:r w:rsidR="009E569E" w:rsidRPr="00AC57EA">
        <w:rPr>
          <w:sz w:val="20"/>
          <w:szCs w:val="20"/>
          <w:lang w:val="en-US"/>
        </w:rPr>
        <w:t xml:space="preserve">on </w:t>
      </w:r>
      <w:r w:rsidR="000B6728" w:rsidRPr="00AC57EA">
        <w:rPr>
          <w:sz w:val="20"/>
          <w:szCs w:val="20"/>
          <w:lang w:val="en-US"/>
        </w:rPr>
        <w:t>December</w:t>
      </w:r>
      <w:r w:rsidR="009E569E" w:rsidRPr="00AC57EA">
        <w:rPr>
          <w:sz w:val="20"/>
          <w:szCs w:val="20"/>
          <w:lang w:val="en-US"/>
        </w:rPr>
        <w:t xml:space="preserve"> 12, </w:t>
      </w:r>
      <w:r w:rsidR="00AF089D" w:rsidRPr="00AC57EA">
        <w:rPr>
          <w:sz w:val="20"/>
          <w:szCs w:val="20"/>
          <w:lang w:val="en-US"/>
        </w:rPr>
        <w:t>1995.</w:t>
      </w:r>
    </w:p>
    <w:p w14:paraId="6F4700BC" w14:textId="77777777" w:rsidR="00540FB2" w:rsidRPr="00AC57EA" w:rsidRDefault="00540FB2" w:rsidP="00540FB2">
      <w:pPr>
        <w:tabs>
          <w:tab w:val="left" w:pos="567"/>
        </w:tabs>
        <w:spacing w:line="240" w:lineRule="auto"/>
        <w:rPr>
          <w:lang w:val="en-US"/>
        </w:rPr>
      </w:pPr>
    </w:p>
    <w:p w14:paraId="1DA24553" w14:textId="77777777" w:rsidR="007A1A14" w:rsidRPr="00AC57EA" w:rsidRDefault="007A1A14" w:rsidP="007A1A14">
      <w:pPr>
        <w:tabs>
          <w:tab w:val="left" w:pos="720"/>
          <w:tab w:val="num" w:pos="1569"/>
        </w:tabs>
        <w:spacing w:line="240" w:lineRule="auto"/>
        <w:ind w:right="-90"/>
        <w:rPr>
          <w:sz w:val="20"/>
          <w:szCs w:val="20"/>
          <w:lang w:val="en-US"/>
        </w:rPr>
      </w:pPr>
    </w:p>
    <w:p w14:paraId="754A39DF" w14:textId="74727B0D" w:rsidR="00DD00E7" w:rsidRPr="00AC57EA" w:rsidRDefault="00DD00E7" w:rsidP="00DD00E7">
      <w:pPr>
        <w:keepNext/>
        <w:keepLines/>
        <w:tabs>
          <w:tab w:val="left" w:pos="851"/>
        </w:tabs>
        <w:spacing w:line="240" w:lineRule="auto"/>
        <w:jc w:val="center"/>
        <w:outlineLvl w:val="0"/>
        <w:rPr>
          <w:rFonts w:cs="Verdana"/>
          <w:b/>
          <w:bCs/>
          <w:caps/>
          <w:snapToGrid w:val="0"/>
          <w:sz w:val="20"/>
          <w:szCs w:val="20"/>
          <w:lang w:val="en-US"/>
        </w:rPr>
      </w:pPr>
      <w:bookmarkStart w:id="29" w:name="_Toc375062713"/>
      <w:bookmarkStart w:id="30" w:name="_Toc375140863"/>
      <w:bookmarkStart w:id="31" w:name="_Toc375504822"/>
      <w:bookmarkStart w:id="32" w:name="_Toc375560896"/>
      <w:bookmarkStart w:id="33" w:name="_Toc428369979"/>
      <w:bookmarkStart w:id="34" w:name="_Toc459158095"/>
      <w:bookmarkStart w:id="35" w:name="_Toc401931881"/>
      <w:bookmarkStart w:id="36" w:name="_Toc460857358"/>
      <w:bookmarkStart w:id="37" w:name="_Toc514172592"/>
      <w:r w:rsidRPr="00AC57EA">
        <w:rPr>
          <w:rFonts w:cs="Verdana"/>
          <w:b/>
          <w:bCs/>
          <w:caps/>
          <w:snapToGrid w:val="0"/>
          <w:sz w:val="20"/>
          <w:szCs w:val="20"/>
          <w:lang w:val="en-US"/>
        </w:rPr>
        <w:t>IV</w:t>
      </w:r>
      <w:r w:rsidRPr="00AC57EA">
        <w:rPr>
          <w:rFonts w:cs="Verdana"/>
          <w:b/>
          <w:bCs/>
          <w:caps/>
          <w:snapToGrid w:val="0"/>
          <w:sz w:val="20"/>
          <w:szCs w:val="20"/>
          <w:lang w:val="en-US"/>
        </w:rPr>
        <w:br/>
      </w:r>
      <w:bookmarkEnd w:id="29"/>
      <w:bookmarkEnd w:id="30"/>
      <w:bookmarkEnd w:id="31"/>
      <w:bookmarkEnd w:id="32"/>
      <w:r w:rsidR="00DF2B30" w:rsidRPr="00AC57EA">
        <w:rPr>
          <w:rFonts w:cs="Verdana"/>
          <w:b/>
          <w:bCs/>
          <w:caps/>
          <w:snapToGrid w:val="0"/>
          <w:sz w:val="20"/>
          <w:szCs w:val="20"/>
          <w:lang w:val="en-US"/>
        </w:rPr>
        <w:t>PRELIMINARY OBJECTIONS</w:t>
      </w:r>
      <w:bookmarkEnd w:id="33"/>
      <w:bookmarkEnd w:id="34"/>
      <w:bookmarkEnd w:id="35"/>
      <w:bookmarkEnd w:id="36"/>
      <w:bookmarkEnd w:id="37"/>
    </w:p>
    <w:p w14:paraId="3B9B0D1C" w14:textId="77777777" w:rsidR="00DD00E7" w:rsidRPr="00AC57EA" w:rsidRDefault="00DD00E7" w:rsidP="00DD00E7">
      <w:pPr>
        <w:widowControl/>
        <w:tabs>
          <w:tab w:val="left" w:pos="540"/>
        </w:tabs>
        <w:autoSpaceDE w:val="0"/>
        <w:autoSpaceDN w:val="0"/>
        <w:spacing w:line="240" w:lineRule="auto"/>
        <w:textAlignment w:val="auto"/>
        <w:rPr>
          <w:rFonts w:eastAsia="Batang" w:cs="Arial"/>
          <w:iCs/>
          <w:sz w:val="20"/>
          <w:szCs w:val="20"/>
          <w:lang w:val="en-US" w:eastAsia="en-US"/>
        </w:rPr>
      </w:pPr>
    </w:p>
    <w:p w14:paraId="4652B0A1" w14:textId="6668EEAC" w:rsidR="00DD00E7" w:rsidRPr="00AC57EA" w:rsidRDefault="00EC52D7" w:rsidP="00C8070B">
      <w:pPr>
        <w:numPr>
          <w:ilvl w:val="0"/>
          <w:numId w:val="2"/>
        </w:numPr>
        <w:tabs>
          <w:tab w:val="left" w:pos="567"/>
          <w:tab w:val="num" w:pos="12305"/>
        </w:tabs>
        <w:spacing w:line="240" w:lineRule="auto"/>
        <w:ind w:left="0" w:firstLine="0"/>
        <w:rPr>
          <w:rFonts w:eastAsia="Batang" w:cs="Arial"/>
          <w:iCs/>
          <w:sz w:val="20"/>
          <w:szCs w:val="20"/>
          <w:lang w:val="en-US" w:eastAsia="en-US"/>
        </w:rPr>
      </w:pPr>
      <w:bookmarkStart w:id="38" w:name="_Ref487106063"/>
      <w:r w:rsidRPr="00AC57EA">
        <w:rPr>
          <w:rFonts w:eastAsia="Batang" w:cs="Arial"/>
          <w:iCs/>
          <w:sz w:val="20"/>
          <w:szCs w:val="20"/>
          <w:lang w:val="en-US" w:eastAsia="en-US"/>
        </w:rPr>
        <w:t>The State</w:t>
      </w:r>
      <w:r w:rsidR="00DD00E7" w:rsidRPr="00AC57EA">
        <w:rPr>
          <w:rFonts w:eastAsia="Batang" w:cs="Arial"/>
          <w:iCs/>
          <w:sz w:val="20"/>
          <w:szCs w:val="20"/>
          <w:lang w:val="en-US" w:eastAsia="en-US"/>
        </w:rPr>
        <w:t xml:space="preserve"> </w:t>
      </w:r>
      <w:r w:rsidR="009E569E" w:rsidRPr="00AC57EA">
        <w:rPr>
          <w:rFonts w:eastAsia="Batang" w:cs="Arial"/>
          <w:iCs/>
          <w:sz w:val="20"/>
          <w:szCs w:val="20"/>
          <w:lang w:val="en-US" w:eastAsia="en-US"/>
        </w:rPr>
        <w:t>filed the following</w:t>
      </w:r>
      <w:r w:rsidR="00DD00E7" w:rsidRPr="00AC57EA">
        <w:rPr>
          <w:rFonts w:eastAsia="Batang" w:cs="Arial"/>
          <w:iCs/>
          <w:sz w:val="20"/>
          <w:szCs w:val="20"/>
          <w:lang w:val="en-US" w:eastAsia="en-US"/>
        </w:rPr>
        <w:t xml:space="preserve"> </w:t>
      </w:r>
      <w:r w:rsidR="00DF2B30" w:rsidRPr="00AC57EA">
        <w:rPr>
          <w:rFonts w:eastAsia="Batang" w:cs="Arial"/>
          <w:iCs/>
          <w:sz w:val="20"/>
          <w:szCs w:val="20"/>
          <w:lang w:val="en-US" w:eastAsia="en-US"/>
        </w:rPr>
        <w:t>preliminary objections</w:t>
      </w:r>
      <w:r w:rsidR="00306B01" w:rsidRPr="00AC57EA">
        <w:rPr>
          <w:rFonts w:eastAsia="Batang" w:cs="Arial"/>
          <w:iCs/>
          <w:sz w:val="20"/>
          <w:szCs w:val="20"/>
          <w:lang w:val="en-US" w:eastAsia="en-US"/>
        </w:rPr>
        <w:t xml:space="preserve"> </w:t>
      </w:r>
      <w:r w:rsidR="009E569E" w:rsidRPr="00AC57EA">
        <w:rPr>
          <w:rFonts w:eastAsia="Batang" w:cs="Arial"/>
          <w:iCs/>
          <w:sz w:val="20"/>
          <w:szCs w:val="20"/>
          <w:lang w:val="en-US" w:eastAsia="en-US"/>
        </w:rPr>
        <w:t>in its</w:t>
      </w:r>
      <w:r w:rsidR="00306B01" w:rsidRPr="00AC57EA">
        <w:rPr>
          <w:rFonts w:eastAsia="Batang" w:cs="Arial"/>
          <w:iCs/>
          <w:sz w:val="20"/>
          <w:szCs w:val="20"/>
          <w:lang w:val="en-US" w:eastAsia="en-US"/>
        </w:rPr>
        <w:t xml:space="preserve"> </w:t>
      </w:r>
      <w:r w:rsidR="00F75187" w:rsidRPr="00AC57EA">
        <w:rPr>
          <w:rFonts w:eastAsia="Batang" w:cs="Arial"/>
          <w:iCs/>
          <w:sz w:val="20"/>
          <w:szCs w:val="20"/>
          <w:lang w:val="en-US" w:eastAsia="en-US"/>
        </w:rPr>
        <w:t>answering brief</w:t>
      </w:r>
      <w:r w:rsidR="00DD00E7" w:rsidRPr="00AC57EA">
        <w:rPr>
          <w:rFonts w:eastAsia="Batang" w:cs="Arial"/>
          <w:iCs/>
          <w:sz w:val="20"/>
          <w:szCs w:val="20"/>
          <w:lang w:val="en-US" w:eastAsia="en-US"/>
        </w:rPr>
        <w:t xml:space="preserve">: </w:t>
      </w:r>
      <w:r w:rsidR="009E569E" w:rsidRPr="00AC57EA">
        <w:rPr>
          <w:rFonts w:eastAsia="Batang" w:cs="Arial"/>
          <w:iCs/>
          <w:sz w:val="20"/>
          <w:szCs w:val="20"/>
          <w:lang w:val="en-US" w:eastAsia="en-US"/>
        </w:rPr>
        <w:t xml:space="preserve">alleged failure to exhaust domestic remedies; alleged lack of jurisdiction </w:t>
      </w:r>
      <w:r w:rsidR="00C8094A" w:rsidRPr="00AC57EA">
        <w:rPr>
          <w:rFonts w:eastAsia="Batang" w:cs="Arial"/>
          <w:i/>
          <w:iCs/>
          <w:sz w:val="20"/>
          <w:szCs w:val="20"/>
          <w:lang w:val="en-US" w:eastAsia="en-US"/>
        </w:rPr>
        <w:t>ratione temporis</w:t>
      </w:r>
      <w:r w:rsidR="00B7258C" w:rsidRPr="00AC57EA">
        <w:rPr>
          <w:rFonts w:eastAsia="Batang" w:cs="Arial"/>
          <w:iCs/>
          <w:sz w:val="20"/>
          <w:szCs w:val="20"/>
          <w:lang w:val="en-US" w:eastAsia="en-US"/>
        </w:rPr>
        <w:t xml:space="preserve"> of the </w:t>
      </w:r>
      <w:r w:rsidR="009E569E" w:rsidRPr="00AC57EA">
        <w:rPr>
          <w:rFonts w:eastAsia="Batang" w:cs="Arial"/>
          <w:iCs/>
          <w:sz w:val="20"/>
          <w:szCs w:val="20"/>
          <w:lang w:val="en-US" w:eastAsia="en-US"/>
        </w:rPr>
        <w:t xml:space="preserve">Inter-American </w:t>
      </w:r>
      <w:r w:rsidR="00B7258C" w:rsidRPr="00AC57EA">
        <w:rPr>
          <w:rFonts w:eastAsia="Batang" w:cs="Arial"/>
          <w:iCs/>
          <w:sz w:val="20"/>
          <w:szCs w:val="20"/>
          <w:lang w:val="en-US" w:eastAsia="en-US"/>
        </w:rPr>
        <w:t>Commission</w:t>
      </w:r>
      <w:r w:rsidR="00171E27" w:rsidRPr="00AC57EA">
        <w:rPr>
          <w:rFonts w:eastAsia="Batang" w:cs="Arial"/>
          <w:iCs/>
          <w:sz w:val="20"/>
          <w:szCs w:val="20"/>
          <w:lang w:val="en-US" w:eastAsia="en-US"/>
        </w:rPr>
        <w:t xml:space="preserve"> and</w:t>
      </w:r>
      <w:r w:rsidR="00B7258C" w:rsidRPr="00AC57EA">
        <w:rPr>
          <w:rFonts w:eastAsia="Batang" w:cs="Arial"/>
          <w:iCs/>
          <w:sz w:val="20"/>
          <w:szCs w:val="20"/>
          <w:lang w:val="en-US" w:eastAsia="en-US"/>
        </w:rPr>
        <w:t xml:space="preserve"> Court</w:t>
      </w:r>
      <w:r w:rsidR="0026739F" w:rsidRPr="00AC57EA">
        <w:rPr>
          <w:rFonts w:eastAsia="Batang" w:cs="Arial"/>
          <w:iCs/>
          <w:sz w:val="20"/>
          <w:szCs w:val="20"/>
          <w:lang w:val="en-US" w:eastAsia="en-US"/>
        </w:rPr>
        <w:t>,</w:t>
      </w:r>
      <w:r w:rsidR="00171E27" w:rsidRPr="00AC57EA">
        <w:rPr>
          <w:rFonts w:eastAsia="Batang" w:cs="Arial"/>
          <w:iCs/>
          <w:sz w:val="20"/>
          <w:szCs w:val="20"/>
          <w:lang w:val="en-US" w:eastAsia="en-US"/>
        </w:rPr>
        <w:t xml:space="preserve"> and </w:t>
      </w:r>
      <w:r w:rsidR="009E569E" w:rsidRPr="00AC57EA">
        <w:rPr>
          <w:rFonts w:eastAsia="Batang" w:cs="Arial"/>
          <w:iCs/>
          <w:sz w:val="20"/>
          <w:szCs w:val="20"/>
          <w:lang w:val="en-US" w:eastAsia="en-US"/>
        </w:rPr>
        <w:t xml:space="preserve">alleged lack of jurisdiction </w:t>
      </w:r>
      <w:r w:rsidR="0026739F" w:rsidRPr="00AC57EA">
        <w:rPr>
          <w:rFonts w:eastAsia="Batang" w:cs="Arial"/>
          <w:i/>
          <w:iCs/>
          <w:sz w:val="20"/>
          <w:szCs w:val="20"/>
          <w:lang w:val="en-US" w:eastAsia="en-US"/>
        </w:rPr>
        <w:t>ratione materiae</w:t>
      </w:r>
      <w:r w:rsidR="00B7258C" w:rsidRPr="00AC57EA">
        <w:rPr>
          <w:rFonts w:eastAsia="Batang" w:cs="Arial"/>
          <w:iCs/>
          <w:sz w:val="20"/>
          <w:szCs w:val="20"/>
          <w:lang w:val="en-US" w:eastAsia="en-US"/>
        </w:rPr>
        <w:t xml:space="preserve"> of the Court</w:t>
      </w:r>
      <w:r w:rsidR="0026739F" w:rsidRPr="00AC57EA">
        <w:rPr>
          <w:rFonts w:eastAsia="Batang" w:cs="Arial"/>
          <w:iCs/>
          <w:sz w:val="20"/>
          <w:szCs w:val="20"/>
          <w:lang w:val="en-US" w:eastAsia="en-US"/>
        </w:rPr>
        <w:t xml:space="preserve"> </w:t>
      </w:r>
      <w:r w:rsidR="009E569E" w:rsidRPr="00AC57EA">
        <w:rPr>
          <w:rFonts w:eastAsia="Batang" w:cs="Arial"/>
          <w:iCs/>
          <w:sz w:val="20"/>
          <w:szCs w:val="20"/>
          <w:lang w:val="en-US" w:eastAsia="en-US"/>
        </w:rPr>
        <w:t xml:space="preserve">in relation to the presumed violation of articles </w:t>
      </w:r>
      <w:r w:rsidR="00B7258C" w:rsidRPr="00AC57EA">
        <w:rPr>
          <w:rFonts w:eastAsia="Batang" w:cs="Arial"/>
          <w:iCs/>
          <w:sz w:val="20"/>
          <w:szCs w:val="20"/>
          <w:lang w:val="en-US" w:eastAsia="en-US"/>
        </w:rPr>
        <w:t xml:space="preserve">of the </w:t>
      </w:r>
      <w:r w:rsidR="00171E27" w:rsidRPr="00AC57EA">
        <w:rPr>
          <w:rFonts w:eastAsia="Batang" w:cs="Arial"/>
          <w:iCs/>
          <w:sz w:val="20"/>
          <w:szCs w:val="20"/>
          <w:lang w:val="en-US" w:eastAsia="en-US"/>
        </w:rPr>
        <w:t>Convention on the Rights of the Child</w:t>
      </w:r>
      <w:r w:rsidR="00DD00E7" w:rsidRPr="00AC57EA">
        <w:rPr>
          <w:rFonts w:eastAsia="Batang" w:cs="Arial"/>
          <w:iCs/>
          <w:sz w:val="20"/>
          <w:szCs w:val="20"/>
          <w:lang w:val="en-US" w:eastAsia="en-US"/>
        </w:rPr>
        <w:t>.</w:t>
      </w:r>
      <w:bookmarkEnd w:id="38"/>
      <w:r w:rsidR="004D1430" w:rsidRPr="00AC57EA">
        <w:rPr>
          <w:rFonts w:eastAsia="Batang" w:cs="Arial"/>
          <w:iCs/>
          <w:sz w:val="20"/>
          <w:szCs w:val="20"/>
          <w:lang w:val="en-US" w:eastAsia="en-US"/>
        </w:rPr>
        <w:t xml:space="preserve"> </w:t>
      </w:r>
      <w:r w:rsidR="00B7258C" w:rsidRPr="00AC57EA">
        <w:rPr>
          <w:rFonts w:eastAsia="Batang" w:cs="Arial"/>
          <w:iCs/>
          <w:sz w:val="20"/>
          <w:szCs w:val="20"/>
          <w:lang w:val="en-US" w:eastAsia="en-US"/>
        </w:rPr>
        <w:t>The Court</w:t>
      </w:r>
      <w:r w:rsidR="004D1430" w:rsidRPr="00AC57EA">
        <w:rPr>
          <w:rFonts w:eastAsia="Batang" w:cs="Arial"/>
          <w:iCs/>
          <w:sz w:val="20"/>
          <w:szCs w:val="20"/>
          <w:lang w:val="en-US" w:eastAsia="en-US"/>
        </w:rPr>
        <w:t xml:space="preserve"> </w:t>
      </w:r>
      <w:r w:rsidR="009E569E" w:rsidRPr="00AC57EA">
        <w:rPr>
          <w:rFonts w:eastAsia="Batang" w:cs="Arial"/>
          <w:iCs/>
          <w:sz w:val="20"/>
          <w:szCs w:val="20"/>
          <w:lang w:val="en-US" w:eastAsia="en-US"/>
        </w:rPr>
        <w:t xml:space="preserve">will decide these objections in the above order. </w:t>
      </w:r>
    </w:p>
    <w:p w14:paraId="6D4EF8F0" w14:textId="77777777" w:rsidR="00DD00E7" w:rsidRPr="00AC57EA" w:rsidRDefault="00DD00E7" w:rsidP="00DD00E7">
      <w:pPr>
        <w:widowControl/>
        <w:tabs>
          <w:tab w:val="left" w:pos="567"/>
        </w:tabs>
        <w:autoSpaceDE w:val="0"/>
        <w:autoSpaceDN w:val="0"/>
        <w:adjustRightInd/>
        <w:spacing w:line="240" w:lineRule="auto"/>
        <w:textAlignment w:val="auto"/>
        <w:rPr>
          <w:rFonts w:eastAsia="Batang" w:cs="Arial"/>
          <w:b/>
          <w:iCs/>
          <w:sz w:val="20"/>
          <w:szCs w:val="20"/>
          <w:lang w:val="en-US" w:eastAsia="en-US"/>
        </w:rPr>
      </w:pPr>
    </w:p>
    <w:p w14:paraId="09B0F0F9" w14:textId="319141B6" w:rsidR="00DD00E7" w:rsidRPr="00AC57EA" w:rsidRDefault="0026739F" w:rsidP="00DD00E7">
      <w:pPr>
        <w:keepNext/>
        <w:keepLines/>
        <w:tabs>
          <w:tab w:val="left" w:pos="1134"/>
        </w:tabs>
        <w:spacing w:line="240" w:lineRule="auto"/>
        <w:ind w:left="567" w:firstLine="1"/>
        <w:outlineLvl w:val="1"/>
        <w:rPr>
          <w:rFonts w:eastAsia="MS Mincho"/>
          <w:b/>
          <w:bCs/>
          <w:i/>
          <w:sz w:val="20"/>
          <w:szCs w:val="20"/>
          <w:lang w:val="en-US"/>
        </w:rPr>
      </w:pPr>
      <w:bookmarkStart w:id="39" w:name="_Toc401931886"/>
      <w:bookmarkStart w:id="40" w:name="_Toc428369983"/>
      <w:bookmarkStart w:id="41" w:name="_Toc459158099"/>
      <w:bookmarkStart w:id="42" w:name="_Toc460857359"/>
      <w:bookmarkStart w:id="43" w:name="_Toc514172593"/>
      <w:r w:rsidRPr="00AC57EA">
        <w:rPr>
          <w:rFonts w:eastAsia="MS Mincho"/>
          <w:b/>
          <w:bCs/>
          <w:i/>
          <w:sz w:val="20"/>
          <w:szCs w:val="20"/>
          <w:lang w:val="en-US"/>
        </w:rPr>
        <w:lastRenderedPageBreak/>
        <w:t>A</w:t>
      </w:r>
      <w:r w:rsidR="00DD00E7" w:rsidRPr="00AC57EA">
        <w:rPr>
          <w:rFonts w:eastAsia="MS Mincho"/>
          <w:b/>
          <w:bCs/>
          <w:i/>
          <w:sz w:val="20"/>
          <w:szCs w:val="20"/>
          <w:lang w:val="en-US"/>
        </w:rPr>
        <w:t>.</w:t>
      </w:r>
      <w:r w:rsidR="00DD00E7" w:rsidRPr="00AC57EA">
        <w:rPr>
          <w:rFonts w:eastAsia="MS Mincho"/>
          <w:b/>
          <w:bCs/>
          <w:i/>
          <w:sz w:val="20"/>
          <w:szCs w:val="20"/>
          <w:lang w:val="en-US"/>
        </w:rPr>
        <w:tab/>
      </w:r>
      <w:bookmarkEnd w:id="39"/>
      <w:bookmarkEnd w:id="40"/>
      <w:bookmarkEnd w:id="41"/>
      <w:bookmarkEnd w:id="42"/>
      <w:r w:rsidR="009E569E" w:rsidRPr="00AC57EA">
        <w:rPr>
          <w:rFonts w:eastAsia="MS Mincho"/>
          <w:b/>
          <w:bCs/>
          <w:i/>
          <w:sz w:val="20"/>
          <w:szCs w:val="20"/>
          <w:lang w:val="en-US"/>
        </w:rPr>
        <w:t>Objection on the alleged failure to exhaust domestic remedies</w:t>
      </w:r>
      <w:bookmarkEnd w:id="43"/>
    </w:p>
    <w:p w14:paraId="64193594" w14:textId="77777777" w:rsidR="00DD00E7" w:rsidRPr="00AC57EA" w:rsidRDefault="00DD00E7" w:rsidP="00DD00E7">
      <w:pPr>
        <w:tabs>
          <w:tab w:val="left" w:pos="720"/>
        </w:tabs>
        <w:spacing w:line="240" w:lineRule="auto"/>
        <w:rPr>
          <w:bCs/>
          <w:sz w:val="20"/>
          <w:szCs w:val="20"/>
          <w:lang w:val="en-US"/>
        </w:rPr>
      </w:pPr>
    </w:p>
    <w:p w14:paraId="362966A7" w14:textId="46FDA7CF" w:rsidR="00DD00E7" w:rsidRPr="00AC57EA" w:rsidRDefault="0026739F" w:rsidP="00C607DD">
      <w:pPr>
        <w:pStyle w:val="Ttulo2"/>
        <w:tabs>
          <w:tab w:val="left" w:pos="1843"/>
        </w:tabs>
        <w:spacing w:before="0" w:line="240" w:lineRule="auto"/>
        <w:ind w:left="1134"/>
        <w:rPr>
          <w:rFonts w:ascii="Verdana" w:hAnsi="Verdana"/>
          <w:b w:val="0"/>
          <w:i/>
          <w:color w:val="auto"/>
          <w:sz w:val="20"/>
          <w:szCs w:val="20"/>
          <w:lang w:val="en-US"/>
        </w:rPr>
      </w:pPr>
      <w:bookmarkStart w:id="44" w:name="_Toc459158100"/>
      <w:bookmarkStart w:id="45" w:name="_Toc460857360"/>
      <w:bookmarkStart w:id="46" w:name="_Toc514172594"/>
      <w:r w:rsidRPr="00AC57EA">
        <w:rPr>
          <w:rFonts w:ascii="Verdana" w:hAnsi="Verdana"/>
          <w:b w:val="0"/>
          <w:i/>
          <w:color w:val="auto"/>
          <w:sz w:val="20"/>
          <w:szCs w:val="20"/>
          <w:lang w:val="en-US"/>
        </w:rPr>
        <w:t>A</w:t>
      </w:r>
      <w:r w:rsidR="00DD00E7" w:rsidRPr="00AC57EA">
        <w:rPr>
          <w:rFonts w:ascii="Verdana" w:hAnsi="Verdana"/>
          <w:b w:val="0"/>
          <w:i/>
          <w:color w:val="auto"/>
          <w:sz w:val="20"/>
          <w:szCs w:val="20"/>
          <w:lang w:val="en-US"/>
        </w:rPr>
        <w:t xml:space="preserve">.1 </w:t>
      </w:r>
      <w:r w:rsidR="00C607DD" w:rsidRPr="00AC57EA">
        <w:rPr>
          <w:rFonts w:ascii="Verdana" w:hAnsi="Verdana"/>
          <w:b w:val="0"/>
          <w:i/>
          <w:color w:val="auto"/>
          <w:sz w:val="20"/>
          <w:szCs w:val="20"/>
          <w:lang w:val="en-US"/>
        </w:rPr>
        <w:tab/>
      </w:r>
      <w:r w:rsidR="009E569E" w:rsidRPr="00AC57EA">
        <w:rPr>
          <w:rFonts w:ascii="Verdana" w:hAnsi="Verdana"/>
          <w:b w:val="0"/>
          <w:i/>
          <w:color w:val="auto"/>
          <w:sz w:val="20"/>
          <w:szCs w:val="20"/>
          <w:lang w:val="en-US"/>
        </w:rPr>
        <w:t>Arguments</w:t>
      </w:r>
      <w:r w:rsidR="00EC52D7" w:rsidRPr="00AC57EA">
        <w:rPr>
          <w:rFonts w:ascii="Verdana" w:hAnsi="Verdana"/>
          <w:b w:val="0"/>
          <w:i/>
          <w:color w:val="auto"/>
          <w:sz w:val="20"/>
          <w:szCs w:val="20"/>
          <w:lang w:val="en-US"/>
        </w:rPr>
        <w:t xml:space="preserve"> of the State</w:t>
      </w:r>
      <w:r w:rsidR="00171E27" w:rsidRPr="00AC57EA">
        <w:rPr>
          <w:rFonts w:ascii="Verdana" w:hAnsi="Verdana"/>
          <w:b w:val="0"/>
          <w:i/>
          <w:color w:val="auto"/>
          <w:sz w:val="20"/>
          <w:szCs w:val="20"/>
          <w:lang w:val="en-US"/>
        </w:rPr>
        <w:t xml:space="preserve"> and </w:t>
      </w:r>
      <w:r w:rsidR="009E569E" w:rsidRPr="00AC57EA">
        <w:rPr>
          <w:rFonts w:ascii="Verdana" w:hAnsi="Verdana"/>
          <w:b w:val="0"/>
          <w:i/>
          <w:color w:val="auto"/>
          <w:sz w:val="20"/>
          <w:szCs w:val="20"/>
          <w:lang w:val="en-US"/>
        </w:rPr>
        <w:t>observations</w:t>
      </w:r>
      <w:r w:rsidR="00B7258C" w:rsidRPr="00AC57EA">
        <w:rPr>
          <w:rFonts w:ascii="Verdana" w:hAnsi="Verdana"/>
          <w:b w:val="0"/>
          <w:i/>
          <w:color w:val="auto"/>
          <w:sz w:val="20"/>
          <w:szCs w:val="20"/>
          <w:lang w:val="en-US"/>
        </w:rPr>
        <w:t xml:space="preserve"> of the Commission</w:t>
      </w:r>
      <w:r w:rsidR="00171E27" w:rsidRPr="00AC57EA">
        <w:rPr>
          <w:rFonts w:ascii="Verdana" w:hAnsi="Verdana"/>
          <w:b w:val="0"/>
          <w:i/>
          <w:color w:val="auto"/>
          <w:sz w:val="20"/>
          <w:szCs w:val="20"/>
          <w:lang w:val="en-US"/>
        </w:rPr>
        <w:t xml:space="preserve"> and </w:t>
      </w:r>
      <w:bookmarkEnd w:id="44"/>
      <w:bookmarkEnd w:id="45"/>
      <w:r w:rsidR="00171E27" w:rsidRPr="00AC57EA">
        <w:rPr>
          <w:rFonts w:ascii="Verdana" w:hAnsi="Verdana"/>
          <w:b w:val="0"/>
          <w:i/>
          <w:color w:val="auto"/>
          <w:sz w:val="20"/>
          <w:szCs w:val="20"/>
          <w:lang w:val="en-US"/>
        </w:rPr>
        <w:t>the representatives</w:t>
      </w:r>
      <w:bookmarkEnd w:id="46"/>
    </w:p>
    <w:p w14:paraId="6D53E01E" w14:textId="77777777" w:rsidR="00DD00E7" w:rsidRPr="00AC57EA" w:rsidRDefault="00DD00E7" w:rsidP="00DD00E7">
      <w:pPr>
        <w:tabs>
          <w:tab w:val="left" w:pos="720"/>
        </w:tabs>
        <w:spacing w:line="240" w:lineRule="auto"/>
        <w:rPr>
          <w:bCs/>
          <w:sz w:val="20"/>
          <w:szCs w:val="20"/>
          <w:lang w:val="en-US"/>
        </w:rPr>
      </w:pPr>
    </w:p>
    <w:p w14:paraId="737EC947" w14:textId="38220107" w:rsidR="009E569E" w:rsidRPr="00AC57EA" w:rsidRDefault="00EC52D7" w:rsidP="00C8070B">
      <w:pPr>
        <w:pStyle w:val="Prrafodelista"/>
        <w:numPr>
          <w:ilvl w:val="0"/>
          <w:numId w:val="2"/>
        </w:numPr>
        <w:tabs>
          <w:tab w:val="left" w:pos="567"/>
        </w:tabs>
        <w:spacing w:line="240" w:lineRule="auto"/>
        <w:ind w:left="0" w:firstLine="0"/>
        <w:contextualSpacing/>
        <w:rPr>
          <w:sz w:val="16"/>
          <w:szCs w:val="16"/>
          <w:lang w:val="en-US"/>
        </w:rPr>
      </w:pPr>
      <w:r w:rsidRPr="00AC57EA">
        <w:rPr>
          <w:rFonts w:cs="Verdana,Italic"/>
          <w:iCs/>
          <w:sz w:val="20"/>
          <w:szCs w:val="20"/>
          <w:lang w:val="en-US" w:eastAsia="en-US"/>
        </w:rPr>
        <w:t xml:space="preserve">The </w:t>
      </w:r>
      <w:r w:rsidRPr="00AC57EA">
        <w:rPr>
          <w:rFonts w:cs="Verdana,Italic"/>
          <w:b/>
          <w:bCs/>
          <w:i/>
          <w:sz w:val="20"/>
          <w:szCs w:val="20"/>
          <w:lang w:val="en-US" w:eastAsia="en-US"/>
        </w:rPr>
        <w:t>State</w:t>
      </w:r>
      <w:r w:rsidR="00DD00E7" w:rsidRPr="00AC57EA">
        <w:rPr>
          <w:rFonts w:eastAsia="Calibri" w:cs="Arial"/>
          <w:sz w:val="20"/>
          <w:szCs w:val="20"/>
          <w:lang w:val="en-US" w:eastAsia="en-US"/>
        </w:rPr>
        <w:t xml:space="preserve"> </w:t>
      </w:r>
      <w:r w:rsidR="00DD00E7" w:rsidRPr="00AC57EA">
        <w:rPr>
          <w:rFonts w:eastAsia="MS Mincho" w:cs="Arial"/>
          <w:sz w:val="20"/>
          <w:szCs w:val="20"/>
          <w:lang w:val="en-US" w:eastAsia="en-US"/>
        </w:rPr>
        <w:t>a</w:t>
      </w:r>
      <w:r w:rsidR="009E569E" w:rsidRPr="00AC57EA">
        <w:rPr>
          <w:rFonts w:eastAsia="MS Mincho" w:cs="Arial"/>
          <w:sz w:val="20"/>
          <w:szCs w:val="20"/>
          <w:lang w:val="en-US" w:eastAsia="en-US"/>
        </w:rPr>
        <w:t xml:space="preserve">lleged the failure to exhaust domestic remedies based on </w:t>
      </w:r>
      <w:r w:rsidR="00B7258C" w:rsidRPr="00AC57EA">
        <w:rPr>
          <w:rFonts w:eastAsia="MS Mincho" w:cs="Arial"/>
          <w:sz w:val="20"/>
          <w:szCs w:val="20"/>
          <w:lang w:val="en-US" w:eastAsia="en-US"/>
        </w:rPr>
        <w:t>Article</w:t>
      </w:r>
      <w:r w:rsidR="00DD00E7" w:rsidRPr="00AC57EA">
        <w:rPr>
          <w:rFonts w:eastAsia="MS Mincho" w:cs="Arial"/>
          <w:sz w:val="20"/>
          <w:szCs w:val="20"/>
          <w:lang w:val="en-US" w:eastAsia="en-US"/>
        </w:rPr>
        <w:t xml:space="preserve"> 46</w:t>
      </w:r>
      <w:r w:rsidR="009E569E" w:rsidRPr="00AC57EA">
        <w:rPr>
          <w:rFonts w:eastAsia="MS Mincho" w:cs="Arial"/>
          <w:sz w:val="20"/>
          <w:szCs w:val="20"/>
          <w:lang w:val="en-US" w:eastAsia="en-US"/>
        </w:rPr>
        <w:t>(</w:t>
      </w:r>
      <w:r w:rsidR="00DD00E7" w:rsidRPr="00AC57EA">
        <w:rPr>
          <w:rFonts w:eastAsia="MS Mincho" w:cs="Arial"/>
          <w:sz w:val="20"/>
          <w:szCs w:val="20"/>
          <w:lang w:val="en-US" w:eastAsia="en-US"/>
        </w:rPr>
        <w:t>1</w:t>
      </w:r>
      <w:r w:rsidR="009E569E" w:rsidRPr="00AC57EA">
        <w:rPr>
          <w:rFonts w:eastAsia="MS Mincho" w:cs="Arial"/>
          <w:sz w:val="20"/>
          <w:szCs w:val="20"/>
          <w:lang w:val="en-US" w:eastAsia="en-US"/>
        </w:rPr>
        <w:t>)(</w:t>
      </w:r>
      <w:r w:rsidR="00DD00E7" w:rsidRPr="00AC57EA">
        <w:rPr>
          <w:rFonts w:eastAsia="MS Mincho" w:cs="Arial"/>
          <w:sz w:val="20"/>
          <w:szCs w:val="20"/>
          <w:lang w:val="en-US" w:eastAsia="en-US"/>
        </w:rPr>
        <w:t>a)</w:t>
      </w:r>
      <w:r w:rsidR="00B7258C" w:rsidRPr="00AC57EA">
        <w:rPr>
          <w:rFonts w:eastAsia="MS Mincho" w:cs="Arial"/>
          <w:sz w:val="20"/>
          <w:szCs w:val="20"/>
          <w:lang w:val="en-US" w:eastAsia="en-US"/>
        </w:rPr>
        <w:t xml:space="preserve"> of the Convention</w:t>
      </w:r>
      <w:r w:rsidR="00DD00E7" w:rsidRPr="00AC57EA">
        <w:rPr>
          <w:rFonts w:eastAsia="MS Mincho" w:cs="Arial"/>
          <w:sz w:val="20"/>
          <w:szCs w:val="20"/>
          <w:lang w:val="en-US" w:eastAsia="en-US"/>
        </w:rPr>
        <w:t xml:space="preserve">. </w:t>
      </w:r>
      <w:r w:rsidR="009E569E" w:rsidRPr="00AC57EA">
        <w:rPr>
          <w:rFonts w:eastAsia="MS Mincho" w:cs="Arial"/>
          <w:sz w:val="20"/>
          <w:szCs w:val="20"/>
          <w:lang w:val="en-US" w:eastAsia="en-US"/>
        </w:rPr>
        <w:t>It argued that</w:t>
      </w:r>
      <w:r w:rsidR="00DD00E7" w:rsidRPr="00AC57EA">
        <w:rPr>
          <w:rFonts w:eastAsia="MS Mincho" w:cs="Arial"/>
          <w:sz w:val="20"/>
          <w:szCs w:val="20"/>
          <w:lang w:val="en-US" w:eastAsia="en-US"/>
        </w:rPr>
        <w:t xml:space="preserve"> </w:t>
      </w:r>
      <w:r w:rsidR="00B7258C" w:rsidRPr="00AC57EA">
        <w:rPr>
          <w:rFonts w:eastAsia="MS Mincho" w:cs="Arial"/>
          <w:sz w:val="20"/>
          <w:szCs w:val="20"/>
          <w:lang w:val="en-US" w:eastAsia="en-US"/>
        </w:rPr>
        <w:t>the Commission</w:t>
      </w:r>
      <w:r w:rsidR="00755BA7" w:rsidRPr="00AC57EA">
        <w:rPr>
          <w:rFonts w:eastAsia="MS Mincho" w:cs="Arial"/>
          <w:sz w:val="20"/>
          <w:szCs w:val="20"/>
          <w:lang w:val="en-US" w:eastAsia="en-US"/>
        </w:rPr>
        <w:t xml:space="preserve"> </w:t>
      </w:r>
      <w:r w:rsidR="009E569E" w:rsidRPr="00AC57EA">
        <w:rPr>
          <w:rFonts w:eastAsia="MS Mincho" w:cs="Arial"/>
          <w:sz w:val="20"/>
          <w:szCs w:val="20"/>
          <w:lang w:val="en-US" w:eastAsia="en-US"/>
        </w:rPr>
        <w:t xml:space="preserve">should have verified whether domestic remedies had been exhausted because the criminal proceedings had not been exhausted. Therefore, the State argued that the Commission, by admitting the petition, had established a parallel procedure to the domestic jurisdictional proceedings, </w:t>
      </w:r>
      <w:r w:rsidR="00540FB2" w:rsidRPr="00AC57EA">
        <w:rPr>
          <w:rFonts w:eastAsia="MS Mincho" w:cs="Arial"/>
          <w:sz w:val="20"/>
          <w:szCs w:val="20"/>
          <w:lang w:val="en-US" w:eastAsia="en-US"/>
        </w:rPr>
        <w:t>given that</w:t>
      </w:r>
      <w:r w:rsidR="009E569E" w:rsidRPr="00AC57EA">
        <w:rPr>
          <w:rFonts w:eastAsia="MS Mincho" w:cs="Arial"/>
          <w:sz w:val="20"/>
          <w:szCs w:val="20"/>
          <w:lang w:val="en-US" w:eastAsia="en-US"/>
        </w:rPr>
        <w:t xml:space="preserve"> these had not concluded and there had been no unjustified delay </w:t>
      </w:r>
      <w:r w:rsidR="00540FB2" w:rsidRPr="00AC57EA">
        <w:rPr>
          <w:rFonts w:eastAsia="MS Mincho" w:cs="Arial"/>
          <w:sz w:val="20"/>
          <w:szCs w:val="20"/>
          <w:lang w:val="en-US" w:eastAsia="en-US"/>
        </w:rPr>
        <w:t>under</w:t>
      </w:r>
      <w:r w:rsidR="009E569E" w:rsidRPr="00AC57EA">
        <w:rPr>
          <w:rFonts w:eastAsia="MS Mincho" w:cs="Arial"/>
          <w:sz w:val="20"/>
          <w:szCs w:val="20"/>
          <w:lang w:val="en-US" w:eastAsia="en-US"/>
        </w:rPr>
        <w:t xml:space="preserve"> the procedural system at the time. The State indicated that, in the </w:t>
      </w:r>
      <w:r w:rsidR="009E569E" w:rsidRPr="00AC57EA">
        <w:rPr>
          <w:sz w:val="20"/>
          <w:szCs w:val="20"/>
          <w:lang w:val="en-US"/>
        </w:rPr>
        <w:t>Admissibility Report, the Commission had “argued the admissibility  the petition […] alleging that there had been an</w:t>
      </w:r>
      <w:r w:rsidR="00E43A2C" w:rsidRPr="00AC57EA">
        <w:rPr>
          <w:sz w:val="20"/>
          <w:szCs w:val="20"/>
          <w:lang w:val="en-US"/>
        </w:rPr>
        <w:t xml:space="preserve"> unwarranted</w:t>
      </w:r>
      <w:r w:rsidR="009E569E" w:rsidRPr="00AC57EA">
        <w:rPr>
          <w:sz w:val="20"/>
          <w:szCs w:val="20"/>
          <w:lang w:val="en-US"/>
        </w:rPr>
        <w:t xml:space="preserve"> delay […] which </w:t>
      </w:r>
      <w:r w:rsidR="003A32C1" w:rsidRPr="00AC57EA">
        <w:rPr>
          <w:sz w:val="20"/>
          <w:szCs w:val="20"/>
          <w:lang w:val="en-US"/>
        </w:rPr>
        <w:t xml:space="preserve">contravened its Rules of Procedure and the Convention.” In this regard, the State denied that an unjustified delay existed in this case because the proceedings were initiated on November 20, 2001, and the first instance concluded on April 13, 2002, “a reasonable time in the context of the procedural reality at the time.” It pointed out that the domestic remedies were exhausted with judgment No. 45 of the Criminal Chamber of the </w:t>
      </w:r>
      <w:r w:rsidR="00EF75D6" w:rsidRPr="00AC57EA">
        <w:rPr>
          <w:sz w:val="20"/>
          <w:szCs w:val="20"/>
          <w:lang w:val="en-US"/>
        </w:rPr>
        <w:t>Northern District Appellate Court</w:t>
      </w:r>
      <w:r w:rsidR="003A32C1" w:rsidRPr="00AC57EA">
        <w:rPr>
          <w:sz w:val="20"/>
          <w:szCs w:val="20"/>
          <w:lang w:val="en-US"/>
        </w:rPr>
        <w:t xml:space="preserve">, issued on October 24, 2007. </w:t>
      </w:r>
      <w:r w:rsidR="00E43A2C" w:rsidRPr="00AC57EA">
        <w:rPr>
          <w:sz w:val="20"/>
          <w:szCs w:val="20"/>
          <w:lang w:val="en-US"/>
        </w:rPr>
        <w:t>Accordingly</w:t>
      </w:r>
      <w:r w:rsidR="003A32C1" w:rsidRPr="00AC57EA">
        <w:rPr>
          <w:sz w:val="20"/>
          <w:szCs w:val="20"/>
          <w:lang w:val="en-US"/>
        </w:rPr>
        <w:t xml:space="preserve">, the State asked the Court to “rule on the </w:t>
      </w:r>
      <w:r w:rsidR="00E43A2C" w:rsidRPr="00AC57EA">
        <w:rPr>
          <w:sz w:val="20"/>
          <w:szCs w:val="20"/>
          <w:lang w:val="en-US"/>
        </w:rPr>
        <w:t xml:space="preserve">Commission’s </w:t>
      </w:r>
      <w:r w:rsidR="003A32C1" w:rsidRPr="00AC57EA">
        <w:rPr>
          <w:sz w:val="20"/>
          <w:szCs w:val="20"/>
          <w:lang w:val="en-US"/>
        </w:rPr>
        <w:t>obligation</w:t>
      </w:r>
      <w:r w:rsidR="00E43A2C" w:rsidRPr="00AC57EA">
        <w:rPr>
          <w:sz w:val="20"/>
          <w:szCs w:val="20"/>
          <w:lang w:val="en-US"/>
        </w:rPr>
        <w:t>, in each case,</w:t>
      </w:r>
      <w:r w:rsidR="003A32C1" w:rsidRPr="00AC57EA">
        <w:rPr>
          <w:sz w:val="20"/>
          <w:szCs w:val="20"/>
          <w:lang w:val="en-US"/>
        </w:rPr>
        <w:t xml:space="preserve"> to </w:t>
      </w:r>
      <w:r w:rsidR="00E9413F" w:rsidRPr="00AC57EA">
        <w:rPr>
          <w:sz w:val="20"/>
          <w:szCs w:val="20"/>
          <w:lang w:val="en-US"/>
        </w:rPr>
        <w:t xml:space="preserve">evaluate </w:t>
      </w:r>
      <w:r w:rsidR="003A32C1" w:rsidRPr="00AC57EA">
        <w:rPr>
          <w:sz w:val="20"/>
          <w:szCs w:val="20"/>
          <w:lang w:val="en-US"/>
        </w:rPr>
        <w:t>the effectiveness of the domestic remedies included and the components of a structured, systemic and integral legal order with specific, but complementary, spheres of protection.</w:t>
      </w:r>
    </w:p>
    <w:p w14:paraId="6BFF6016" w14:textId="77777777" w:rsidR="00DD00E7" w:rsidRPr="00AC57EA" w:rsidRDefault="00DD00E7" w:rsidP="00DD00E7">
      <w:pPr>
        <w:spacing w:line="240" w:lineRule="auto"/>
        <w:rPr>
          <w:b/>
          <w:sz w:val="20"/>
          <w:szCs w:val="20"/>
          <w:lang w:val="en-US"/>
        </w:rPr>
      </w:pPr>
    </w:p>
    <w:p w14:paraId="3F160CF3" w14:textId="08835F67" w:rsidR="004F5167" w:rsidRPr="00AC57EA" w:rsidRDefault="00B7258C" w:rsidP="001F1C0E">
      <w:pPr>
        <w:pStyle w:val="Prrafodelista"/>
        <w:numPr>
          <w:ilvl w:val="0"/>
          <w:numId w:val="2"/>
        </w:numPr>
        <w:tabs>
          <w:tab w:val="left" w:pos="567"/>
        </w:tabs>
        <w:spacing w:line="240" w:lineRule="auto"/>
        <w:ind w:left="0" w:firstLine="0"/>
        <w:contextualSpacing/>
        <w:rPr>
          <w:b/>
          <w:sz w:val="20"/>
          <w:szCs w:val="20"/>
          <w:lang w:val="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Commission</w:t>
      </w:r>
      <w:r w:rsidR="00DD00E7" w:rsidRPr="00AC57EA">
        <w:rPr>
          <w:rFonts w:eastAsia="Calibri" w:cs="Arial"/>
          <w:i/>
          <w:iCs/>
          <w:sz w:val="20"/>
          <w:szCs w:val="20"/>
          <w:lang w:val="en-US" w:eastAsia="en-US"/>
        </w:rPr>
        <w:t xml:space="preserve"> </w:t>
      </w:r>
      <w:r w:rsidR="003A32C1" w:rsidRPr="00AC57EA">
        <w:rPr>
          <w:sz w:val="20"/>
          <w:szCs w:val="20"/>
          <w:lang w:val="en-US"/>
        </w:rPr>
        <w:t>confirmed that</w:t>
      </w:r>
      <w:r w:rsidR="00DD00E7" w:rsidRPr="00AC57EA">
        <w:rPr>
          <w:sz w:val="20"/>
          <w:szCs w:val="20"/>
          <w:lang w:val="en-US"/>
        </w:rPr>
        <w:t xml:space="preserve"> </w:t>
      </w:r>
      <w:r w:rsidR="00EC52D7" w:rsidRPr="00AC57EA">
        <w:rPr>
          <w:sz w:val="20"/>
          <w:szCs w:val="20"/>
          <w:lang w:val="en-US"/>
        </w:rPr>
        <w:t>the State</w:t>
      </w:r>
      <w:r w:rsidR="00DD00E7" w:rsidRPr="00AC57EA">
        <w:rPr>
          <w:sz w:val="20"/>
          <w:szCs w:val="20"/>
          <w:lang w:val="en-US"/>
        </w:rPr>
        <w:t xml:space="preserve"> </w:t>
      </w:r>
      <w:r w:rsidR="001F1C0E" w:rsidRPr="00AC57EA">
        <w:rPr>
          <w:sz w:val="20"/>
          <w:szCs w:val="20"/>
          <w:lang w:val="en-US"/>
        </w:rPr>
        <w:t xml:space="preserve">had argued the </w:t>
      </w:r>
      <w:r w:rsidR="009E569E" w:rsidRPr="00AC57EA">
        <w:rPr>
          <w:sz w:val="20"/>
          <w:szCs w:val="20"/>
          <w:lang w:val="en-US"/>
        </w:rPr>
        <w:t>failure to exhaust domestic remedies</w:t>
      </w:r>
      <w:r w:rsidR="00DD00E7" w:rsidRPr="00AC57EA">
        <w:rPr>
          <w:sz w:val="20"/>
          <w:szCs w:val="20"/>
          <w:lang w:val="en-US"/>
        </w:rPr>
        <w:t xml:space="preserve"> </w:t>
      </w:r>
      <w:r w:rsidR="001F1C0E" w:rsidRPr="00AC57EA">
        <w:rPr>
          <w:sz w:val="20"/>
          <w:szCs w:val="20"/>
          <w:lang w:val="en-US"/>
        </w:rPr>
        <w:t>at the appropriate procedural moment. It reiterated that “in cases in which the situation of the domestic remedies changed during the admissibility procedure, the analysis of compliance with the requirement of exhaustion of domestic remedies is made based on the situation at the time of the Admissibility Report and not on the basis of the situation when the petition</w:t>
      </w:r>
      <w:r w:rsidR="00E9413F" w:rsidRPr="00AC57EA">
        <w:rPr>
          <w:sz w:val="20"/>
          <w:szCs w:val="20"/>
          <w:lang w:val="en-US"/>
        </w:rPr>
        <w:t xml:space="preserve"> was</w:t>
      </w:r>
      <w:r w:rsidR="001F1C0E" w:rsidRPr="00AC57EA">
        <w:rPr>
          <w:sz w:val="20"/>
          <w:szCs w:val="20"/>
          <w:lang w:val="en-US"/>
        </w:rPr>
        <w:t xml:space="preserve"> lodged or when its processing beg</w:t>
      </w:r>
      <w:r w:rsidR="00E9413F" w:rsidRPr="00AC57EA">
        <w:rPr>
          <w:sz w:val="20"/>
          <w:szCs w:val="20"/>
          <w:lang w:val="en-US"/>
        </w:rPr>
        <w:t>an</w:t>
      </w:r>
      <w:r w:rsidR="001F1C0E" w:rsidRPr="00AC57EA">
        <w:rPr>
          <w:sz w:val="20"/>
          <w:szCs w:val="20"/>
          <w:lang w:val="en-US"/>
        </w:rPr>
        <w:t xml:space="preserve">.” The Commission clarified that “although, at the merits stage, it became aware that the criminal proceedings had culminated on </w:t>
      </w:r>
      <w:r w:rsidR="003A32C1" w:rsidRPr="00AC57EA">
        <w:rPr>
          <w:sz w:val="20"/>
          <w:szCs w:val="20"/>
          <w:lang w:val="en-US"/>
        </w:rPr>
        <w:t>October 24,</w:t>
      </w:r>
      <w:r w:rsidR="00DD00E7" w:rsidRPr="00AC57EA">
        <w:rPr>
          <w:sz w:val="20"/>
          <w:szCs w:val="20"/>
          <w:lang w:val="en-US"/>
        </w:rPr>
        <w:t xml:space="preserve"> 2007,</w:t>
      </w:r>
      <w:r w:rsidR="00E9413F" w:rsidRPr="00AC57EA">
        <w:rPr>
          <w:sz w:val="20"/>
          <w:szCs w:val="20"/>
          <w:lang w:val="en-US"/>
        </w:rPr>
        <w:t xml:space="preserve"> </w:t>
      </w:r>
      <w:r w:rsidR="00DD00E7" w:rsidRPr="00AC57EA">
        <w:rPr>
          <w:sz w:val="20"/>
          <w:szCs w:val="20"/>
          <w:lang w:val="en-US"/>
        </w:rPr>
        <w:t xml:space="preserve">[…] </w:t>
      </w:r>
      <w:r w:rsidR="001F1C0E" w:rsidRPr="00AC57EA">
        <w:rPr>
          <w:sz w:val="20"/>
          <w:szCs w:val="20"/>
          <w:lang w:val="en-US"/>
        </w:rPr>
        <w:t xml:space="preserve">it did not have this information when issuing its </w:t>
      </w:r>
      <w:r w:rsidR="00EC52D7" w:rsidRPr="00AC57EA">
        <w:rPr>
          <w:sz w:val="20"/>
          <w:szCs w:val="20"/>
          <w:lang w:val="en-US"/>
        </w:rPr>
        <w:t>Admissibility Report</w:t>
      </w:r>
      <w:r w:rsidR="001F1C0E" w:rsidRPr="00AC57EA">
        <w:rPr>
          <w:sz w:val="20"/>
          <w:szCs w:val="20"/>
          <w:lang w:val="en-US"/>
        </w:rPr>
        <w:t>.</w:t>
      </w:r>
      <w:r w:rsidR="00DD00E7" w:rsidRPr="00AC57EA">
        <w:rPr>
          <w:sz w:val="20"/>
          <w:szCs w:val="20"/>
          <w:lang w:val="en-US"/>
        </w:rPr>
        <w:t>”</w:t>
      </w:r>
      <w:r w:rsidR="001F1C0E" w:rsidRPr="00AC57EA">
        <w:rPr>
          <w:sz w:val="20"/>
          <w:szCs w:val="20"/>
          <w:lang w:val="en-US"/>
        </w:rPr>
        <w:t xml:space="preserve"> It indicated that, the State’s last brief at the admissibility stage was prior to that date. In its final </w:t>
      </w:r>
      <w:r w:rsidR="009E569E" w:rsidRPr="00AC57EA">
        <w:rPr>
          <w:sz w:val="20"/>
          <w:szCs w:val="20"/>
          <w:lang w:val="en-US"/>
        </w:rPr>
        <w:t>observations</w:t>
      </w:r>
      <w:r w:rsidR="004E6A8F" w:rsidRPr="00AC57EA">
        <w:rPr>
          <w:sz w:val="20"/>
          <w:szCs w:val="20"/>
          <w:lang w:val="en-US"/>
        </w:rPr>
        <w:t xml:space="preserve">, </w:t>
      </w:r>
      <w:r w:rsidRPr="00AC57EA">
        <w:rPr>
          <w:sz w:val="20"/>
          <w:szCs w:val="20"/>
          <w:lang w:val="en-US"/>
        </w:rPr>
        <w:t>the Commission</w:t>
      </w:r>
      <w:r w:rsidR="004E6A8F" w:rsidRPr="00AC57EA">
        <w:rPr>
          <w:sz w:val="20"/>
          <w:szCs w:val="20"/>
          <w:lang w:val="en-US"/>
        </w:rPr>
        <w:t xml:space="preserve"> </w:t>
      </w:r>
      <w:r w:rsidR="001F1C0E" w:rsidRPr="00AC57EA">
        <w:rPr>
          <w:sz w:val="20"/>
          <w:szCs w:val="20"/>
          <w:lang w:val="en-US"/>
        </w:rPr>
        <w:t xml:space="preserve">clarified that, in its </w:t>
      </w:r>
      <w:r w:rsidR="00E9413F" w:rsidRPr="00AC57EA">
        <w:rPr>
          <w:sz w:val="20"/>
          <w:szCs w:val="20"/>
          <w:lang w:val="en-US"/>
        </w:rPr>
        <w:t>initial</w:t>
      </w:r>
      <w:r w:rsidR="001F1C0E" w:rsidRPr="00AC57EA">
        <w:rPr>
          <w:sz w:val="20"/>
          <w:szCs w:val="20"/>
          <w:lang w:val="en-US"/>
        </w:rPr>
        <w:t xml:space="preserve"> answering brief, the State had indicated that </w:t>
      </w:r>
      <w:r w:rsidR="00EC52D7" w:rsidRPr="00AC57EA">
        <w:rPr>
          <w:sz w:val="20"/>
          <w:szCs w:val="20"/>
          <w:lang w:val="en-US"/>
        </w:rPr>
        <w:t>the petitioner</w:t>
      </w:r>
      <w:r w:rsidR="004E6A8F" w:rsidRPr="00AC57EA">
        <w:rPr>
          <w:sz w:val="20"/>
          <w:szCs w:val="20"/>
          <w:lang w:val="en-US"/>
        </w:rPr>
        <w:t xml:space="preserve"> ha</w:t>
      </w:r>
      <w:r w:rsidR="001F1C0E" w:rsidRPr="00AC57EA">
        <w:rPr>
          <w:sz w:val="20"/>
          <w:szCs w:val="20"/>
          <w:lang w:val="en-US"/>
        </w:rPr>
        <w:t>d exhausted the domestic remedies</w:t>
      </w:r>
      <w:r w:rsidR="00E9413F" w:rsidRPr="00AC57EA">
        <w:rPr>
          <w:sz w:val="20"/>
          <w:szCs w:val="20"/>
          <w:lang w:val="en-US"/>
        </w:rPr>
        <w:t>. However,</w:t>
      </w:r>
      <w:r w:rsidR="001F1C0E" w:rsidRPr="00AC57EA">
        <w:rPr>
          <w:sz w:val="20"/>
          <w:szCs w:val="20"/>
          <w:lang w:val="en-US"/>
        </w:rPr>
        <w:t xml:space="preserve"> subsequently, it advised that th</w:t>
      </w:r>
      <w:r w:rsidR="00E9413F" w:rsidRPr="00AC57EA">
        <w:rPr>
          <w:sz w:val="20"/>
          <w:szCs w:val="20"/>
          <w:lang w:val="en-US"/>
        </w:rPr>
        <w:t>ose remedies</w:t>
      </w:r>
      <w:r w:rsidR="001F1C0E" w:rsidRPr="00AC57EA">
        <w:rPr>
          <w:sz w:val="20"/>
          <w:szCs w:val="20"/>
          <w:lang w:val="en-US"/>
        </w:rPr>
        <w:t xml:space="preserve"> had not been exhausted because the </w:t>
      </w:r>
      <w:r w:rsidR="00E9413F" w:rsidRPr="00AC57EA">
        <w:rPr>
          <w:sz w:val="20"/>
          <w:szCs w:val="20"/>
          <w:lang w:val="en-US"/>
        </w:rPr>
        <w:t xml:space="preserve">nullification </w:t>
      </w:r>
      <w:r w:rsidR="001F1C0E" w:rsidRPr="00AC57EA">
        <w:rPr>
          <w:sz w:val="20"/>
          <w:szCs w:val="20"/>
          <w:lang w:val="en-US"/>
        </w:rPr>
        <w:t>proceedin</w:t>
      </w:r>
      <w:r w:rsidR="00E9413F" w:rsidRPr="00AC57EA">
        <w:rPr>
          <w:sz w:val="20"/>
          <w:szCs w:val="20"/>
          <w:lang w:val="en-US"/>
        </w:rPr>
        <w:t xml:space="preserve">g </w:t>
      </w:r>
      <w:r w:rsidR="001F1C0E" w:rsidRPr="00AC57EA">
        <w:rPr>
          <w:sz w:val="20"/>
          <w:szCs w:val="20"/>
          <w:lang w:val="en-US"/>
        </w:rPr>
        <w:t xml:space="preserve">was pending and the delay was due to </w:t>
      </w:r>
      <w:r w:rsidR="00E9413F" w:rsidRPr="00AC57EA">
        <w:rPr>
          <w:sz w:val="20"/>
          <w:szCs w:val="20"/>
          <w:lang w:val="en-US"/>
        </w:rPr>
        <w:t xml:space="preserve">the many </w:t>
      </w:r>
      <w:r w:rsidR="001F1C0E" w:rsidRPr="00AC57EA">
        <w:rPr>
          <w:sz w:val="20"/>
          <w:szCs w:val="20"/>
          <w:lang w:val="en-US"/>
        </w:rPr>
        <w:t xml:space="preserve">procedures requested by both parties. That is why, in light of the available information, the Commission understood that the proceedings continued and applied the exception of an unjustified delay established in Article 46(2)(c) of the American Convention. It indicated that, if it had “been </w:t>
      </w:r>
      <w:r w:rsidR="00E9413F" w:rsidRPr="00AC57EA">
        <w:rPr>
          <w:sz w:val="20"/>
          <w:szCs w:val="20"/>
          <w:lang w:val="en-US"/>
        </w:rPr>
        <w:t>advised</w:t>
      </w:r>
      <w:r w:rsidR="001F1C0E" w:rsidRPr="00AC57EA">
        <w:rPr>
          <w:sz w:val="20"/>
          <w:szCs w:val="20"/>
          <w:lang w:val="en-US"/>
        </w:rPr>
        <w:t xml:space="preserve"> opportunely that the criminal proceeding had concluded, the petition would </w:t>
      </w:r>
      <w:r w:rsidR="00E9413F" w:rsidRPr="00AC57EA">
        <w:rPr>
          <w:sz w:val="20"/>
          <w:szCs w:val="20"/>
          <w:lang w:val="en-US"/>
        </w:rPr>
        <w:t xml:space="preserve">always </w:t>
      </w:r>
      <w:r w:rsidR="001F1C0E" w:rsidRPr="00AC57EA">
        <w:rPr>
          <w:sz w:val="20"/>
          <w:szCs w:val="20"/>
          <w:lang w:val="en-US"/>
        </w:rPr>
        <w:t xml:space="preserve">have been admissible because the domestic remedies had effectively been exhausted.” Consequently, the Commission asked the Court to reject this </w:t>
      </w:r>
      <w:r w:rsidR="00DF2B30" w:rsidRPr="00AC57EA">
        <w:rPr>
          <w:sz w:val="20"/>
          <w:szCs w:val="20"/>
          <w:lang w:val="en-US"/>
        </w:rPr>
        <w:t>preliminary objection</w:t>
      </w:r>
      <w:r w:rsidR="00DD00E7" w:rsidRPr="00AC57EA">
        <w:rPr>
          <w:sz w:val="20"/>
          <w:szCs w:val="20"/>
          <w:lang w:val="en-US"/>
        </w:rPr>
        <w:t xml:space="preserve"> </w:t>
      </w:r>
      <w:r w:rsidR="001F1C0E" w:rsidRPr="00AC57EA">
        <w:rPr>
          <w:sz w:val="20"/>
          <w:szCs w:val="20"/>
          <w:lang w:val="en-US"/>
        </w:rPr>
        <w:t>filed by</w:t>
      </w:r>
      <w:r w:rsidR="00DD00E7" w:rsidRPr="00AC57EA">
        <w:rPr>
          <w:sz w:val="20"/>
          <w:szCs w:val="20"/>
          <w:lang w:val="en-US"/>
        </w:rPr>
        <w:t xml:space="preserve"> Nicaragua.</w:t>
      </w:r>
      <w:r w:rsidR="00F0635A" w:rsidRPr="00AC57EA">
        <w:rPr>
          <w:sz w:val="20"/>
          <w:szCs w:val="20"/>
          <w:lang w:val="en-US"/>
        </w:rPr>
        <w:t xml:space="preserve"> </w:t>
      </w:r>
    </w:p>
    <w:p w14:paraId="4BFBA1EA" w14:textId="77777777" w:rsidR="004F5167" w:rsidRPr="00AC57EA" w:rsidRDefault="004F5167" w:rsidP="00DD00E7">
      <w:pPr>
        <w:tabs>
          <w:tab w:val="left" w:pos="567"/>
          <w:tab w:val="num" w:pos="12305"/>
        </w:tabs>
        <w:spacing w:line="240" w:lineRule="auto"/>
        <w:rPr>
          <w:rFonts w:eastAsia="Calibri" w:cs="Arial"/>
          <w:b/>
          <w:sz w:val="20"/>
          <w:szCs w:val="20"/>
          <w:lang w:val="en-US" w:eastAsia="en-US"/>
        </w:rPr>
      </w:pPr>
    </w:p>
    <w:p w14:paraId="0F7F6D78" w14:textId="387773BA" w:rsidR="00DD00E7" w:rsidRPr="00AC57EA" w:rsidRDefault="00171E27" w:rsidP="002223C8">
      <w:pPr>
        <w:pStyle w:val="Prrafodelista"/>
        <w:numPr>
          <w:ilvl w:val="0"/>
          <w:numId w:val="2"/>
        </w:numPr>
        <w:tabs>
          <w:tab w:val="left" w:pos="567"/>
        </w:tabs>
        <w:spacing w:line="240" w:lineRule="auto"/>
        <w:ind w:left="0" w:firstLine="0"/>
        <w:contextualSpacing/>
        <w:rPr>
          <w:sz w:val="20"/>
          <w:szCs w:val="20"/>
          <w:lang w:val="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representatives</w:t>
      </w:r>
      <w:r w:rsidR="00DD00E7" w:rsidRPr="00AC57EA">
        <w:rPr>
          <w:rFonts w:eastAsia="Calibri" w:cs="Arial"/>
          <w:b/>
          <w:i/>
          <w:sz w:val="20"/>
          <w:szCs w:val="20"/>
          <w:lang w:val="en-US" w:eastAsia="en-US"/>
        </w:rPr>
        <w:t xml:space="preserve"> </w:t>
      </w:r>
      <w:r w:rsidR="002223C8" w:rsidRPr="00AC57EA">
        <w:rPr>
          <w:sz w:val="20"/>
          <w:szCs w:val="20"/>
          <w:lang w:val="en-US"/>
        </w:rPr>
        <w:t>argued that, at the time of the facts, there was no due process</w:t>
      </w:r>
      <w:r w:rsidR="00673AC2" w:rsidRPr="00AC57EA">
        <w:rPr>
          <w:sz w:val="20"/>
          <w:szCs w:val="20"/>
          <w:lang w:val="en-US"/>
        </w:rPr>
        <w:t xml:space="preserve"> of law</w:t>
      </w:r>
      <w:r w:rsidR="002223C8" w:rsidRPr="00AC57EA">
        <w:rPr>
          <w:sz w:val="20"/>
          <w:szCs w:val="20"/>
          <w:lang w:val="en-US"/>
        </w:rPr>
        <w:t xml:space="preserve"> that would have provided effective protection to the rights that were violated. They indicated that the only possible remedy for the plaintiff was to file a</w:t>
      </w:r>
      <w:r w:rsidR="00E9413F" w:rsidRPr="00AC57EA">
        <w:rPr>
          <w:sz w:val="20"/>
          <w:szCs w:val="20"/>
          <w:lang w:val="en-US"/>
        </w:rPr>
        <w:t>n appeal for nullification,</w:t>
      </w:r>
      <w:r w:rsidR="002223C8" w:rsidRPr="00AC57EA">
        <w:rPr>
          <w:sz w:val="20"/>
          <w:szCs w:val="20"/>
          <w:lang w:val="en-US"/>
        </w:rPr>
        <w:t xml:space="preserve"> which was a special procedure established for specific cases. Therefore, according to the representatives, the exception established in Article 46(2)(c) of the Convention was applicable, because when the case was heard by a jury, domestic laws did not include due process of law for the protection of the right o</w:t>
      </w:r>
      <w:r w:rsidR="00673AC2" w:rsidRPr="00AC57EA">
        <w:rPr>
          <w:sz w:val="20"/>
          <w:szCs w:val="20"/>
          <w:lang w:val="en-US"/>
        </w:rPr>
        <w:t>r</w:t>
      </w:r>
      <w:r w:rsidR="002223C8" w:rsidRPr="00AC57EA">
        <w:rPr>
          <w:sz w:val="20"/>
          <w:szCs w:val="20"/>
          <w:lang w:val="en-US"/>
        </w:rPr>
        <w:t xml:space="preserve"> rights that are alleged to have been violated. In their</w:t>
      </w:r>
      <w:r w:rsidR="00973F03" w:rsidRPr="00AC57EA">
        <w:rPr>
          <w:sz w:val="20"/>
          <w:szCs w:val="20"/>
          <w:lang w:val="en-US"/>
        </w:rPr>
        <w:t xml:space="preserve"> </w:t>
      </w:r>
      <w:r w:rsidR="002223C8" w:rsidRPr="00AC57EA">
        <w:rPr>
          <w:sz w:val="20"/>
          <w:szCs w:val="20"/>
          <w:lang w:val="en-US"/>
        </w:rPr>
        <w:t>final</w:t>
      </w:r>
      <w:r w:rsidR="00973F03" w:rsidRPr="00AC57EA">
        <w:rPr>
          <w:sz w:val="20"/>
          <w:szCs w:val="20"/>
          <w:lang w:val="en-US"/>
        </w:rPr>
        <w:t xml:space="preserve"> </w:t>
      </w:r>
      <w:r w:rsidR="009E569E" w:rsidRPr="00AC57EA">
        <w:rPr>
          <w:sz w:val="20"/>
          <w:szCs w:val="20"/>
          <w:lang w:val="en-US"/>
        </w:rPr>
        <w:t>arguments</w:t>
      </w:r>
      <w:r w:rsidR="002223C8" w:rsidRPr="00AC57EA">
        <w:rPr>
          <w:sz w:val="20"/>
          <w:szCs w:val="20"/>
          <w:lang w:val="en-US"/>
        </w:rPr>
        <w:t>, they added that</w:t>
      </w:r>
      <w:r w:rsidR="00973F03" w:rsidRPr="00AC57EA">
        <w:rPr>
          <w:sz w:val="20"/>
          <w:szCs w:val="20"/>
          <w:lang w:val="en-US"/>
        </w:rPr>
        <w:t xml:space="preserve"> </w:t>
      </w:r>
      <w:r w:rsidR="00EC52D7" w:rsidRPr="00AC57EA">
        <w:rPr>
          <w:sz w:val="20"/>
          <w:szCs w:val="20"/>
          <w:lang w:val="en-US"/>
        </w:rPr>
        <w:t>the State</w:t>
      </w:r>
      <w:r w:rsidR="00973F03" w:rsidRPr="00AC57EA">
        <w:rPr>
          <w:sz w:val="20"/>
          <w:szCs w:val="20"/>
          <w:lang w:val="en-US"/>
        </w:rPr>
        <w:t xml:space="preserve"> </w:t>
      </w:r>
      <w:r w:rsidR="002223C8" w:rsidRPr="00AC57EA">
        <w:rPr>
          <w:sz w:val="20"/>
          <w:szCs w:val="20"/>
          <w:lang w:val="en-US"/>
        </w:rPr>
        <w:t>had filed this objection in a generic manner, without specifying the remedies that had not been exhausted and, in particular, whether they were appropriate and effective</w:t>
      </w:r>
      <w:r w:rsidR="00973F03" w:rsidRPr="00AC57EA">
        <w:rPr>
          <w:sz w:val="20"/>
          <w:szCs w:val="20"/>
          <w:lang w:val="en-US"/>
        </w:rPr>
        <w:t>.</w:t>
      </w:r>
    </w:p>
    <w:p w14:paraId="269757CE" w14:textId="77777777" w:rsidR="00DD00E7" w:rsidRPr="00AC57EA" w:rsidRDefault="00DD00E7" w:rsidP="00DD00E7">
      <w:pPr>
        <w:pStyle w:val="Prrafodelista"/>
        <w:tabs>
          <w:tab w:val="left" w:pos="567"/>
        </w:tabs>
        <w:spacing w:line="240" w:lineRule="auto"/>
        <w:ind w:left="0"/>
        <w:rPr>
          <w:sz w:val="20"/>
          <w:szCs w:val="20"/>
          <w:lang w:val="en-US"/>
        </w:rPr>
      </w:pPr>
    </w:p>
    <w:p w14:paraId="1710510E" w14:textId="36CD6313" w:rsidR="00DD00E7" w:rsidRPr="00AC57EA" w:rsidRDefault="0026739F" w:rsidP="00C607DD">
      <w:pPr>
        <w:pStyle w:val="Ttulo2"/>
        <w:tabs>
          <w:tab w:val="left" w:pos="1843"/>
        </w:tabs>
        <w:spacing w:before="0" w:line="240" w:lineRule="auto"/>
        <w:ind w:left="1134"/>
        <w:rPr>
          <w:rFonts w:ascii="Verdana" w:hAnsi="Verdana"/>
          <w:b w:val="0"/>
          <w:i/>
          <w:color w:val="auto"/>
          <w:sz w:val="20"/>
          <w:szCs w:val="20"/>
          <w:lang w:val="en-US"/>
        </w:rPr>
      </w:pPr>
      <w:bookmarkStart w:id="47" w:name="_Toc401931885"/>
      <w:bookmarkStart w:id="48" w:name="_Toc428369982"/>
      <w:bookmarkStart w:id="49" w:name="_Toc459158101"/>
      <w:bookmarkStart w:id="50" w:name="_Toc460857361"/>
      <w:bookmarkStart w:id="51" w:name="_Toc514172595"/>
      <w:r w:rsidRPr="00AC57EA">
        <w:rPr>
          <w:rFonts w:ascii="Verdana" w:hAnsi="Verdana"/>
          <w:b w:val="0"/>
          <w:i/>
          <w:color w:val="auto"/>
          <w:sz w:val="20"/>
          <w:szCs w:val="20"/>
          <w:lang w:val="en-US"/>
        </w:rPr>
        <w:t>A</w:t>
      </w:r>
      <w:r w:rsidR="00DD00E7" w:rsidRPr="00AC57EA">
        <w:rPr>
          <w:rFonts w:ascii="Verdana" w:hAnsi="Verdana"/>
          <w:b w:val="0"/>
          <w:i/>
          <w:color w:val="auto"/>
          <w:sz w:val="20"/>
          <w:szCs w:val="20"/>
          <w:lang w:val="en-US"/>
        </w:rPr>
        <w:t>.2</w:t>
      </w:r>
      <w:r w:rsidR="00C607DD" w:rsidRPr="00AC57EA">
        <w:rPr>
          <w:rFonts w:ascii="Verdana" w:hAnsi="Verdana"/>
          <w:b w:val="0"/>
          <w:i/>
          <w:color w:val="auto"/>
          <w:sz w:val="20"/>
          <w:szCs w:val="20"/>
          <w:lang w:val="en-US"/>
        </w:rPr>
        <w:tab/>
      </w:r>
      <w:r w:rsidR="002223C8" w:rsidRPr="00AC57EA">
        <w:rPr>
          <w:rFonts w:ascii="Verdana" w:hAnsi="Verdana"/>
          <w:b w:val="0"/>
          <w:i/>
          <w:color w:val="auto"/>
          <w:sz w:val="20"/>
          <w:szCs w:val="20"/>
          <w:lang w:val="en-US"/>
        </w:rPr>
        <w:t>Considerations</w:t>
      </w:r>
      <w:r w:rsidR="00B7258C" w:rsidRPr="00AC57EA">
        <w:rPr>
          <w:rFonts w:ascii="Verdana" w:hAnsi="Verdana"/>
          <w:b w:val="0"/>
          <w:i/>
          <w:color w:val="auto"/>
          <w:sz w:val="20"/>
          <w:szCs w:val="20"/>
          <w:lang w:val="en-US"/>
        </w:rPr>
        <w:t xml:space="preserve"> of the Court</w:t>
      </w:r>
      <w:bookmarkEnd w:id="47"/>
      <w:bookmarkEnd w:id="48"/>
      <w:bookmarkEnd w:id="49"/>
      <w:bookmarkEnd w:id="50"/>
      <w:bookmarkEnd w:id="51"/>
    </w:p>
    <w:p w14:paraId="2B060EE2" w14:textId="77777777" w:rsidR="00DD00E7" w:rsidRPr="00AC57EA" w:rsidRDefault="00DD00E7" w:rsidP="00DD00E7">
      <w:pPr>
        <w:tabs>
          <w:tab w:val="left" w:pos="567"/>
        </w:tabs>
        <w:spacing w:line="240" w:lineRule="auto"/>
        <w:textAlignment w:val="auto"/>
        <w:rPr>
          <w:rFonts w:cs="Arial"/>
          <w:sz w:val="20"/>
          <w:szCs w:val="20"/>
          <w:lang w:val="en-US"/>
        </w:rPr>
      </w:pPr>
    </w:p>
    <w:p w14:paraId="51C99514" w14:textId="2AA28CC4" w:rsidR="00F47378" w:rsidRPr="00AC57EA" w:rsidRDefault="00F47378" w:rsidP="00F47378">
      <w:pPr>
        <w:pStyle w:val="Prrafodelista"/>
        <w:numPr>
          <w:ilvl w:val="0"/>
          <w:numId w:val="2"/>
        </w:numPr>
        <w:tabs>
          <w:tab w:val="left" w:pos="480"/>
          <w:tab w:val="left" w:pos="1080"/>
          <w:tab w:val="left" w:pos="1680"/>
          <w:tab w:val="left" w:pos="5400"/>
        </w:tabs>
        <w:suppressAutoHyphens/>
        <w:spacing w:line="240" w:lineRule="auto"/>
        <w:ind w:left="0" w:firstLine="0"/>
        <w:rPr>
          <w:spacing w:val="-3"/>
          <w:sz w:val="20"/>
          <w:szCs w:val="20"/>
          <w:lang w:val="en-US"/>
        </w:rPr>
      </w:pPr>
      <w:r w:rsidRPr="00AC57EA">
        <w:rPr>
          <w:rFonts w:eastAsia="Batang" w:cs="Times"/>
          <w:sz w:val="20"/>
          <w:szCs w:val="20"/>
          <w:lang w:val="en-US" w:eastAsia="es-ES"/>
        </w:rPr>
        <w:lastRenderedPageBreak/>
        <w:t>Article 46(1)(a) of the Convention establishes that a</w:t>
      </w:r>
      <w:r w:rsidRPr="00AC57EA">
        <w:rPr>
          <w:spacing w:val="-3"/>
          <w:sz w:val="20"/>
          <w:szCs w:val="20"/>
          <w:lang w:val="en-US"/>
        </w:rPr>
        <w:t xml:space="preserve">dmission by the Commission of a petition or communication lodged in accordance with Articles 44 or 45 requires that the remedies under domestic law have been pursued and exhausted in accordance with generally recognized principles of international law. The Court recalls that the rule of prior exhaustion of domestic remedies was conceived in the interests of the State because it seeks to exempt it from responding before an international organ for acts attributed to it before it has had the opportunity to rectify them by its own means. This </w:t>
      </w:r>
      <w:r w:rsidR="00673AC2" w:rsidRPr="00AC57EA">
        <w:rPr>
          <w:spacing w:val="-3"/>
          <w:sz w:val="20"/>
          <w:szCs w:val="20"/>
          <w:lang w:val="en-US"/>
        </w:rPr>
        <w:t>signifies</w:t>
      </w:r>
      <w:r w:rsidRPr="00AC57EA">
        <w:rPr>
          <w:spacing w:val="-3"/>
          <w:sz w:val="20"/>
          <w:szCs w:val="20"/>
          <w:lang w:val="en-US"/>
        </w:rPr>
        <w:t xml:space="preserve"> that the said remedies must not only exist formally, but also they must be appropriate and effective, as a result of the exceptions established in </w:t>
      </w:r>
      <w:r w:rsidRPr="00AC57EA">
        <w:rPr>
          <w:sz w:val="20"/>
          <w:szCs w:val="20"/>
          <w:lang w:val="en-US"/>
        </w:rPr>
        <w:t>Article 46(2) of the Convention</w:t>
      </w:r>
      <w:r w:rsidR="00673AC2" w:rsidRPr="00AC57EA">
        <w:rPr>
          <w:sz w:val="20"/>
          <w:szCs w:val="20"/>
          <w:lang w:val="en-US"/>
        </w:rPr>
        <w:t>.</w:t>
      </w:r>
      <w:r w:rsidRPr="00AC57EA">
        <w:rPr>
          <w:sz w:val="20"/>
          <w:szCs w:val="20"/>
          <w:vertAlign w:val="superscript"/>
          <w:lang w:val="en-US"/>
        </w:rPr>
        <w:footnoteReference w:id="16"/>
      </w:r>
    </w:p>
    <w:p w14:paraId="3D690CEA" w14:textId="77777777" w:rsidR="00F47378" w:rsidRPr="00AC57EA" w:rsidRDefault="00F47378" w:rsidP="00F47378">
      <w:pPr>
        <w:pStyle w:val="Prrafodelista"/>
        <w:tabs>
          <w:tab w:val="left" w:pos="567"/>
        </w:tabs>
        <w:spacing w:line="240" w:lineRule="auto"/>
        <w:ind w:left="825"/>
        <w:textAlignment w:val="auto"/>
        <w:rPr>
          <w:rFonts w:cs="Arial"/>
          <w:sz w:val="20"/>
          <w:szCs w:val="20"/>
          <w:lang w:val="en-US"/>
        </w:rPr>
      </w:pPr>
    </w:p>
    <w:p w14:paraId="2275C806" w14:textId="72D83901" w:rsidR="00DD00E7" w:rsidRPr="00AC57EA" w:rsidRDefault="00F47378" w:rsidP="00C8070B">
      <w:pPr>
        <w:numPr>
          <w:ilvl w:val="0"/>
          <w:numId w:val="2"/>
        </w:numPr>
        <w:tabs>
          <w:tab w:val="left" w:pos="567"/>
        </w:tabs>
        <w:spacing w:line="240" w:lineRule="auto"/>
        <w:ind w:left="0" w:firstLine="0"/>
        <w:textAlignment w:val="auto"/>
        <w:rPr>
          <w:rFonts w:cs="Arial"/>
          <w:sz w:val="20"/>
          <w:szCs w:val="20"/>
          <w:lang w:val="en-US"/>
        </w:rPr>
      </w:pPr>
      <w:r w:rsidRPr="00AC57EA">
        <w:rPr>
          <w:sz w:val="20"/>
          <w:szCs w:val="20"/>
          <w:lang w:val="en-US"/>
        </w:rPr>
        <w:t>The</w:t>
      </w:r>
      <w:r w:rsidR="00B7258C" w:rsidRPr="00AC57EA">
        <w:rPr>
          <w:sz w:val="20"/>
          <w:szCs w:val="20"/>
          <w:lang w:val="en-US"/>
        </w:rPr>
        <w:t xml:space="preserve"> Court</w:t>
      </w:r>
      <w:r w:rsidR="00DD00E7" w:rsidRPr="00AC57EA">
        <w:rPr>
          <w:sz w:val="20"/>
          <w:szCs w:val="20"/>
          <w:lang w:val="en-US"/>
        </w:rPr>
        <w:t xml:space="preserve"> ha</w:t>
      </w:r>
      <w:r w:rsidRPr="00AC57EA">
        <w:rPr>
          <w:sz w:val="20"/>
          <w:szCs w:val="20"/>
          <w:lang w:val="en-US"/>
        </w:rPr>
        <w:t>s also affirmed in its consistent case law that an objection to the exercise of its jurisdiction based on the supposed</w:t>
      </w:r>
      <w:r w:rsidR="00DD00E7" w:rsidRPr="00AC57EA">
        <w:rPr>
          <w:sz w:val="20"/>
          <w:szCs w:val="20"/>
          <w:lang w:val="en-US"/>
        </w:rPr>
        <w:t xml:space="preserve"> </w:t>
      </w:r>
      <w:r w:rsidR="009E569E" w:rsidRPr="00AC57EA">
        <w:rPr>
          <w:sz w:val="20"/>
          <w:szCs w:val="20"/>
          <w:lang w:val="en-US"/>
        </w:rPr>
        <w:t>failure to exhaust domestic remedies</w:t>
      </w:r>
      <w:r w:rsidRPr="00AC57EA">
        <w:rPr>
          <w:sz w:val="20"/>
          <w:szCs w:val="20"/>
          <w:lang w:val="en-US"/>
        </w:rPr>
        <w:t xml:space="preserve"> must be presented at the appropriate procedural moment; that is, during the admissibility procedure before</w:t>
      </w:r>
      <w:r w:rsidR="00DD00E7" w:rsidRPr="00AC57EA">
        <w:rPr>
          <w:sz w:val="20"/>
          <w:szCs w:val="20"/>
          <w:lang w:val="en-US"/>
        </w:rPr>
        <w:t xml:space="preserve"> </w:t>
      </w:r>
      <w:r w:rsidR="00B7258C" w:rsidRPr="00AC57EA">
        <w:rPr>
          <w:sz w:val="20"/>
          <w:szCs w:val="20"/>
          <w:lang w:val="en-US"/>
        </w:rPr>
        <w:t>the Commission</w:t>
      </w:r>
      <w:r w:rsidR="00D77066" w:rsidRPr="00AC57EA">
        <w:rPr>
          <w:sz w:val="20"/>
          <w:szCs w:val="20"/>
          <w:lang w:val="en-US"/>
        </w:rPr>
        <w:t xml:space="preserve">. </w:t>
      </w:r>
      <w:r w:rsidRPr="00AC57EA">
        <w:rPr>
          <w:sz w:val="20"/>
          <w:szCs w:val="20"/>
          <w:lang w:val="en-US"/>
        </w:rPr>
        <w:t>After this, it is understood that the principle of procedural preclusion applies.</w:t>
      </w:r>
      <w:r w:rsidR="00DD00E7" w:rsidRPr="00AC57EA">
        <w:rPr>
          <w:sz w:val="20"/>
          <w:szCs w:val="20"/>
          <w:vertAlign w:val="superscript"/>
          <w:lang w:val="en-US"/>
        </w:rPr>
        <w:footnoteReference w:id="17"/>
      </w:r>
    </w:p>
    <w:p w14:paraId="1B875271" w14:textId="77777777" w:rsidR="00DD00E7" w:rsidRPr="00AC57EA" w:rsidRDefault="00DD00E7" w:rsidP="00DD00E7">
      <w:pPr>
        <w:tabs>
          <w:tab w:val="left" w:pos="567"/>
        </w:tabs>
        <w:spacing w:line="240" w:lineRule="auto"/>
        <w:textAlignment w:val="auto"/>
        <w:rPr>
          <w:rFonts w:cs="Arial"/>
          <w:sz w:val="20"/>
          <w:szCs w:val="20"/>
          <w:lang w:val="en-US"/>
        </w:rPr>
      </w:pPr>
    </w:p>
    <w:p w14:paraId="31727EBC" w14:textId="08548327" w:rsidR="00DD00E7" w:rsidRPr="00AC57EA" w:rsidRDefault="00673AC2" w:rsidP="00F47378">
      <w:pPr>
        <w:numPr>
          <w:ilvl w:val="0"/>
          <w:numId w:val="2"/>
        </w:numPr>
        <w:tabs>
          <w:tab w:val="left" w:pos="567"/>
        </w:tabs>
        <w:spacing w:line="240" w:lineRule="auto"/>
        <w:ind w:left="0" w:firstLine="0"/>
        <w:textAlignment w:val="auto"/>
        <w:rPr>
          <w:rFonts w:cs="Arial"/>
          <w:sz w:val="20"/>
          <w:szCs w:val="20"/>
          <w:lang w:val="en-US"/>
        </w:rPr>
      </w:pPr>
      <w:r w:rsidRPr="00AC57EA">
        <w:rPr>
          <w:rFonts w:eastAsia="Batang" w:cs="Times"/>
          <w:sz w:val="20"/>
          <w:szCs w:val="20"/>
          <w:lang w:val="en-US" w:eastAsia="es-ES"/>
        </w:rPr>
        <w:t>Accordingly</w:t>
      </w:r>
      <w:r w:rsidR="00F47378" w:rsidRPr="00AC57EA">
        <w:rPr>
          <w:rFonts w:eastAsia="Batang" w:cs="Times"/>
          <w:sz w:val="20"/>
          <w:szCs w:val="20"/>
          <w:lang w:val="en-US" w:eastAsia="es-ES"/>
        </w:rPr>
        <w:t xml:space="preserve">, during the admissibility stage of the case before </w:t>
      </w:r>
      <w:r w:rsidR="00B7258C" w:rsidRPr="00AC57EA">
        <w:rPr>
          <w:rFonts w:eastAsia="Batang" w:cs="Times"/>
          <w:sz w:val="20"/>
          <w:szCs w:val="20"/>
          <w:lang w:val="en-US" w:eastAsia="es-ES"/>
        </w:rPr>
        <w:t>the Commission</w:t>
      </w:r>
      <w:r w:rsidR="00DD00E7" w:rsidRPr="00AC57EA">
        <w:rPr>
          <w:rFonts w:eastAsia="Batang" w:cs="Times"/>
          <w:sz w:val="20"/>
          <w:szCs w:val="20"/>
          <w:lang w:val="en-US" w:eastAsia="es-ES"/>
        </w:rPr>
        <w:t xml:space="preserve">, </w:t>
      </w:r>
      <w:r w:rsidR="00EC52D7" w:rsidRPr="00AC57EA">
        <w:rPr>
          <w:rFonts w:eastAsia="Batang" w:cs="Times"/>
          <w:sz w:val="20"/>
          <w:szCs w:val="20"/>
          <w:lang w:val="en-US" w:eastAsia="es-ES"/>
        </w:rPr>
        <w:t xml:space="preserve">the State </w:t>
      </w:r>
      <w:r w:rsidR="00F47378" w:rsidRPr="00AC57EA">
        <w:rPr>
          <w:rFonts w:eastAsia="Batang" w:cs="Times"/>
          <w:sz w:val="20"/>
          <w:szCs w:val="20"/>
          <w:lang w:val="en-US" w:eastAsia="es-ES"/>
        </w:rPr>
        <w:t>must specify clearly the remedies that, in its opinion, have not yet been exhausted in order to safeguard the principle of procedural equality between the parties that should govern every procedure before the inter-American system.</w:t>
      </w:r>
      <w:r w:rsidR="00DD00E7" w:rsidRPr="00AC57EA">
        <w:rPr>
          <w:rFonts w:eastAsia="Batang"/>
          <w:sz w:val="20"/>
          <w:szCs w:val="20"/>
          <w:vertAlign w:val="superscript"/>
          <w:lang w:val="en-US" w:eastAsia="es-ES"/>
        </w:rPr>
        <w:footnoteReference w:id="18"/>
      </w:r>
      <w:r w:rsidR="00DD00E7" w:rsidRPr="00AC57EA">
        <w:rPr>
          <w:rFonts w:eastAsia="Batang" w:cs="Times"/>
          <w:sz w:val="20"/>
          <w:szCs w:val="20"/>
          <w:lang w:val="en-US" w:eastAsia="es-ES"/>
        </w:rPr>
        <w:t xml:space="preserve"> </w:t>
      </w:r>
      <w:r w:rsidR="00F47378" w:rsidRPr="00AC57EA">
        <w:rPr>
          <w:rFonts w:eastAsia="Batang" w:cs="Times"/>
          <w:sz w:val="20"/>
          <w:szCs w:val="20"/>
          <w:lang w:val="en-US" w:eastAsia="es-ES"/>
        </w:rPr>
        <w:t xml:space="preserve">As </w:t>
      </w:r>
      <w:r w:rsidR="00B7258C" w:rsidRPr="00AC57EA">
        <w:rPr>
          <w:rFonts w:eastAsia="Batang" w:cs="Times"/>
          <w:sz w:val="20"/>
          <w:szCs w:val="20"/>
          <w:lang w:val="en-US" w:eastAsia="es-ES"/>
        </w:rPr>
        <w:t>the Court</w:t>
      </w:r>
      <w:r w:rsidR="00DD00E7" w:rsidRPr="00AC57EA">
        <w:rPr>
          <w:rFonts w:eastAsia="Batang" w:cs="Times"/>
          <w:sz w:val="20"/>
          <w:szCs w:val="20"/>
          <w:lang w:val="en-US" w:eastAsia="es-ES"/>
        </w:rPr>
        <w:t xml:space="preserve"> ha</w:t>
      </w:r>
      <w:r w:rsidR="00F47378" w:rsidRPr="00AC57EA">
        <w:rPr>
          <w:rFonts w:eastAsia="Batang" w:cs="Times"/>
          <w:sz w:val="20"/>
          <w:szCs w:val="20"/>
          <w:lang w:val="en-US" w:eastAsia="es-ES"/>
        </w:rPr>
        <w:t xml:space="preserve">s repeatedly established, it is not the task of this Court, or </w:t>
      </w:r>
      <w:r w:rsidR="00B7258C" w:rsidRPr="00AC57EA">
        <w:rPr>
          <w:rFonts w:eastAsia="Batang" w:cs="Times"/>
          <w:sz w:val="20"/>
          <w:szCs w:val="20"/>
          <w:lang w:val="en-US" w:eastAsia="es-ES"/>
        </w:rPr>
        <w:t>of the Commission</w:t>
      </w:r>
      <w:r w:rsidR="00DD00E7" w:rsidRPr="00AC57EA">
        <w:rPr>
          <w:rFonts w:eastAsia="Batang" w:cs="Times"/>
          <w:sz w:val="20"/>
          <w:szCs w:val="20"/>
          <w:lang w:val="en-US" w:eastAsia="es-ES"/>
        </w:rPr>
        <w:t xml:space="preserve">, </w:t>
      </w:r>
      <w:r w:rsidR="00F47378" w:rsidRPr="00AC57EA">
        <w:rPr>
          <w:rFonts w:eastAsia="Batang" w:cs="Times"/>
          <w:sz w:val="20"/>
          <w:szCs w:val="20"/>
          <w:lang w:val="en-US" w:eastAsia="es-ES"/>
        </w:rPr>
        <w:t>to identify</w:t>
      </w:r>
      <w:r w:rsidR="00DD00E7" w:rsidRPr="00AC57EA">
        <w:rPr>
          <w:rFonts w:eastAsia="Batang" w:cs="Times"/>
          <w:sz w:val="20"/>
          <w:szCs w:val="20"/>
          <w:lang w:val="en-US" w:eastAsia="es-ES"/>
        </w:rPr>
        <w:t xml:space="preserve"> </w:t>
      </w:r>
      <w:r w:rsidR="00DD00E7" w:rsidRPr="00AC57EA">
        <w:rPr>
          <w:rFonts w:eastAsia="Batang" w:cs="Times"/>
          <w:i/>
          <w:sz w:val="20"/>
          <w:szCs w:val="20"/>
          <w:lang w:val="en-US" w:eastAsia="es-ES"/>
        </w:rPr>
        <w:t>ex officio</w:t>
      </w:r>
      <w:r w:rsidR="00DD00E7" w:rsidRPr="00AC57EA">
        <w:rPr>
          <w:rFonts w:eastAsia="Batang" w:cs="Times"/>
          <w:sz w:val="20"/>
          <w:szCs w:val="20"/>
          <w:lang w:val="en-US" w:eastAsia="es-ES"/>
        </w:rPr>
        <w:t xml:space="preserve"> </w:t>
      </w:r>
      <w:r w:rsidR="00F47378" w:rsidRPr="00AC57EA">
        <w:rPr>
          <w:rFonts w:eastAsia="Batang" w:cs="Times"/>
          <w:sz w:val="20"/>
          <w:szCs w:val="20"/>
          <w:lang w:val="en-US" w:eastAsia="es-ES"/>
        </w:rPr>
        <w:t>the domestic remedies that are pending exhaustion, because it is not incumbent on the international organs to rectify the lack of precision of the State’s arguments.</w:t>
      </w:r>
      <w:r w:rsidR="00DD00E7" w:rsidRPr="00AC57EA">
        <w:rPr>
          <w:rFonts w:eastAsia="Batang"/>
          <w:sz w:val="20"/>
          <w:szCs w:val="20"/>
          <w:vertAlign w:val="superscript"/>
          <w:lang w:val="en-US" w:eastAsia="es-ES"/>
        </w:rPr>
        <w:footnoteReference w:id="19"/>
      </w:r>
    </w:p>
    <w:p w14:paraId="1074C94B" w14:textId="77777777" w:rsidR="00DD00E7" w:rsidRPr="00AC57EA" w:rsidRDefault="00DD00E7" w:rsidP="00DD00E7">
      <w:pPr>
        <w:pStyle w:val="Prrafodelista"/>
        <w:spacing w:line="240" w:lineRule="auto"/>
        <w:ind w:left="0"/>
        <w:textAlignment w:val="auto"/>
        <w:rPr>
          <w:sz w:val="20"/>
          <w:szCs w:val="20"/>
          <w:lang w:val="en-US"/>
        </w:rPr>
      </w:pPr>
    </w:p>
    <w:p w14:paraId="6B5AF14C" w14:textId="68F21FF4" w:rsidR="00BD0E79" w:rsidRPr="00AC57EA" w:rsidRDefault="00F47378" w:rsidP="00AA2BAE">
      <w:pPr>
        <w:numPr>
          <w:ilvl w:val="0"/>
          <w:numId w:val="2"/>
        </w:numPr>
        <w:tabs>
          <w:tab w:val="left" w:pos="567"/>
        </w:tabs>
        <w:spacing w:line="240" w:lineRule="auto"/>
        <w:ind w:left="0" w:firstLine="0"/>
        <w:textAlignment w:val="auto"/>
        <w:rPr>
          <w:rFonts w:cs="Arial"/>
          <w:sz w:val="20"/>
          <w:szCs w:val="20"/>
          <w:lang w:val="en-US"/>
        </w:rPr>
      </w:pPr>
      <w:r w:rsidRPr="00AC57EA">
        <w:rPr>
          <w:rFonts w:cs="Verdana"/>
          <w:sz w:val="20"/>
          <w:szCs w:val="20"/>
          <w:lang w:val="en-US" w:eastAsia="es-MX"/>
        </w:rPr>
        <w:t>Indeed</w:t>
      </w:r>
      <w:r w:rsidR="00DD00E7" w:rsidRPr="00AC57EA">
        <w:rPr>
          <w:rFonts w:cs="Verdana"/>
          <w:sz w:val="20"/>
          <w:szCs w:val="20"/>
          <w:lang w:val="en-US" w:eastAsia="es-MX"/>
        </w:rPr>
        <w:t xml:space="preserve">, </w:t>
      </w:r>
      <w:r w:rsidR="00B7258C" w:rsidRPr="00AC57EA">
        <w:rPr>
          <w:rFonts w:cs="Verdana"/>
          <w:sz w:val="20"/>
          <w:szCs w:val="20"/>
          <w:lang w:val="en-US" w:eastAsia="es-MX"/>
        </w:rPr>
        <w:t>the Court</w:t>
      </w:r>
      <w:r w:rsidR="00DD00E7" w:rsidRPr="00AC57EA">
        <w:rPr>
          <w:rFonts w:cs="Verdana"/>
          <w:sz w:val="20"/>
          <w:szCs w:val="20"/>
          <w:lang w:val="en-US" w:eastAsia="es-MX"/>
        </w:rPr>
        <w:t xml:space="preserve"> rec</w:t>
      </w:r>
      <w:r w:rsidRPr="00AC57EA">
        <w:rPr>
          <w:rFonts w:cs="Verdana"/>
          <w:sz w:val="20"/>
          <w:szCs w:val="20"/>
          <w:lang w:val="en-US" w:eastAsia="es-MX"/>
        </w:rPr>
        <w:t>alls that</w:t>
      </w:r>
      <w:r w:rsidR="00981237" w:rsidRPr="00AC57EA">
        <w:rPr>
          <w:rFonts w:cs="Verdana"/>
          <w:sz w:val="20"/>
          <w:szCs w:val="20"/>
          <w:lang w:val="en-US" w:eastAsia="es-MX"/>
        </w:rPr>
        <w:t>, in the case of a</w:t>
      </w:r>
      <w:r w:rsidR="00DD00E7" w:rsidRPr="00AC57EA">
        <w:rPr>
          <w:rFonts w:cs="Verdana"/>
          <w:sz w:val="20"/>
          <w:szCs w:val="20"/>
          <w:lang w:val="en-US" w:eastAsia="es-MX"/>
        </w:rPr>
        <w:t xml:space="preserve"> </w:t>
      </w:r>
      <w:r w:rsidR="00DF2B30" w:rsidRPr="00AC57EA">
        <w:rPr>
          <w:rFonts w:cs="Verdana"/>
          <w:sz w:val="20"/>
          <w:szCs w:val="20"/>
          <w:lang w:val="en-US" w:eastAsia="es-MX"/>
        </w:rPr>
        <w:t>preliminary objection</w:t>
      </w:r>
      <w:r w:rsidR="00DD00E7" w:rsidRPr="00AC57EA">
        <w:rPr>
          <w:rFonts w:cs="Verdana"/>
          <w:sz w:val="20"/>
          <w:szCs w:val="20"/>
          <w:lang w:val="en-US" w:eastAsia="es-MX"/>
        </w:rPr>
        <w:t xml:space="preserve"> </w:t>
      </w:r>
      <w:r w:rsidR="00981237" w:rsidRPr="00AC57EA">
        <w:rPr>
          <w:rFonts w:cs="Verdana"/>
          <w:sz w:val="20"/>
          <w:szCs w:val="20"/>
          <w:lang w:val="en-US" w:eastAsia="es-MX"/>
        </w:rPr>
        <w:t xml:space="preserve">of this nature, the first matter it must determine is whether it was filed at the proper procedural moment. In this regard, the </w:t>
      </w:r>
      <w:r w:rsidR="00B7258C" w:rsidRPr="00AC57EA">
        <w:rPr>
          <w:rFonts w:cs="Verdana"/>
          <w:sz w:val="20"/>
          <w:szCs w:val="20"/>
          <w:lang w:val="en-US" w:eastAsia="es-MX"/>
        </w:rPr>
        <w:t>Commission</w:t>
      </w:r>
      <w:r w:rsidR="00DD00E7" w:rsidRPr="00AC57EA">
        <w:rPr>
          <w:rFonts w:cs="Verdana"/>
          <w:sz w:val="20"/>
          <w:szCs w:val="20"/>
          <w:lang w:val="en-US" w:eastAsia="es-MX"/>
        </w:rPr>
        <w:t xml:space="preserve"> </w:t>
      </w:r>
      <w:r w:rsidR="00981237" w:rsidRPr="00AC57EA">
        <w:rPr>
          <w:rFonts w:cs="Verdana"/>
          <w:sz w:val="20"/>
          <w:szCs w:val="20"/>
          <w:lang w:val="en-US" w:eastAsia="es-MX"/>
        </w:rPr>
        <w:t>has indicated that</w:t>
      </w:r>
      <w:r w:rsidR="00AA2BAE" w:rsidRPr="00AC57EA">
        <w:rPr>
          <w:rFonts w:cs="Verdana"/>
          <w:sz w:val="20"/>
          <w:szCs w:val="20"/>
          <w:lang w:val="en-US" w:eastAsia="es-MX"/>
        </w:rPr>
        <w:t xml:space="preserve"> </w:t>
      </w:r>
      <w:r w:rsidR="00EC52D7" w:rsidRPr="00AC57EA">
        <w:rPr>
          <w:rFonts w:cs="Verdana"/>
          <w:sz w:val="20"/>
          <w:szCs w:val="20"/>
          <w:lang w:val="en-US" w:eastAsia="es-MX"/>
        </w:rPr>
        <w:t>the State</w:t>
      </w:r>
      <w:r w:rsidR="00AA2BAE" w:rsidRPr="00AC57EA">
        <w:rPr>
          <w:rFonts w:cs="Verdana"/>
          <w:sz w:val="20"/>
          <w:szCs w:val="20"/>
          <w:lang w:val="en-US" w:eastAsia="es-MX"/>
        </w:rPr>
        <w:t xml:space="preserve"> </w:t>
      </w:r>
      <w:r w:rsidR="00981237" w:rsidRPr="00AC57EA">
        <w:rPr>
          <w:rFonts w:cs="Verdana"/>
          <w:sz w:val="20"/>
          <w:szCs w:val="20"/>
          <w:lang w:val="en-US" w:eastAsia="es-MX"/>
        </w:rPr>
        <w:t>asserted the</w:t>
      </w:r>
      <w:r w:rsidR="00AA2BAE" w:rsidRPr="00AC57EA">
        <w:rPr>
          <w:rFonts w:cs="Verdana"/>
          <w:sz w:val="20"/>
          <w:szCs w:val="20"/>
          <w:lang w:val="en-US" w:eastAsia="es-MX"/>
        </w:rPr>
        <w:t xml:space="preserve"> </w:t>
      </w:r>
      <w:r w:rsidR="009E569E" w:rsidRPr="00AC57EA">
        <w:rPr>
          <w:rFonts w:cs="Verdana"/>
          <w:sz w:val="20"/>
          <w:szCs w:val="20"/>
          <w:lang w:val="en-US" w:eastAsia="es-MX"/>
        </w:rPr>
        <w:t>failure to exhaust domestic remedies</w:t>
      </w:r>
      <w:r w:rsidR="00DD00E7" w:rsidRPr="00AC57EA">
        <w:rPr>
          <w:rFonts w:cs="Verdana"/>
          <w:sz w:val="20"/>
          <w:szCs w:val="20"/>
          <w:lang w:val="en-US" w:eastAsia="es-MX"/>
        </w:rPr>
        <w:t xml:space="preserve"> </w:t>
      </w:r>
      <w:r w:rsidR="00981237" w:rsidRPr="00AC57EA">
        <w:rPr>
          <w:rFonts w:cs="Verdana"/>
          <w:sz w:val="20"/>
          <w:szCs w:val="20"/>
          <w:lang w:val="en-US" w:eastAsia="es-MX"/>
        </w:rPr>
        <w:t xml:space="preserve">opportunely </w:t>
      </w:r>
      <w:r w:rsidR="00DD00E7" w:rsidRPr="00AC57EA">
        <w:rPr>
          <w:rFonts w:cs="Verdana"/>
          <w:sz w:val="20"/>
          <w:szCs w:val="20"/>
          <w:lang w:val="en-US" w:eastAsia="es-MX"/>
        </w:rPr>
        <w:t>(</w:t>
      </w:r>
      <w:r w:rsidR="00DD00E7" w:rsidRPr="00AC57EA">
        <w:rPr>
          <w:rFonts w:cs="Verdana"/>
          <w:i/>
          <w:sz w:val="20"/>
          <w:szCs w:val="20"/>
          <w:lang w:val="en-US" w:eastAsia="es-MX"/>
        </w:rPr>
        <w:t>supra</w:t>
      </w:r>
      <w:r w:rsidR="00DD00E7" w:rsidRPr="00AC57EA">
        <w:rPr>
          <w:rFonts w:cs="Verdana"/>
          <w:sz w:val="20"/>
          <w:szCs w:val="20"/>
          <w:lang w:val="en-US" w:eastAsia="es-MX"/>
        </w:rPr>
        <w:t xml:space="preserve"> </w:t>
      </w:r>
      <w:r w:rsidR="00171E27" w:rsidRPr="00AC57EA">
        <w:rPr>
          <w:rFonts w:cs="Verdana"/>
          <w:sz w:val="20"/>
          <w:szCs w:val="20"/>
          <w:lang w:val="en-US" w:eastAsia="es-MX"/>
        </w:rPr>
        <w:t>para.</w:t>
      </w:r>
      <w:r w:rsidR="00FA0912" w:rsidRPr="00AC57EA">
        <w:rPr>
          <w:rFonts w:cs="Verdana"/>
          <w:sz w:val="20"/>
          <w:szCs w:val="20"/>
          <w:lang w:val="en-US" w:eastAsia="es-MX"/>
        </w:rPr>
        <w:t xml:space="preserve"> 19</w:t>
      </w:r>
      <w:r w:rsidR="00DD00E7" w:rsidRPr="00AC57EA">
        <w:rPr>
          <w:rFonts w:cs="Verdana"/>
          <w:sz w:val="20"/>
          <w:szCs w:val="20"/>
          <w:lang w:val="en-US" w:eastAsia="es-MX"/>
        </w:rPr>
        <w:t>),</w:t>
      </w:r>
      <w:r w:rsidR="00171E27" w:rsidRPr="00AC57EA">
        <w:rPr>
          <w:rFonts w:cs="Verdana"/>
          <w:sz w:val="20"/>
          <w:szCs w:val="20"/>
          <w:lang w:val="en-US" w:eastAsia="es-MX"/>
        </w:rPr>
        <w:t xml:space="preserve"> and the representatives</w:t>
      </w:r>
      <w:r w:rsidR="00DD00E7" w:rsidRPr="00AC57EA">
        <w:rPr>
          <w:rFonts w:cs="Verdana"/>
          <w:sz w:val="20"/>
          <w:szCs w:val="20"/>
          <w:lang w:val="en-US" w:eastAsia="es-MX"/>
        </w:rPr>
        <w:t xml:space="preserve"> </w:t>
      </w:r>
      <w:r w:rsidR="00981237" w:rsidRPr="00AC57EA">
        <w:rPr>
          <w:rFonts w:cs="Verdana"/>
          <w:sz w:val="20"/>
          <w:szCs w:val="20"/>
          <w:lang w:val="en-US" w:eastAsia="es-MX"/>
        </w:rPr>
        <w:t xml:space="preserve">have not contested this aspect. The Court notes that the State alleged the failure to exhaust domestic remedies during the admissibility stage, specifically in the </w:t>
      </w:r>
      <w:r w:rsidR="00BD0E79" w:rsidRPr="00AC57EA">
        <w:rPr>
          <w:rFonts w:cs="Verdana"/>
          <w:iCs/>
          <w:sz w:val="20"/>
          <w:szCs w:val="20"/>
          <w:lang w:val="en-US" w:eastAsia="es-MX"/>
        </w:rPr>
        <w:t xml:space="preserve">addendum </w:t>
      </w:r>
      <w:r w:rsidR="00981237" w:rsidRPr="00AC57EA">
        <w:rPr>
          <w:rFonts w:cs="Verdana"/>
          <w:iCs/>
          <w:sz w:val="20"/>
          <w:szCs w:val="20"/>
          <w:lang w:val="en-US" w:eastAsia="es-MX"/>
        </w:rPr>
        <w:t>to its initial response,</w:t>
      </w:r>
      <w:r w:rsidR="00D2129E" w:rsidRPr="00AC57EA">
        <w:rPr>
          <w:rStyle w:val="Refdenotaalpie"/>
          <w:rFonts w:cs="Verdana,Italic"/>
          <w:iCs/>
          <w:sz w:val="20"/>
          <w:szCs w:val="20"/>
          <w:lang w:val="en-US" w:eastAsia="en-US"/>
        </w:rPr>
        <w:footnoteReference w:id="20"/>
      </w:r>
      <w:r w:rsidR="002926B6" w:rsidRPr="00AC57EA">
        <w:rPr>
          <w:rFonts w:cs="Verdana"/>
          <w:sz w:val="20"/>
          <w:szCs w:val="20"/>
          <w:lang w:val="en-US" w:eastAsia="es-MX"/>
        </w:rPr>
        <w:t xml:space="preserve"> </w:t>
      </w:r>
      <w:r w:rsidR="00981237" w:rsidRPr="00AC57EA">
        <w:rPr>
          <w:rFonts w:cs="Verdana"/>
          <w:sz w:val="20"/>
          <w:szCs w:val="20"/>
          <w:lang w:val="en-US" w:eastAsia="es-MX"/>
        </w:rPr>
        <w:t>received on February 16,</w:t>
      </w:r>
      <w:r w:rsidR="002926B6" w:rsidRPr="00AC57EA">
        <w:rPr>
          <w:rFonts w:cs="Verdana"/>
          <w:sz w:val="20"/>
          <w:szCs w:val="20"/>
          <w:lang w:val="en-US" w:eastAsia="es-MX"/>
        </w:rPr>
        <w:t xml:space="preserve"> 2005</w:t>
      </w:r>
      <w:r w:rsidR="00981237" w:rsidRPr="00AC57EA">
        <w:rPr>
          <w:rFonts w:cs="Verdana"/>
          <w:sz w:val="20"/>
          <w:szCs w:val="20"/>
          <w:lang w:val="en-US" w:eastAsia="es-MX"/>
        </w:rPr>
        <w:t>,</w:t>
      </w:r>
      <w:r w:rsidR="002926B6" w:rsidRPr="00AC57EA">
        <w:rPr>
          <w:rStyle w:val="Refdenotaalpie"/>
          <w:rFonts w:cs="Verdana,Italic"/>
          <w:iCs/>
          <w:sz w:val="20"/>
          <w:szCs w:val="20"/>
          <w:lang w:val="en-US" w:eastAsia="en-US"/>
        </w:rPr>
        <w:footnoteReference w:id="21"/>
      </w:r>
      <w:r w:rsidR="00981237" w:rsidRPr="00AC57EA">
        <w:rPr>
          <w:rFonts w:cs="Verdana"/>
          <w:sz w:val="20"/>
          <w:szCs w:val="20"/>
          <w:lang w:val="en-US" w:eastAsia="es-MX"/>
        </w:rPr>
        <w:t xml:space="preserve"> when it stated that, at that time, they had not been totally exhausted because the decision was pending on a request for nullification of </w:t>
      </w:r>
      <w:r w:rsidR="00B7258C" w:rsidRPr="00AC57EA">
        <w:rPr>
          <w:rFonts w:cs="Verdana,Italic"/>
          <w:iCs/>
          <w:sz w:val="20"/>
          <w:szCs w:val="20"/>
          <w:lang w:val="en-US" w:eastAsia="en-US"/>
        </w:rPr>
        <w:t xml:space="preserve">the </w:t>
      </w:r>
      <w:r w:rsidR="00981237" w:rsidRPr="00AC57EA">
        <w:rPr>
          <w:rFonts w:cs="Verdana,Italic"/>
          <w:iCs/>
          <w:sz w:val="20"/>
          <w:szCs w:val="20"/>
          <w:lang w:val="en-US" w:eastAsia="en-US"/>
        </w:rPr>
        <w:t xml:space="preserve">Jury </w:t>
      </w:r>
      <w:r w:rsidR="00B7258C" w:rsidRPr="00AC57EA">
        <w:rPr>
          <w:rFonts w:cs="Verdana,Italic"/>
          <w:iCs/>
          <w:sz w:val="20"/>
          <w:szCs w:val="20"/>
          <w:lang w:val="en-US" w:eastAsia="en-US"/>
        </w:rPr>
        <w:t>Court</w:t>
      </w:r>
      <w:r w:rsidR="00673AC2" w:rsidRPr="00AC57EA">
        <w:rPr>
          <w:rFonts w:cs="Verdana,Italic"/>
          <w:iCs/>
          <w:sz w:val="20"/>
          <w:szCs w:val="20"/>
          <w:lang w:val="en-US" w:eastAsia="en-US"/>
        </w:rPr>
        <w:t>’s verdict</w:t>
      </w:r>
      <w:r w:rsidR="002926B6" w:rsidRPr="00AC57EA">
        <w:rPr>
          <w:rFonts w:cs="Verdana,Italic"/>
          <w:iCs/>
          <w:sz w:val="20"/>
          <w:szCs w:val="20"/>
          <w:lang w:val="en-US" w:eastAsia="en-US"/>
        </w:rPr>
        <w:t xml:space="preserve"> </w:t>
      </w:r>
      <w:r w:rsidR="00673AC2" w:rsidRPr="00AC57EA">
        <w:rPr>
          <w:rFonts w:cs="Verdana,Italic"/>
          <w:iCs/>
          <w:sz w:val="20"/>
          <w:szCs w:val="20"/>
          <w:lang w:val="en-US" w:eastAsia="en-US"/>
        </w:rPr>
        <w:t xml:space="preserve">that </w:t>
      </w:r>
      <w:r w:rsidR="00981237" w:rsidRPr="00AC57EA">
        <w:rPr>
          <w:rFonts w:cs="Verdana,Italic"/>
          <w:iCs/>
          <w:sz w:val="20"/>
          <w:szCs w:val="20"/>
          <w:lang w:val="en-US" w:eastAsia="en-US"/>
        </w:rPr>
        <w:t>acquitt</w:t>
      </w:r>
      <w:r w:rsidR="00673AC2" w:rsidRPr="00AC57EA">
        <w:rPr>
          <w:rFonts w:cs="Verdana,Italic"/>
          <w:iCs/>
          <w:sz w:val="20"/>
          <w:szCs w:val="20"/>
          <w:lang w:val="en-US" w:eastAsia="en-US"/>
        </w:rPr>
        <w:t>ed</w:t>
      </w:r>
      <w:r w:rsidR="00981237" w:rsidRPr="00AC57EA">
        <w:rPr>
          <w:rFonts w:cs="Verdana,Italic"/>
          <w:iCs/>
          <w:sz w:val="20"/>
          <w:szCs w:val="20"/>
          <w:lang w:val="en-US" w:eastAsia="en-US"/>
        </w:rPr>
        <w:t xml:space="preserve"> the accused.</w:t>
      </w:r>
      <w:r w:rsidR="002926B6" w:rsidRPr="00AC57EA">
        <w:rPr>
          <w:rStyle w:val="Refdenotaalpie"/>
          <w:rFonts w:cs="Verdana,Italic"/>
          <w:iCs/>
          <w:sz w:val="20"/>
          <w:szCs w:val="20"/>
          <w:lang w:val="en-US" w:eastAsia="en-US"/>
        </w:rPr>
        <w:footnoteReference w:id="22"/>
      </w:r>
      <w:r w:rsidR="00981237" w:rsidRPr="00AC57EA">
        <w:rPr>
          <w:rFonts w:cs="Verdana,Italic"/>
          <w:iCs/>
          <w:sz w:val="20"/>
          <w:szCs w:val="20"/>
          <w:lang w:val="en-US" w:eastAsia="en-US"/>
        </w:rPr>
        <w:t xml:space="preserve"> Therefore, the objection was filed at the proper procedural moment, as revealed by the </w:t>
      </w:r>
      <w:r w:rsidR="00EC52D7" w:rsidRPr="00AC57EA">
        <w:rPr>
          <w:rFonts w:cs="Verdana"/>
          <w:sz w:val="20"/>
          <w:szCs w:val="20"/>
          <w:lang w:val="en-US" w:eastAsia="es-MX"/>
        </w:rPr>
        <w:t>Admissibility Report</w:t>
      </w:r>
      <w:r w:rsidR="00981237" w:rsidRPr="00AC57EA">
        <w:rPr>
          <w:rFonts w:cs="Verdana"/>
          <w:sz w:val="20"/>
          <w:szCs w:val="20"/>
          <w:lang w:val="en-US" w:eastAsia="es-MX"/>
        </w:rPr>
        <w:t>.</w:t>
      </w:r>
      <w:r w:rsidR="00BD0E79" w:rsidRPr="00AC57EA">
        <w:rPr>
          <w:rStyle w:val="Refdenotaalpie"/>
          <w:rFonts w:cs="Verdana"/>
          <w:sz w:val="20"/>
          <w:szCs w:val="20"/>
          <w:lang w:val="en-US" w:eastAsia="es-MX"/>
        </w:rPr>
        <w:footnoteReference w:id="23"/>
      </w:r>
    </w:p>
    <w:p w14:paraId="1AE7F383" w14:textId="77777777" w:rsidR="00BD0E79" w:rsidRPr="00AC57EA" w:rsidRDefault="00BD0E79" w:rsidP="00BD0E79">
      <w:pPr>
        <w:tabs>
          <w:tab w:val="left" w:pos="567"/>
        </w:tabs>
        <w:spacing w:line="240" w:lineRule="auto"/>
        <w:textAlignment w:val="auto"/>
        <w:rPr>
          <w:rFonts w:cs="Arial"/>
          <w:sz w:val="20"/>
          <w:szCs w:val="20"/>
          <w:lang w:val="en-US"/>
        </w:rPr>
      </w:pPr>
    </w:p>
    <w:p w14:paraId="4F75A8A7" w14:textId="5648F8C0" w:rsidR="00DD00E7" w:rsidRPr="00AC57EA" w:rsidRDefault="00151468" w:rsidP="00C8070B">
      <w:pPr>
        <w:numPr>
          <w:ilvl w:val="0"/>
          <w:numId w:val="2"/>
        </w:numPr>
        <w:tabs>
          <w:tab w:val="left" w:pos="567"/>
        </w:tabs>
        <w:spacing w:line="240" w:lineRule="auto"/>
        <w:ind w:left="0" w:firstLine="0"/>
        <w:textAlignment w:val="auto"/>
        <w:rPr>
          <w:rFonts w:cs="Arial"/>
          <w:sz w:val="20"/>
          <w:szCs w:val="20"/>
          <w:lang w:val="en-US"/>
        </w:rPr>
      </w:pPr>
      <w:r w:rsidRPr="00AC57EA">
        <w:rPr>
          <w:sz w:val="20"/>
          <w:szCs w:val="20"/>
          <w:lang w:val="en-US"/>
        </w:rPr>
        <w:lastRenderedPageBreak/>
        <w:t xml:space="preserve">That said, </w:t>
      </w:r>
      <w:r w:rsidR="00B7258C" w:rsidRPr="00AC57EA">
        <w:rPr>
          <w:sz w:val="20"/>
          <w:szCs w:val="20"/>
          <w:lang w:val="en-US"/>
        </w:rPr>
        <w:t>the Court</w:t>
      </w:r>
      <w:r w:rsidR="00DD00E7" w:rsidRPr="00AC57EA">
        <w:rPr>
          <w:sz w:val="20"/>
          <w:szCs w:val="20"/>
          <w:lang w:val="en-US"/>
        </w:rPr>
        <w:t xml:space="preserve"> </w:t>
      </w:r>
      <w:r w:rsidRPr="00AC57EA">
        <w:rPr>
          <w:sz w:val="20"/>
          <w:szCs w:val="20"/>
          <w:lang w:val="en-US"/>
        </w:rPr>
        <w:t xml:space="preserve">stresses that, as established in its case law, </w:t>
      </w:r>
      <w:r w:rsidR="00B7258C" w:rsidRPr="00AC57EA">
        <w:rPr>
          <w:sz w:val="20"/>
          <w:szCs w:val="20"/>
          <w:lang w:val="en-US"/>
        </w:rPr>
        <w:t>the Commission</w:t>
      </w:r>
      <w:r w:rsidR="00DD00E7" w:rsidRPr="00AC57EA">
        <w:rPr>
          <w:sz w:val="20"/>
          <w:szCs w:val="20"/>
          <w:lang w:val="en-US"/>
        </w:rPr>
        <w:t xml:space="preserve"> </w:t>
      </w:r>
      <w:r w:rsidR="004D15FF" w:rsidRPr="00AC57EA">
        <w:rPr>
          <w:sz w:val="20"/>
          <w:szCs w:val="20"/>
          <w:lang w:val="en-US"/>
        </w:rPr>
        <w:t>must</w:t>
      </w:r>
      <w:r w:rsidRPr="00AC57EA">
        <w:rPr>
          <w:sz w:val="20"/>
          <w:szCs w:val="20"/>
          <w:lang w:val="en-US"/>
        </w:rPr>
        <w:t xml:space="preserve"> analyze the exhaustion of domestic remedies </w:t>
      </w:r>
      <w:r w:rsidR="004D15FF" w:rsidRPr="00AC57EA">
        <w:rPr>
          <w:sz w:val="20"/>
          <w:szCs w:val="20"/>
          <w:lang w:val="en-US"/>
        </w:rPr>
        <w:t>when deciding on</w:t>
      </w:r>
      <w:r w:rsidRPr="00AC57EA">
        <w:rPr>
          <w:sz w:val="20"/>
          <w:szCs w:val="20"/>
          <w:lang w:val="en-US"/>
        </w:rPr>
        <w:t xml:space="preserve"> the admissibility of the petition and not </w:t>
      </w:r>
      <w:r w:rsidR="004D15FF" w:rsidRPr="00AC57EA">
        <w:rPr>
          <w:sz w:val="20"/>
          <w:szCs w:val="20"/>
          <w:lang w:val="en-US"/>
        </w:rPr>
        <w:t>when this</w:t>
      </w:r>
      <w:r w:rsidRPr="00AC57EA">
        <w:rPr>
          <w:sz w:val="20"/>
          <w:szCs w:val="20"/>
          <w:lang w:val="en-US"/>
        </w:rPr>
        <w:t xml:space="preserve"> is lodged.</w:t>
      </w:r>
      <w:r w:rsidR="00DD00E7" w:rsidRPr="00AC57EA">
        <w:rPr>
          <w:rStyle w:val="Refdenotaalpie"/>
          <w:sz w:val="20"/>
          <w:szCs w:val="20"/>
          <w:lang w:val="en-US"/>
        </w:rPr>
        <w:footnoteReference w:id="24"/>
      </w:r>
      <w:r w:rsidRPr="00AC57EA">
        <w:rPr>
          <w:sz w:val="20"/>
          <w:szCs w:val="20"/>
          <w:lang w:val="en-US"/>
        </w:rPr>
        <w:t xml:space="preserve"> In addition, </w:t>
      </w:r>
      <w:r w:rsidR="004D15FF" w:rsidRPr="00AC57EA">
        <w:rPr>
          <w:sz w:val="20"/>
          <w:szCs w:val="20"/>
          <w:lang w:val="en-US"/>
        </w:rPr>
        <w:t>the Commission</w:t>
      </w:r>
      <w:r w:rsidRPr="00AC57EA">
        <w:rPr>
          <w:sz w:val="20"/>
          <w:szCs w:val="20"/>
          <w:lang w:val="en-US"/>
        </w:rPr>
        <w:t xml:space="preserve"> need</w:t>
      </w:r>
      <w:r w:rsidR="00985CDE" w:rsidRPr="00AC57EA">
        <w:rPr>
          <w:sz w:val="20"/>
          <w:szCs w:val="20"/>
          <w:lang w:val="en-US"/>
        </w:rPr>
        <w:t>ed</w:t>
      </w:r>
      <w:r w:rsidRPr="00AC57EA">
        <w:rPr>
          <w:sz w:val="20"/>
          <w:szCs w:val="20"/>
          <w:lang w:val="en-US"/>
        </w:rPr>
        <w:t xml:space="preserve"> to have the </w:t>
      </w:r>
      <w:r w:rsidR="004D15FF" w:rsidRPr="00AC57EA">
        <w:rPr>
          <w:sz w:val="20"/>
          <w:szCs w:val="20"/>
          <w:lang w:val="en-US"/>
        </w:rPr>
        <w:t>most recent</w:t>
      </w:r>
      <w:r w:rsidRPr="00AC57EA">
        <w:rPr>
          <w:sz w:val="20"/>
          <w:szCs w:val="20"/>
          <w:lang w:val="en-US"/>
        </w:rPr>
        <w:t>, necessary and sufficient information to carry out this analysis of admissibility, which should have been provided by the parties to the proceedings</w:t>
      </w:r>
      <w:r w:rsidR="00931C0D" w:rsidRPr="00AC57EA">
        <w:rPr>
          <w:sz w:val="20"/>
          <w:szCs w:val="20"/>
          <w:lang w:val="en-US"/>
        </w:rPr>
        <w:t>.</w:t>
      </w:r>
    </w:p>
    <w:p w14:paraId="6FD3F41E" w14:textId="77777777" w:rsidR="00DD00E7" w:rsidRPr="00AC57EA" w:rsidRDefault="00DD00E7" w:rsidP="00DD00E7">
      <w:pPr>
        <w:pStyle w:val="Prrafodelista"/>
        <w:spacing w:line="240" w:lineRule="auto"/>
        <w:ind w:left="0"/>
        <w:textAlignment w:val="auto"/>
        <w:rPr>
          <w:sz w:val="20"/>
          <w:szCs w:val="20"/>
          <w:lang w:val="en-US"/>
        </w:rPr>
      </w:pPr>
    </w:p>
    <w:p w14:paraId="314920DB" w14:textId="1BF9EB1B" w:rsidR="002B12BC" w:rsidRPr="00AC57EA" w:rsidRDefault="00151468" w:rsidP="0015146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this point</w:t>
      </w:r>
      <w:r w:rsidR="002B12BC" w:rsidRPr="00AC57EA">
        <w:rPr>
          <w:sz w:val="20"/>
          <w:szCs w:val="20"/>
          <w:lang w:val="en-US"/>
        </w:rPr>
        <w:t xml:space="preserve">, </w:t>
      </w:r>
      <w:r w:rsidR="00B7258C" w:rsidRPr="00AC57EA">
        <w:rPr>
          <w:sz w:val="20"/>
          <w:szCs w:val="20"/>
          <w:lang w:val="en-US"/>
        </w:rPr>
        <w:t>the Court</w:t>
      </w:r>
      <w:r w:rsidR="002B12BC" w:rsidRPr="00AC57EA">
        <w:rPr>
          <w:sz w:val="20"/>
          <w:szCs w:val="20"/>
          <w:lang w:val="en-US"/>
        </w:rPr>
        <w:t xml:space="preserve"> </w:t>
      </w:r>
      <w:r w:rsidRPr="00AC57EA">
        <w:rPr>
          <w:sz w:val="20"/>
          <w:szCs w:val="20"/>
          <w:lang w:val="en-US"/>
        </w:rPr>
        <w:t xml:space="preserve">notes that, on February 11, </w:t>
      </w:r>
      <w:r w:rsidR="002B12BC" w:rsidRPr="00AC57EA">
        <w:rPr>
          <w:sz w:val="20"/>
          <w:szCs w:val="20"/>
          <w:lang w:val="en-US"/>
        </w:rPr>
        <w:t xml:space="preserve">2009, </w:t>
      </w:r>
      <w:r w:rsidRPr="00AC57EA">
        <w:rPr>
          <w:sz w:val="20"/>
          <w:szCs w:val="20"/>
          <w:lang w:val="en-US"/>
        </w:rPr>
        <w:t>the date on which</w:t>
      </w:r>
      <w:r w:rsidR="002B12BC" w:rsidRPr="00AC57EA">
        <w:rPr>
          <w:sz w:val="20"/>
          <w:szCs w:val="20"/>
          <w:lang w:val="en-US"/>
        </w:rPr>
        <w:t xml:space="preserve"> </w:t>
      </w:r>
      <w:r w:rsidR="00B7258C" w:rsidRPr="00AC57EA">
        <w:rPr>
          <w:sz w:val="20"/>
          <w:szCs w:val="20"/>
          <w:lang w:val="en-US"/>
        </w:rPr>
        <w:t>the Commission</w:t>
      </w:r>
      <w:r w:rsidR="002B12BC" w:rsidRPr="00AC57EA">
        <w:rPr>
          <w:sz w:val="20"/>
          <w:szCs w:val="20"/>
          <w:lang w:val="en-US"/>
        </w:rPr>
        <w:t xml:space="preserve"> </w:t>
      </w:r>
      <w:r w:rsidRPr="00AC57EA">
        <w:rPr>
          <w:sz w:val="20"/>
          <w:szCs w:val="20"/>
          <w:lang w:val="en-US"/>
        </w:rPr>
        <w:t>ruled</w:t>
      </w:r>
      <w:r w:rsidR="004D15FF" w:rsidRPr="00AC57EA">
        <w:rPr>
          <w:sz w:val="20"/>
          <w:szCs w:val="20"/>
          <w:lang w:val="en-US"/>
        </w:rPr>
        <w:t xml:space="preserve"> </w:t>
      </w:r>
      <w:r w:rsidRPr="00AC57EA">
        <w:rPr>
          <w:sz w:val="20"/>
          <w:szCs w:val="20"/>
          <w:lang w:val="en-US"/>
        </w:rPr>
        <w:t xml:space="preserve">on admissibility, the information in its file </w:t>
      </w:r>
      <w:r w:rsidR="004D15FF" w:rsidRPr="00AC57EA">
        <w:rPr>
          <w:sz w:val="20"/>
          <w:szCs w:val="20"/>
          <w:lang w:val="en-US"/>
        </w:rPr>
        <w:t>for</w:t>
      </w:r>
      <w:r w:rsidRPr="00AC57EA">
        <w:rPr>
          <w:sz w:val="20"/>
          <w:szCs w:val="20"/>
          <w:lang w:val="en-US"/>
        </w:rPr>
        <w:t xml:space="preserve"> this procedure revealed that the appeals filed on August 25, 2005, by the assistant prosecutor of the Public Prosecution Service and by the legal representative of V.P.C. (</w:t>
      </w:r>
      <w:r w:rsidRPr="00AC57EA">
        <w:rPr>
          <w:i/>
          <w:sz w:val="20"/>
          <w:szCs w:val="20"/>
          <w:lang w:val="en-US"/>
        </w:rPr>
        <w:t>infra</w:t>
      </w:r>
      <w:r w:rsidRPr="00AC57EA">
        <w:rPr>
          <w:sz w:val="20"/>
          <w:szCs w:val="20"/>
          <w:lang w:val="en-US"/>
        </w:rPr>
        <w:t xml:space="preserve"> para. 120) were pending a decision and, indeed, more than six years had passed since the </w:t>
      </w:r>
      <w:r w:rsidR="004D15FF" w:rsidRPr="00AC57EA">
        <w:rPr>
          <w:sz w:val="20"/>
          <w:szCs w:val="20"/>
          <w:lang w:val="en-US"/>
        </w:rPr>
        <w:t>facts</w:t>
      </w:r>
      <w:r w:rsidRPr="00AC57EA">
        <w:rPr>
          <w:sz w:val="20"/>
          <w:szCs w:val="20"/>
          <w:lang w:val="en-US"/>
        </w:rPr>
        <w:t xml:space="preserve"> occurred without the State having issued a final decision. There is no evidence in the file of the procedure before the Commission that it had been informed of the delivery of judgment No. 45 of </w:t>
      </w:r>
      <w:r w:rsidR="003A32C1" w:rsidRPr="00AC57EA">
        <w:rPr>
          <w:sz w:val="20"/>
          <w:szCs w:val="20"/>
          <w:lang w:val="en-US"/>
        </w:rPr>
        <w:t>the Criminal Chamber</w:t>
      </w:r>
      <w:r w:rsidR="00B7258C" w:rsidRPr="00AC57EA">
        <w:rPr>
          <w:sz w:val="20"/>
          <w:szCs w:val="20"/>
          <w:lang w:val="en-US"/>
        </w:rPr>
        <w:t xml:space="preserve"> of the </w:t>
      </w:r>
      <w:r w:rsidR="00EF75D6" w:rsidRPr="00AC57EA">
        <w:rPr>
          <w:sz w:val="20"/>
          <w:szCs w:val="20"/>
          <w:lang w:val="en-US"/>
        </w:rPr>
        <w:t>Northern District Appellate Court</w:t>
      </w:r>
      <w:r w:rsidR="002B12BC" w:rsidRPr="00AC57EA">
        <w:rPr>
          <w:sz w:val="20"/>
          <w:szCs w:val="20"/>
          <w:lang w:val="en-US"/>
        </w:rPr>
        <w:t xml:space="preserve"> </w:t>
      </w:r>
      <w:r w:rsidR="004D15FF" w:rsidRPr="00AC57EA">
        <w:rPr>
          <w:sz w:val="20"/>
          <w:szCs w:val="20"/>
          <w:lang w:val="en-US"/>
        </w:rPr>
        <w:t>on</w:t>
      </w:r>
      <w:r w:rsidR="002B12BC" w:rsidRPr="00AC57EA">
        <w:rPr>
          <w:sz w:val="20"/>
          <w:szCs w:val="20"/>
          <w:lang w:val="en-US"/>
        </w:rPr>
        <w:t xml:space="preserve"> </w:t>
      </w:r>
      <w:r w:rsidR="003A32C1" w:rsidRPr="00AC57EA">
        <w:rPr>
          <w:sz w:val="20"/>
          <w:szCs w:val="20"/>
          <w:lang w:val="en-US"/>
        </w:rPr>
        <w:t>October 24,</w:t>
      </w:r>
      <w:r w:rsidR="002B12BC" w:rsidRPr="00AC57EA">
        <w:rPr>
          <w:sz w:val="20"/>
          <w:szCs w:val="20"/>
          <w:lang w:val="en-US"/>
        </w:rPr>
        <w:t xml:space="preserve"> 2007.</w:t>
      </w:r>
    </w:p>
    <w:p w14:paraId="5D7E3212" w14:textId="77777777" w:rsidR="002B12BC" w:rsidRPr="00AC57EA" w:rsidRDefault="002B12BC" w:rsidP="003C63B4">
      <w:pPr>
        <w:tabs>
          <w:tab w:val="left" w:pos="567"/>
        </w:tabs>
        <w:spacing w:line="240" w:lineRule="auto"/>
        <w:rPr>
          <w:sz w:val="20"/>
          <w:szCs w:val="20"/>
          <w:lang w:val="en-US"/>
        </w:rPr>
      </w:pPr>
    </w:p>
    <w:p w14:paraId="62949275" w14:textId="3111BFF3" w:rsidR="00985CDE" w:rsidRPr="00AC57EA" w:rsidRDefault="00985CDE" w:rsidP="00985CDE">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Based on the above, and in accordance with </w:t>
      </w:r>
      <w:r w:rsidR="004D15FF" w:rsidRPr="00AC57EA">
        <w:rPr>
          <w:sz w:val="20"/>
          <w:szCs w:val="20"/>
          <w:lang w:val="en-US"/>
        </w:rPr>
        <w:t>this</w:t>
      </w:r>
      <w:r w:rsidRPr="00AC57EA">
        <w:rPr>
          <w:sz w:val="20"/>
          <w:szCs w:val="20"/>
          <w:lang w:val="en-US"/>
        </w:rPr>
        <w:t xml:space="preserve"> Court previous</w:t>
      </w:r>
      <w:r w:rsidR="004D15FF" w:rsidRPr="00AC57EA">
        <w:rPr>
          <w:sz w:val="20"/>
          <w:szCs w:val="20"/>
          <w:lang w:val="en-US"/>
        </w:rPr>
        <w:t xml:space="preserve"> rulings</w:t>
      </w:r>
      <w:r w:rsidRPr="00AC57EA">
        <w:rPr>
          <w:sz w:val="20"/>
          <w:szCs w:val="20"/>
          <w:lang w:val="en-US"/>
        </w:rPr>
        <w:t>, the Commission could only have taken into account any progress made in the proceedings in the domestic jurisdiction if the parties had provided it with that information during the procedure.</w:t>
      </w:r>
      <w:r w:rsidR="00DD00E7" w:rsidRPr="00AC57EA">
        <w:rPr>
          <w:rStyle w:val="Refdenotaalpie"/>
          <w:sz w:val="20"/>
          <w:szCs w:val="20"/>
          <w:lang w:val="en-US"/>
        </w:rPr>
        <w:footnoteReference w:id="25"/>
      </w:r>
      <w:r w:rsidRPr="00AC57EA">
        <w:rPr>
          <w:sz w:val="20"/>
          <w:szCs w:val="20"/>
          <w:lang w:val="en-US"/>
        </w:rPr>
        <w:t xml:space="preserve"> Consequently, the analysis of admissibility made by the Commission in 2009 was in keeping with the information available to it at that </w:t>
      </w:r>
      <w:r w:rsidR="004D15FF" w:rsidRPr="00AC57EA">
        <w:rPr>
          <w:sz w:val="20"/>
          <w:szCs w:val="20"/>
          <w:lang w:val="en-US"/>
        </w:rPr>
        <w:t>time</w:t>
      </w:r>
      <w:r w:rsidRPr="00AC57EA">
        <w:rPr>
          <w:sz w:val="20"/>
          <w:szCs w:val="20"/>
          <w:lang w:val="en-US"/>
        </w:rPr>
        <w:t xml:space="preserve">, and it could not be required to make a different analysis, since it lacked </w:t>
      </w:r>
      <w:r w:rsidR="004D15FF" w:rsidRPr="00AC57EA">
        <w:rPr>
          <w:sz w:val="20"/>
          <w:szCs w:val="20"/>
          <w:lang w:val="en-US"/>
        </w:rPr>
        <w:t>the most recent</w:t>
      </w:r>
      <w:r w:rsidRPr="00AC57EA">
        <w:rPr>
          <w:sz w:val="20"/>
          <w:szCs w:val="20"/>
          <w:lang w:val="en-US"/>
        </w:rPr>
        <w:t xml:space="preserve"> information.</w:t>
      </w:r>
    </w:p>
    <w:p w14:paraId="21CA3EEB" w14:textId="77777777" w:rsidR="00E30579" w:rsidRPr="00AC57EA" w:rsidRDefault="00E30579" w:rsidP="00E30579">
      <w:pPr>
        <w:tabs>
          <w:tab w:val="left" w:pos="567"/>
        </w:tabs>
        <w:spacing w:line="240" w:lineRule="auto"/>
        <w:rPr>
          <w:sz w:val="20"/>
          <w:szCs w:val="20"/>
          <w:lang w:val="en-US"/>
        </w:rPr>
      </w:pPr>
    </w:p>
    <w:p w14:paraId="66DC800E" w14:textId="05153C14" w:rsidR="00DD00E7" w:rsidRPr="00AC57EA" w:rsidRDefault="00985CDE" w:rsidP="00985CDE">
      <w:pPr>
        <w:numPr>
          <w:ilvl w:val="0"/>
          <w:numId w:val="2"/>
        </w:numPr>
        <w:tabs>
          <w:tab w:val="left" w:pos="567"/>
          <w:tab w:val="num" w:pos="12305"/>
        </w:tabs>
        <w:spacing w:line="240" w:lineRule="auto"/>
        <w:ind w:left="0" w:firstLine="0"/>
        <w:rPr>
          <w:sz w:val="20"/>
          <w:szCs w:val="20"/>
          <w:lang w:val="en-US"/>
        </w:rPr>
      </w:pPr>
      <w:r w:rsidRPr="00AC57EA">
        <w:rPr>
          <w:rFonts w:cs="Arial"/>
          <w:sz w:val="20"/>
          <w:szCs w:val="20"/>
          <w:lang w:val="en-US"/>
        </w:rPr>
        <w:t>The</w:t>
      </w:r>
      <w:r w:rsidR="00B7258C" w:rsidRPr="00AC57EA">
        <w:rPr>
          <w:rFonts w:cs="Arial"/>
          <w:sz w:val="20"/>
          <w:szCs w:val="20"/>
          <w:lang w:val="en-US"/>
        </w:rPr>
        <w:t xml:space="preserve"> Court</w:t>
      </w:r>
      <w:r w:rsidR="00F42900" w:rsidRPr="00AC57EA">
        <w:rPr>
          <w:rFonts w:cs="Arial"/>
          <w:sz w:val="20"/>
          <w:szCs w:val="20"/>
          <w:lang w:val="en-US"/>
        </w:rPr>
        <w:t xml:space="preserve"> </w:t>
      </w:r>
      <w:r w:rsidRPr="00AC57EA">
        <w:rPr>
          <w:rFonts w:cs="Arial"/>
          <w:sz w:val="20"/>
          <w:szCs w:val="20"/>
          <w:lang w:val="en-US"/>
        </w:rPr>
        <w:t xml:space="preserve">also notes that, even if the Commission had possessed information </w:t>
      </w:r>
      <w:r w:rsidR="004D15FF" w:rsidRPr="00AC57EA">
        <w:rPr>
          <w:rFonts w:cs="Arial"/>
          <w:sz w:val="20"/>
          <w:szCs w:val="20"/>
          <w:lang w:val="en-US"/>
        </w:rPr>
        <w:t xml:space="preserve">on the domestic proceedings </w:t>
      </w:r>
      <w:r w:rsidRPr="00AC57EA">
        <w:rPr>
          <w:rFonts w:cs="Arial"/>
          <w:sz w:val="20"/>
          <w:szCs w:val="20"/>
          <w:lang w:val="en-US"/>
        </w:rPr>
        <w:t>updated to 2009</w:t>
      </w:r>
      <w:r w:rsidR="004D15FF" w:rsidRPr="00AC57EA">
        <w:rPr>
          <w:rFonts w:cs="Arial"/>
          <w:sz w:val="20"/>
          <w:szCs w:val="20"/>
          <w:lang w:val="en-US"/>
        </w:rPr>
        <w:t>,</w:t>
      </w:r>
      <w:r w:rsidRPr="00AC57EA">
        <w:rPr>
          <w:rFonts w:cs="Arial"/>
          <w:sz w:val="20"/>
          <w:szCs w:val="20"/>
          <w:lang w:val="en-US"/>
        </w:rPr>
        <w:t xml:space="preserve"> the remedies were exhausted, because the State itself has asserted that they concluded with </w:t>
      </w:r>
      <w:r w:rsidRPr="00AC57EA">
        <w:rPr>
          <w:sz w:val="20"/>
          <w:szCs w:val="20"/>
          <w:lang w:val="en-US"/>
        </w:rPr>
        <w:t>judgment No</w:t>
      </w:r>
      <w:r w:rsidR="00DC7912" w:rsidRPr="00AC57EA">
        <w:rPr>
          <w:sz w:val="20"/>
          <w:szCs w:val="20"/>
          <w:lang w:val="en-US"/>
        </w:rPr>
        <w:t>.</w:t>
      </w:r>
      <w:r w:rsidR="00DD00E7" w:rsidRPr="00AC57EA">
        <w:rPr>
          <w:sz w:val="20"/>
          <w:szCs w:val="20"/>
          <w:lang w:val="en-US"/>
        </w:rPr>
        <w:t xml:space="preserve"> 45</w:t>
      </w:r>
      <w:r w:rsidR="00151468" w:rsidRPr="00AC57EA">
        <w:rPr>
          <w:sz w:val="20"/>
          <w:szCs w:val="20"/>
          <w:lang w:val="en-US"/>
        </w:rPr>
        <w:t xml:space="preserve"> of the </w:t>
      </w:r>
      <w:r w:rsidR="003A32C1" w:rsidRPr="00AC57EA">
        <w:rPr>
          <w:sz w:val="20"/>
          <w:szCs w:val="20"/>
          <w:lang w:val="en-US"/>
        </w:rPr>
        <w:t>Criminal Chamber</w:t>
      </w:r>
      <w:r w:rsidR="00B7258C" w:rsidRPr="00AC57EA">
        <w:rPr>
          <w:sz w:val="20"/>
          <w:szCs w:val="20"/>
          <w:lang w:val="en-US"/>
        </w:rPr>
        <w:t xml:space="preserve"> of the </w:t>
      </w:r>
      <w:r w:rsidR="00EF75D6" w:rsidRPr="00AC57EA">
        <w:rPr>
          <w:sz w:val="20"/>
          <w:szCs w:val="20"/>
          <w:lang w:val="en-US"/>
        </w:rPr>
        <w:t>Northern District Appellate Court</w:t>
      </w:r>
      <w:r w:rsidRPr="00AC57EA">
        <w:rPr>
          <w:sz w:val="20"/>
          <w:szCs w:val="20"/>
          <w:lang w:val="en-US"/>
        </w:rPr>
        <w:t xml:space="preserve"> delivered on</w:t>
      </w:r>
      <w:r w:rsidR="00DD00E7" w:rsidRPr="00AC57EA">
        <w:rPr>
          <w:sz w:val="20"/>
          <w:szCs w:val="20"/>
          <w:lang w:val="en-US"/>
        </w:rPr>
        <w:t xml:space="preserve"> </w:t>
      </w:r>
      <w:r w:rsidR="003A32C1" w:rsidRPr="00AC57EA">
        <w:rPr>
          <w:sz w:val="20"/>
          <w:szCs w:val="20"/>
          <w:lang w:val="en-US"/>
        </w:rPr>
        <w:t>October 24,</w:t>
      </w:r>
      <w:r w:rsidR="00DD00E7" w:rsidRPr="00AC57EA">
        <w:rPr>
          <w:sz w:val="20"/>
          <w:szCs w:val="20"/>
          <w:lang w:val="en-US"/>
        </w:rPr>
        <w:t xml:space="preserve"> 2007</w:t>
      </w:r>
      <w:r w:rsidR="00F42900" w:rsidRPr="00AC57EA">
        <w:rPr>
          <w:sz w:val="20"/>
          <w:szCs w:val="20"/>
          <w:lang w:val="en-US"/>
        </w:rPr>
        <w:t xml:space="preserve">. </w:t>
      </w:r>
      <w:r w:rsidRPr="00AC57EA">
        <w:rPr>
          <w:sz w:val="20"/>
          <w:szCs w:val="20"/>
          <w:lang w:val="en-US"/>
        </w:rPr>
        <w:t>Consequently</w:t>
      </w:r>
      <w:r w:rsidR="00F42900" w:rsidRPr="00AC57EA">
        <w:rPr>
          <w:sz w:val="20"/>
          <w:szCs w:val="20"/>
          <w:lang w:val="en-US"/>
        </w:rPr>
        <w:t>,</w:t>
      </w:r>
      <w:r w:rsidR="00DD00E7" w:rsidRPr="00AC57EA">
        <w:rPr>
          <w:sz w:val="20"/>
          <w:szCs w:val="20"/>
          <w:lang w:val="en-US"/>
        </w:rPr>
        <w:t xml:space="preserve"> </w:t>
      </w:r>
      <w:r w:rsidR="00B7258C" w:rsidRPr="00AC57EA">
        <w:rPr>
          <w:sz w:val="20"/>
          <w:szCs w:val="20"/>
          <w:lang w:val="en-US"/>
        </w:rPr>
        <w:t>the Court</w:t>
      </w:r>
      <w:r w:rsidR="00DD00E7" w:rsidRPr="00AC57EA">
        <w:rPr>
          <w:sz w:val="20"/>
          <w:szCs w:val="20"/>
          <w:lang w:val="en-US"/>
        </w:rPr>
        <w:t xml:space="preserve"> </w:t>
      </w:r>
      <w:r w:rsidRPr="00AC57EA">
        <w:rPr>
          <w:sz w:val="20"/>
          <w:szCs w:val="20"/>
          <w:lang w:val="en-US"/>
        </w:rPr>
        <w:t xml:space="preserve">rejects the </w:t>
      </w:r>
      <w:r w:rsidR="00DF2B30" w:rsidRPr="00AC57EA">
        <w:rPr>
          <w:sz w:val="20"/>
          <w:szCs w:val="20"/>
          <w:lang w:val="en-US"/>
        </w:rPr>
        <w:t>preliminary objection</w:t>
      </w:r>
      <w:r w:rsidR="00175618" w:rsidRPr="00AC57EA">
        <w:rPr>
          <w:sz w:val="20"/>
          <w:szCs w:val="20"/>
          <w:lang w:val="en-US"/>
        </w:rPr>
        <w:t xml:space="preserve"> </w:t>
      </w:r>
      <w:r w:rsidRPr="00AC57EA">
        <w:rPr>
          <w:sz w:val="20"/>
          <w:szCs w:val="20"/>
          <w:lang w:val="en-US"/>
        </w:rPr>
        <w:t>filed by</w:t>
      </w:r>
      <w:r w:rsidR="00175618" w:rsidRPr="00AC57EA">
        <w:rPr>
          <w:sz w:val="20"/>
          <w:szCs w:val="20"/>
          <w:lang w:val="en-US"/>
        </w:rPr>
        <w:t xml:space="preserve"> </w:t>
      </w:r>
      <w:r w:rsidR="00EC52D7" w:rsidRPr="00AC57EA">
        <w:rPr>
          <w:sz w:val="20"/>
          <w:szCs w:val="20"/>
          <w:lang w:val="en-US"/>
        </w:rPr>
        <w:t>the State</w:t>
      </w:r>
      <w:r w:rsidR="00175618" w:rsidRPr="00AC57EA">
        <w:rPr>
          <w:sz w:val="20"/>
          <w:szCs w:val="20"/>
          <w:lang w:val="en-US"/>
        </w:rPr>
        <w:t>.</w:t>
      </w:r>
    </w:p>
    <w:p w14:paraId="34298C40" w14:textId="77777777" w:rsidR="00DD00E7" w:rsidRPr="00AC57EA" w:rsidRDefault="00DD00E7" w:rsidP="00DD00E7">
      <w:pPr>
        <w:widowControl/>
        <w:tabs>
          <w:tab w:val="left" w:pos="567"/>
        </w:tabs>
        <w:autoSpaceDE w:val="0"/>
        <w:autoSpaceDN w:val="0"/>
        <w:adjustRightInd/>
        <w:spacing w:line="240" w:lineRule="auto"/>
        <w:textAlignment w:val="auto"/>
        <w:rPr>
          <w:rFonts w:eastAsia="Batang" w:cs="Arial"/>
          <w:b/>
          <w:iCs/>
          <w:sz w:val="20"/>
          <w:szCs w:val="20"/>
          <w:lang w:val="en-US" w:eastAsia="en-US"/>
        </w:rPr>
      </w:pPr>
    </w:p>
    <w:p w14:paraId="38F6540F" w14:textId="00BED69E" w:rsidR="00A66DBB" w:rsidRPr="00AC57EA" w:rsidRDefault="00327465" w:rsidP="00327465">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Final</w:t>
      </w:r>
      <w:r w:rsidR="00985CDE" w:rsidRPr="00AC57EA">
        <w:rPr>
          <w:sz w:val="20"/>
          <w:szCs w:val="20"/>
          <w:lang w:val="en-US"/>
        </w:rPr>
        <w:t>ly</w:t>
      </w:r>
      <w:r w:rsidRPr="00AC57EA">
        <w:rPr>
          <w:sz w:val="20"/>
          <w:szCs w:val="20"/>
          <w:lang w:val="en-US"/>
        </w:rPr>
        <w:t xml:space="preserve">, </w:t>
      </w:r>
      <w:r w:rsidR="00B7258C" w:rsidRPr="00AC57EA">
        <w:rPr>
          <w:sz w:val="20"/>
          <w:szCs w:val="20"/>
          <w:lang w:val="en-US"/>
        </w:rPr>
        <w:t>the Court</w:t>
      </w:r>
      <w:r w:rsidRPr="00AC57EA">
        <w:rPr>
          <w:sz w:val="20"/>
          <w:szCs w:val="20"/>
          <w:lang w:val="en-US"/>
        </w:rPr>
        <w:t xml:space="preserve"> </w:t>
      </w:r>
      <w:r w:rsidR="00985CDE" w:rsidRPr="00AC57EA">
        <w:rPr>
          <w:sz w:val="20"/>
          <w:szCs w:val="20"/>
          <w:lang w:val="en-US"/>
        </w:rPr>
        <w:t>notes that it will not examine the</w:t>
      </w:r>
      <w:r w:rsidR="00F32EFF" w:rsidRPr="00AC57EA">
        <w:rPr>
          <w:sz w:val="20"/>
          <w:szCs w:val="20"/>
          <w:lang w:val="en-US"/>
        </w:rPr>
        <w:t xml:space="preserve"> </w:t>
      </w:r>
      <w:r w:rsidR="009E569E" w:rsidRPr="00AC57EA">
        <w:rPr>
          <w:sz w:val="20"/>
          <w:szCs w:val="20"/>
          <w:lang w:val="en-US"/>
        </w:rPr>
        <w:t>arguments</w:t>
      </w:r>
      <w:r w:rsidR="00171E27" w:rsidRPr="00AC57EA">
        <w:rPr>
          <w:sz w:val="20"/>
          <w:szCs w:val="20"/>
          <w:lang w:val="en-US"/>
        </w:rPr>
        <w:t xml:space="preserve"> of the representatives</w:t>
      </w:r>
      <w:r w:rsidR="00A66DBB" w:rsidRPr="00AC57EA">
        <w:rPr>
          <w:sz w:val="20"/>
          <w:szCs w:val="20"/>
          <w:lang w:val="en-US"/>
        </w:rPr>
        <w:t xml:space="preserve"> </w:t>
      </w:r>
      <w:r w:rsidR="00985CDE" w:rsidRPr="00AC57EA">
        <w:rPr>
          <w:sz w:val="20"/>
          <w:szCs w:val="20"/>
          <w:lang w:val="en-US"/>
        </w:rPr>
        <w:t xml:space="preserve">that the exception to the exhaustion of domestic remedies was applicable owing to the inexistence of due process of law, because it is not </w:t>
      </w:r>
      <w:r w:rsidR="004D15FF" w:rsidRPr="00AC57EA">
        <w:rPr>
          <w:sz w:val="20"/>
          <w:szCs w:val="20"/>
          <w:lang w:val="en-US"/>
        </w:rPr>
        <w:t>the</w:t>
      </w:r>
      <w:r w:rsidR="00985CDE" w:rsidRPr="00AC57EA">
        <w:rPr>
          <w:sz w:val="20"/>
          <w:szCs w:val="20"/>
          <w:lang w:val="en-US"/>
        </w:rPr>
        <w:t xml:space="preserve"> Court</w:t>
      </w:r>
      <w:r w:rsidR="004D15FF" w:rsidRPr="00AC57EA">
        <w:rPr>
          <w:sz w:val="20"/>
          <w:szCs w:val="20"/>
          <w:lang w:val="en-US"/>
        </w:rPr>
        <w:t xml:space="preserve">’s task </w:t>
      </w:r>
      <w:r w:rsidR="00985CDE" w:rsidRPr="00AC57EA">
        <w:rPr>
          <w:sz w:val="20"/>
          <w:szCs w:val="20"/>
          <w:lang w:val="en-US"/>
        </w:rPr>
        <w:t xml:space="preserve">to </w:t>
      </w:r>
      <w:r w:rsidR="004D15FF" w:rsidRPr="00AC57EA">
        <w:rPr>
          <w:sz w:val="20"/>
          <w:szCs w:val="20"/>
          <w:lang w:val="en-US"/>
        </w:rPr>
        <w:t>re-examine</w:t>
      </w:r>
      <w:r w:rsidR="00985CDE" w:rsidRPr="00AC57EA">
        <w:rPr>
          <w:sz w:val="20"/>
          <w:szCs w:val="20"/>
          <w:lang w:val="en-US"/>
        </w:rPr>
        <w:t xml:space="preserve"> admissibility.</w:t>
      </w:r>
    </w:p>
    <w:p w14:paraId="2C5ED32A" w14:textId="77777777" w:rsidR="00D06861" w:rsidRPr="00AC57EA" w:rsidRDefault="00D06861" w:rsidP="00DD00E7">
      <w:pPr>
        <w:widowControl/>
        <w:tabs>
          <w:tab w:val="left" w:pos="567"/>
        </w:tabs>
        <w:autoSpaceDE w:val="0"/>
        <w:autoSpaceDN w:val="0"/>
        <w:adjustRightInd/>
        <w:spacing w:line="240" w:lineRule="auto"/>
        <w:textAlignment w:val="auto"/>
        <w:rPr>
          <w:rFonts w:eastAsia="Batang" w:cs="Arial"/>
          <w:b/>
          <w:iCs/>
          <w:sz w:val="20"/>
          <w:szCs w:val="20"/>
          <w:lang w:val="en-US" w:eastAsia="en-US"/>
        </w:rPr>
      </w:pPr>
    </w:p>
    <w:p w14:paraId="4CD7B458" w14:textId="26E82F3C" w:rsidR="0026739F" w:rsidRPr="00AC57EA" w:rsidRDefault="0026739F" w:rsidP="0026739F">
      <w:pPr>
        <w:keepNext/>
        <w:keepLines/>
        <w:tabs>
          <w:tab w:val="left" w:pos="1134"/>
        </w:tabs>
        <w:spacing w:line="240" w:lineRule="auto"/>
        <w:ind w:left="567" w:firstLine="1"/>
        <w:outlineLvl w:val="1"/>
        <w:rPr>
          <w:rFonts w:eastAsia="MS Mincho"/>
          <w:b/>
          <w:bCs/>
          <w:i/>
          <w:sz w:val="20"/>
          <w:szCs w:val="20"/>
          <w:lang w:val="en-US"/>
        </w:rPr>
      </w:pPr>
      <w:bookmarkStart w:id="52" w:name="_Toc514172596"/>
      <w:r w:rsidRPr="00AC57EA">
        <w:rPr>
          <w:rFonts w:eastAsia="MS Mincho"/>
          <w:b/>
          <w:bCs/>
          <w:i/>
          <w:sz w:val="20"/>
          <w:szCs w:val="20"/>
          <w:lang w:val="en-US"/>
        </w:rPr>
        <w:t>B.</w:t>
      </w:r>
      <w:r w:rsidRPr="00AC57EA">
        <w:rPr>
          <w:rFonts w:eastAsia="MS Mincho"/>
          <w:b/>
          <w:bCs/>
          <w:i/>
          <w:sz w:val="20"/>
          <w:szCs w:val="20"/>
          <w:lang w:val="en-US"/>
        </w:rPr>
        <w:tab/>
      </w:r>
      <w:r w:rsidR="00985CDE" w:rsidRPr="00AC57EA">
        <w:rPr>
          <w:rFonts w:eastAsia="MS Mincho"/>
          <w:b/>
          <w:bCs/>
          <w:i/>
          <w:sz w:val="20"/>
          <w:szCs w:val="20"/>
          <w:lang w:val="en-US"/>
        </w:rPr>
        <w:t>Objection concerning the lack of jurisdiction</w:t>
      </w:r>
      <w:r w:rsidRPr="00AC57EA">
        <w:rPr>
          <w:rFonts w:eastAsia="MS Mincho"/>
          <w:b/>
          <w:bCs/>
          <w:i/>
          <w:sz w:val="20"/>
          <w:szCs w:val="20"/>
          <w:lang w:val="en-US"/>
        </w:rPr>
        <w:t xml:space="preserve"> </w:t>
      </w:r>
      <w:r w:rsidRPr="00AC57EA">
        <w:rPr>
          <w:rFonts w:eastAsia="MS Mincho"/>
          <w:b/>
          <w:bCs/>
          <w:iCs/>
          <w:sz w:val="20"/>
          <w:szCs w:val="20"/>
          <w:lang w:val="en-US"/>
        </w:rPr>
        <w:t xml:space="preserve">ratione </w:t>
      </w:r>
      <w:r w:rsidR="00985CDE" w:rsidRPr="00AC57EA">
        <w:rPr>
          <w:rFonts w:eastAsia="MS Mincho"/>
          <w:b/>
          <w:bCs/>
          <w:iCs/>
          <w:sz w:val="20"/>
          <w:szCs w:val="20"/>
          <w:lang w:val="en-US"/>
        </w:rPr>
        <w:t>temporis</w:t>
      </w:r>
      <w:r w:rsidR="00985CDE" w:rsidRPr="00AC57EA">
        <w:rPr>
          <w:rFonts w:eastAsia="MS Mincho"/>
          <w:b/>
          <w:bCs/>
          <w:i/>
          <w:sz w:val="20"/>
          <w:szCs w:val="20"/>
          <w:lang w:val="en-US"/>
        </w:rPr>
        <w:t xml:space="preserve"> of the Inter-American Commission and the</w:t>
      </w:r>
      <w:r w:rsidR="00B7258C" w:rsidRPr="00AC57EA">
        <w:rPr>
          <w:rFonts w:eastAsia="MS Mincho"/>
          <w:b/>
          <w:bCs/>
          <w:i/>
          <w:sz w:val="20"/>
          <w:szCs w:val="20"/>
          <w:lang w:val="en-US"/>
        </w:rPr>
        <w:t xml:space="preserve"> Court</w:t>
      </w:r>
      <w:bookmarkEnd w:id="52"/>
    </w:p>
    <w:p w14:paraId="0A2E75C1" w14:textId="77777777" w:rsidR="0026739F" w:rsidRPr="00AC57EA" w:rsidRDefault="0026739F" w:rsidP="0026739F">
      <w:pPr>
        <w:tabs>
          <w:tab w:val="left" w:pos="720"/>
        </w:tabs>
        <w:spacing w:line="240" w:lineRule="auto"/>
        <w:rPr>
          <w:bCs/>
          <w:sz w:val="20"/>
          <w:szCs w:val="20"/>
          <w:lang w:val="en-US"/>
        </w:rPr>
      </w:pPr>
    </w:p>
    <w:p w14:paraId="3368222A" w14:textId="3FDC6C61" w:rsidR="0026739F" w:rsidRPr="00AC57EA" w:rsidRDefault="0026739F" w:rsidP="0026739F">
      <w:pPr>
        <w:pStyle w:val="Ttulo2"/>
        <w:tabs>
          <w:tab w:val="left" w:pos="1843"/>
        </w:tabs>
        <w:spacing w:before="0" w:line="240" w:lineRule="auto"/>
        <w:ind w:left="1134"/>
        <w:rPr>
          <w:rFonts w:ascii="Verdana" w:hAnsi="Verdana"/>
          <w:b w:val="0"/>
          <w:i/>
          <w:color w:val="auto"/>
          <w:sz w:val="20"/>
          <w:szCs w:val="20"/>
          <w:lang w:val="en-US"/>
        </w:rPr>
      </w:pPr>
      <w:bookmarkStart w:id="53" w:name="_Toc514172597"/>
      <w:r w:rsidRPr="00AC57EA">
        <w:rPr>
          <w:rFonts w:ascii="Verdana" w:hAnsi="Verdana"/>
          <w:b w:val="0"/>
          <w:i/>
          <w:color w:val="auto"/>
          <w:sz w:val="20"/>
          <w:szCs w:val="20"/>
          <w:lang w:val="en-US"/>
        </w:rPr>
        <w:t xml:space="preserve">B.1 </w:t>
      </w:r>
      <w:r w:rsidRPr="00AC57EA">
        <w:rPr>
          <w:rFonts w:ascii="Verdana" w:hAnsi="Verdana"/>
          <w:b w:val="0"/>
          <w:i/>
          <w:color w:val="auto"/>
          <w:sz w:val="20"/>
          <w:szCs w:val="20"/>
          <w:lang w:val="en-US"/>
        </w:rPr>
        <w:tab/>
      </w:r>
      <w:r w:rsidR="009E569E" w:rsidRPr="00AC57EA">
        <w:rPr>
          <w:rFonts w:ascii="Verdana" w:hAnsi="Verdana"/>
          <w:b w:val="0"/>
          <w:i/>
          <w:color w:val="auto"/>
          <w:sz w:val="20"/>
          <w:szCs w:val="20"/>
          <w:lang w:val="en-US"/>
        </w:rPr>
        <w:t>Arguments</w:t>
      </w:r>
      <w:r w:rsidR="00EC52D7" w:rsidRPr="00AC57EA">
        <w:rPr>
          <w:rFonts w:ascii="Verdana" w:hAnsi="Verdana"/>
          <w:b w:val="0"/>
          <w:i/>
          <w:color w:val="auto"/>
          <w:sz w:val="20"/>
          <w:szCs w:val="20"/>
          <w:lang w:val="en-US"/>
        </w:rPr>
        <w:t xml:space="preserve"> of the State</w:t>
      </w:r>
      <w:r w:rsidR="00171E27" w:rsidRPr="00AC57EA">
        <w:rPr>
          <w:rFonts w:ascii="Verdana" w:hAnsi="Verdana"/>
          <w:b w:val="0"/>
          <w:i/>
          <w:color w:val="auto"/>
          <w:sz w:val="20"/>
          <w:szCs w:val="20"/>
          <w:lang w:val="en-US"/>
        </w:rPr>
        <w:t xml:space="preserve"> and </w:t>
      </w:r>
      <w:r w:rsidR="009E569E" w:rsidRPr="00AC57EA">
        <w:rPr>
          <w:rFonts w:ascii="Verdana" w:hAnsi="Verdana"/>
          <w:b w:val="0"/>
          <w:i/>
          <w:color w:val="auto"/>
          <w:sz w:val="20"/>
          <w:szCs w:val="20"/>
          <w:lang w:val="en-US"/>
        </w:rPr>
        <w:t>observations</w:t>
      </w:r>
      <w:r w:rsidR="00B7258C" w:rsidRPr="00AC57EA">
        <w:rPr>
          <w:rFonts w:ascii="Verdana" w:hAnsi="Verdana"/>
          <w:b w:val="0"/>
          <w:i/>
          <w:color w:val="auto"/>
          <w:sz w:val="20"/>
          <w:szCs w:val="20"/>
          <w:lang w:val="en-US"/>
        </w:rPr>
        <w:t xml:space="preserve"> of the Commission</w:t>
      </w:r>
      <w:r w:rsidR="00171E27" w:rsidRPr="00AC57EA">
        <w:rPr>
          <w:rFonts w:ascii="Verdana" w:hAnsi="Verdana"/>
          <w:b w:val="0"/>
          <w:i/>
          <w:color w:val="auto"/>
          <w:sz w:val="20"/>
          <w:szCs w:val="20"/>
          <w:lang w:val="en-US"/>
        </w:rPr>
        <w:t xml:space="preserve"> and the representatives</w:t>
      </w:r>
      <w:bookmarkEnd w:id="53"/>
    </w:p>
    <w:p w14:paraId="3CF36FD0" w14:textId="77777777" w:rsidR="0026739F" w:rsidRPr="00AC57EA" w:rsidRDefault="0026739F" w:rsidP="0026739F">
      <w:pPr>
        <w:tabs>
          <w:tab w:val="left" w:pos="720"/>
        </w:tabs>
        <w:spacing w:line="240" w:lineRule="auto"/>
        <w:rPr>
          <w:bCs/>
          <w:sz w:val="20"/>
          <w:szCs w:val="20"/>
          <w:lang w:val="en-US"/>
        </w:rPr>
      </w:pPr>
    </w:p>
    <w:p w14:paraId="48863CE7" w14:textId="65660984" w:rsidR="00985CDE" w:rsidRPr="00AC57EA" w:rsidRDefault="00EC52D7" w:rsidP="00C8070B">
      <w:pPr>
        <w:numPr>
          <w:ilvl w:val="0"/>
          <w:numId w:val="2"/>
        </w:numPr>
        <w:tabs>
          <w:tab w:val="left" w:pos="567"/>
          <w:tab w:val="num" w:pos="12305"/>
        </w:tabs>
        <w:spacing w:line="240" w:lineRule="auto"/>
        <w:ind w:left="0" w:firstLine="0"/>
        <w:rPr>
          <w:rFonts w:eastAsia="Calibri" w:cs="Arial"/>
          <w:sz w:val="20"/>
          <w:szCs w:val="20"/>
          <w:lang w:val="en-US" w:eastAsia="en-US"/>
        </w:rPr>
      </w:pPr>
      <w:r w:rsidRPr="00AC57EA">
        <w:rPr>
          <w:rFonts w:cs="Verdana,Italic"/>
          <w:iCs/>
          <w:sz w:val="20"/>
          <w:lang w:val="en-US" w:eastAsia="en-US"/>
        </w:rPr>
        <w:t xml:space="preserve">The </w:t>
      </w:r>
      <w:r w:rsidRPr="00AC57EA">
        <w:rPr>
          <w:rFonts w:cs="Verdana,Italic"/>
          <w:b/>
          <w:bCs/>
          <w:i/>
          <w:sz w:val="20"/>
          <w:lang w:val="en-US" w:eastAsia="en-US"/>
        </w:rPr>
        <w:t>State</w:t>
      </w:r>
      <w:r w:rsidR="0026739F" w:rsidRPr="00AC57EA">
        <w:rPr>
          <w:rFonts w:eastAsia="Calibri" w:cs="Arial"/>
          <w:sz w:val="20"/>
          <w:szCs w:val="20"/>
          <w:lang w:val="en-US" w:eastAsia="en-US"/>
        </w:rPr>
        <w:t xml:space="preserve"> </w:t>
      </w:r>
      <w:r w:rsidR="00985CDE" w:rsidRPr="00AC57EA">
        <w:rPr>
          <w:rFonts w:eastAsia="Calibri" w:cs="Arial"/>
          <w:sz w:val="20"/>
          <w:szCs w:val="20"/>
          <w:lang w:val="en-US" w:eastAsia="en-US"/>
        </w:rPr>
        <w:t xml:space="preserve">alleged that the Commission did not have </w:t>
      </w:r>
      <w:r w:rsidR="00814EC6" w:rsidRPr="00AC57EA">
        <w:rPr>
          <w:rFonts w:eastAsia="Calibri" w:cs="Arial"/>
          <w:sz w:val="20"/>
          <w:szCs w:val="20"/>
          <w:lang w:val="en-US" w:eastAsia="en-US"/>
        </w:rPr>
        <w:t>competence</w:t>
      </w:r>
      <w:r w:rsidR="00985CDE" w:rsidRPr="00AC57EA">
        <w:rPr>
          <w:rFonts w:eastAsia="Calibri" w:cs="Arial"/>
          <w:sz w:val="20"/>
          <w:szCs w:val="20"/>
          <w:lang w:val="en-US" w:eastAsia="en-US"/>
        </w:rPr>
        <w:t xml:space="preserve"> based on </w:t>
      </w:r>
      <w:r w:rsidR="00B7258C" w:rsidRPr="00AC57EA">
        <w:rPr>
          <w:rFonts w:eastAsia="Calibri" w:cs="Arial"/>
          <w:sz w:val="20"/>
          <w:szCs w:val="20"/>
          <w:lang w:val="en-US" w:eastAsia="en-US"/>
        </w:rPr>
        <w:t>Article</w:t>
      </w:r>
      <w:r w:rsidR="0026739F" w:rsidRPr="00AC57EA">
        <w:rPr>
          <w:rFonts w:eastAsia="Calibri" w:cs="Arial"/>
          <w:sz w:val="20"/>
          <w:szCs w:val="20"/>
          <w:lang w:val="en-US" w:eastAsia="en-US"/>
        </w:rPr>
        <w:t xml:space="preserve"> 45</w:t>
      </w:r>
      <w:r w:rsidR="00B7258C" w:rsidRPr="00AC57EA">
        <w:rPr>
          <w:rFonts w:eastAsia="Calibri" w:cs="Arial"/>
          <w:sz w:val="20"/>
          <w:szCs w:val="20"/>
          <w:lang w:val="en-US" w:eastAsia="en-US"/>
        </w:rPr>
        <w:t xml:space="preserve"> of the Convention</w:t>
      </w:r>
      <w:r w:rsidR="0026739F" w:rsidRPr="00AC57EA">
        <w:rPr>
          <w:rFonts w:eastAsia="Calibri" w:cs="Arial"/>
          <w:sz w:val="20"/>
          <w:szCs w:val="20"/>
          <w:lang w:val="en-US" w:eastAsia="en-US"/>
        </w:rPr>
        <w:t xml:space="preserve">, </w:t>
      </w:r>
      <w:r w:rsidR="00985CDE" w:rsidRPr="00AC57EA">
        <w:rPr>
          <w:rFonts w:eastAsia="Calibri" w:cs="Arial"/>
          <w:sz w:val="20"/>
          <w:szCs w:val="20"/>
          <w:lang w:val="en-US" w:eastAsia="en-US"/>
        </w:rPr>
        <w:t xml:space="preserve">because the facts of the case had taken place prior to its acknowledgement of the </w:t>
      </w:r>
      <w:r w:rsidR="00B7258C" w:rsidRPr="00AC57EA">
        <w:rPr>
          <w:rFonts w:eastAsia="Calibri" w:cs="Arial"/>
          <w:sz w:val="20"/>
          <w:szCs w:val="20"/>
          <w:lang w:val="en-US" w:eastAsia="en-US"/>
        </w:rPr>
        <w:t>Commission</w:t>
      </w:r>
      <w:r w:rsidR="00814EC6" w:rsidRPr="00AC57EA">
        <w:rPr>
          <w:rFonts w:eastAsia="Calibri" w:cs="Arial"/>
          <w:sz w:val="20"/>
          <w:szCs w:val="20"/>
          <w:lang w:val="en-US" w:eastAsia="en-US"/>
        </w:rPr>
        <w:t>’s competence</w:t>
      </w:r>
      <w:r w:rsidR="0026739F" w:rsidRPr="00AC57EA">
        <w:rPr>
          <w:rFonts w:eastAsia="Calibri" w:cs="Arial"/>
          <w:sz w:val="20"/>
          <w:szCs w:val="20"/>
          <w:lang w:val="en-US" w:eastAsia="en-US"/>
        </w:rPr>
        <w:t xml:space="preserve">. </w:t>
      </w:r>
      <w:r w:rsidRPr="00AC57EA">
        <w:rPr>
          <w:rFonts w:eastAsia="Calibri" w:cs="Arial"/>
          <w:sz w:val="20"/>
          <w:szCs w:val="20"/>
          <w:lang w:val="en-US" w:eastAsia="en-US"/>
        </w:rPr>
        <w:t>The State</w:t>
      </w:r>
      <w:r w:rsidR="0026739F" w:rsidRPr="00AC57EA">
        <w:rPr>
          <w:rFonts w:eastAsia="Calibri" w:cs="Arial"/>
          <w:sz w:val="20"/>
          <w:szCs w:val="20"/>
          <w:lang w:val="en-US" w:eastAsia="en-US"/>
        </w:rPr>
        <w:t xml:space="preserve"> </w:t>
      </w:r>
      <w:r w:rsidR="00985CDE" w:rsidRPr="00AC57EA">
        <w:rPr>
          <w:rFonts w:eastAsia="Calibri" w:cs="Arial"/>
          <w:sz w:val="20"/>
          <w:szCs w:val="20"/>
          <w:lang w:val="en-US" w:eastAsia="en-US"/>
        </w:rPr>
        <w:t xml:space="preserve">argued that, on February 6, 2006, it had added a third paragraph to declaration No, 49 of January 15, 1991, in which it declared that it acknowledged the </w:t>
      </w:r>
      <w:r w:rsidR="00814EC6" w:rsidRPr="00AC57EA">
        <w:rPr>
          <w:rFonts w:eastAsia="Calibri" w:cs="Arial"/>
          <w:sz w:val="20"/>
          <w:szCs w:val="20"/>
          <w:lang w:val="en-US" w:eastAsia="en-US"/>
        </w:rPr>
        <w:t>competence</w:t>
      </w:r>
      <w:r w:rsidR="00985CDE" w:rsidRPr="00AC57EA">
        <w:rPr>
          <w:rFonts w:eastAsia="Calibri" w:cs="Arial"/>
          <w:sz w:val="20"/>
          <w:szCs w:val="20"/>
          <w:lang w:val="en-US" w:eastAsia="en-US"/>
        </w:rPr>
        <w:t xml:space="preserve"> of the Commission only for subsequent facts or facts that began to be executed after the date on which it deposited it</w:t>
      </w:r>
      <w:r w:rsidR="00814EC6" w:rsidRPr="00AC57EA">
        <w:rPr>
          <w:rFonts w:eastAsia="Calibri" w:cs="Arial"/>
          <w:sz w:val="20"/>
          <w:szCs w:val="20"/>
          <w:lang w:val="en-US" w:eastAsia="en-US"/>
        </w:rPr>
        <w:t>s</w:t>
      </w:r>
      <w:r w:rsidR="00985CDE" w:rsidRPr="00AC57EA">
        <w:rPr>
          <w:rFonts w:eastAsia="Calibri" w:cs="Arial"/>
          <w:sz w:val="20"/>
          <w:szCs w:val="20"/>
          <w:lang w:val="en-US" w:eastAsia="en-US"/>
        </w:rPr>
        <w:t xml:space="preserve"> declaration. It affirmed that the Commission had violated “peremptory norms of </w:t>
      </w:r>
      <w:r w:rsidR="00814EC6" w:rsidRPr="00AC57EA">
        <w:rPr>
          <w:rFonts w:eastAsia="Calibri" w:cs="Arial"/>
          <w:sz w:val="20"/>
          <w:szCs w:val="20"/>
          <w:lang w:val="en-US" w:eastAsia="en-US"/>
        </w:rPr>
        <w:t>jurisdiction</w:t>
      </w:r>
      <w:r w:rsidR="00985CDE" w:rsidRPr="00AC57EA">
        <w:rPr>
          <w:rFonts w:eastAsia="Calibri" w:cs="Arial"/>
          <w:sz w:val="20"/>
          <w:szCs w:val="20"/>
          <w:lang w:val="en-US" w:eastAsia="en-US"/>
        </w:rPr>
        <w:t xml:space="preserve"> […], contravening the Convention […], resulting in absolute nullity </w:t>
      </w:r>
      <w:r w:rsidR="0098375C" w:rsidRPr="00AC57EA">
        <w:rPr>
          <w:rFonts w:eastAsia="Calibri" w:cs="Arial"/>
          <w:sz w:val="20"/>
          <w:szCs w:val="20"/>
          <w:lang w:val="en-US" w:eastAsia="en-US"/>
        </w:rPr>
        <w:t>that</w:t>
      </w:r>
      <w:r w:rsidR="00985CDE" w:rsidRPr="00AC57EA">
        <w:rPr>
          <w:rFonts w:eastAsia="Calibri" w:cs="Arial"/>
          <w:sz w:val="20"/>
          <w:szCs w:val="20"/>
          <w:lang w:val="en-US" w:eastAsia="en-US"/>
        </w:rPr>
        <w:t xml:space="preserve"> determined the Commission’s lack of </w:t>
      </w:r>
      <w:r w:rsidR="00814EC6" w:rsidRPr="00AC57EA">
        <w:rPr>
          <w:rFonts w:eastAsia="Calibri" w:cs="Arial"/>
          <w:sz w:val="20"/>
          <w:szCs w:val="20"/>
          <w:lang w:val="en-US" w:eastAsia="en-US"/>
        </w:rPr>
        <w:t>competence</w:t>
      </w:r>
      <w:r w:rsidR="00985CDE" w:rsidRPr="00AC57EA">
        <w:rPr>
          <w:rFonts w:eastAsia="Calibri" w:cs="Arial"/>
          <w:sz w:val="20"/>
          <w:szCs w:val="20"/>
          <w:lang w:val="en-US" w:eastAsia="en-US"/>
        </w:rPr>
        <w:t xml:space="preserve"> to examine these facts, and this d</w:t>
      </w:r>
      <w:r w:rsidR="004D15FF" w:rsidRPr="00AC57EA">
        <w:rPr>
          <w:rFonts w:eastAsia="Calibri" w:cs="Arial"/>
          <w:sz w:val="20"/>
          <w:szCs w:val="20"/>
          <w:lang w:val="en-US" w:eastAsia="en-US"/>
        </w:rPr>
        <w:t>id</w:t>
      </w:r>
      <w:r w:rsidR="00985CDE" w:rsidRPr="00AC57EA">
        <w:rPr>
          <w:rFonts w:eastAsia="Calibri" w:cs="Arial"/>
          <w:sz w:val="20"/>
          <w:szCs w:val="20"/>
          <w:lang w:val="en-US" w:eastAsia="en-US"/>
        </w:rPr>
        <w:t xml:space="preserve"> not </w:t>
      </w:r>
      <w:r w:rsidR="004D15FF" w:rsidRPr="00AC57EA">
        <w:rPr>
          <w:rFonts w:eastAsia="Calibri" w:cs="Arial"/>
          <w:sz w:val="20"/>
          <w:szCs w:val="20"/>
          <w:lang w:val="en-US" w:eastAsia="en-US"/>
        </w:rPr>
        <w:t>admit</w:t>
      </w:r>
      <w:r w:rsidR="0098375C" w:rsidRPr="00AC57EA">
        <w:rPr>
          <w:rFonts w:eastAsia="Calibri" w:cs="Arial"/>
          <w:sz w:val="20"/>
          <w:szCs w:val="20"/>
          <w:lang w:val="en-US" w:eastAsia="en-US"/>
        </w:rPr>
        <w:t xml:space="preserve"> validation of any kind and result</w:t>
      </w:r>
      <w:r w:rsidR="004D15FF" w:rsidRPr="00AC57EA">
        <w:rPr>
          <w:rFonts w:eastAsia="Calibri" w:cs="Arial"/>
          <w:sz w:val="20"/>
          <w:szCs w:val="20"/>
          <w:lang w:val="en-US" w:eastAsia="en-US"/>
        </w:rPr>
        <w:t>ed</w:t>
      </w:r>
      <w:r w:rsidR="0098375C" w:rsidRPr="00AC57EA">
        <w:rPr>
          <w:rFonts w:eastAsia="Calibri" w:cs="Arial"/>
          <w:sz w:val="20"/>
          <w:szCs w:val="20"/>
          <w:lang w:val="en-US" w:eastAsia="en-US"/>
        </w:rPr>
        <w:t xml:space="preserve"> in the inadmissibility of the petition.” Consequently, it understood that “the Court […] should not admit the case submitted by the Commission in order to </w:t>
      </w:r>
      <w:r w:rsidR="0098375C" w:rsidRPr="00AC57EA">
        <w:rPr>
          <w:rFonts w:eastAsia="Calibri" w:cs="Arial"/>
          <w:sz w:val="20"/>
          <w:szCs w:val="20"/>
          <w:lang w:val="en-US" w:eastAsia="en-US"/>
        </w:rPr>
        <w:lastRenderedPageBreak/>
        <w:t>ensure the security and reliability of the international protection […], because, in the instant case, there had been evident violations of the procedural rules established in the Convention.” On that basis, the State asked the Court to declare that “the objection filed was substantiated, that the litigation in question was inadmissible, and to order the closure of this case.”</w:t>
      </w:r>
    </w:p>
    <w:p w14:paraId="66636ACE" w14:textId="77777777" w:rsidR="0026739F" w:rsidRPr="00AC57EA" w:rsidRDefault="0026739F" w:rsidP="0026739F">
      <w:pPr>
        <w:tabs>
          <w:tab w:val="left" w:pos="567"/>
        </w:tabs>
        <w:spacing w:line="240" w:lineRule="auto"/>
        <w:rPr>
          <w:rFonts w:eastAsia="Calibri" w:cs="Arial"/>
          <w:b/>
          <w:sz w:val="20"/>
          <w:szCs w:val="20"/>
          <w:lang w:val="en-US" w:eastAsia="en-US"/>
        </w:rPr>
      </w:pPr>
    </w:p>
    <w:p w14:paraId="0F0555BA" w14:textId="699BA999" w:rsidR="0026739F" w:rsidRPr="00AC57EA" w:rsidRDefault="00B7258C" w:rsidP="0098375C">
      <w:pPr>
        <w:numPr>
          <w:ilvl w:val="0"/>
          <w:numId w:val="2"/>
        </w:numPr>
        <w:tabs>
          <w:tab w:val="left" w:pos="567"/>
          <w:tab w:val="num" w:pos="12305"/>
        </w:tabs>
        <w:spacing w:line="240" w:lineRule="auto"/>
        <w:ind w:left="0" w:firstLine="0"/>
        <w:rPr>
          <w:rFonts w:eastAsia="Calibri" w:cs="Arial"/>
          <w:b/>
          <w:sz w:val="16"/>
          <w:szCs w:val="16"/>
          <w:lang w:val="en-US" w:eastAsia="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Commission</w:t>
      </w:r>
      <w:r w:rsidR="0026739F" w:rsidRPr="00AC57EA">
        <w:rPr>
          <w:rFonts w:eastAsia="Calibri" w:cs="Arial"/>
          <w:sz w:val="20"/>
          <w:szCs w:val="20"/>
          <w:lang w:val="en-US" w:eastAsia="en-US"/>
        </w:rPr>
        <w:t xml:space="preserve"> </w:t>
      </w:r>
      <w:r w:rsidR="0098375C" w:rsidRPr="00AC57EA">
        <w:rPr>
          <w:rFonts w:eastAsia="Calibri" w:cs="Arial"/>
          <w:sz w:val="20"/>
          <w:szCs w:val="20"/>
          <w:lang w:val="en-US" w:eastAsia="en-US"/>
        </w:rPr>
        <w:t xml:space="preserve">indicated that the State’s defense was based on </w:t>
      </w:r>
      <w:r w:rsidR="00814EC6" w:rsidRPr="00AC57EA">
        <w:rPr>
          <w:rFonts w:eastAsia="Calibri" w:cs="Arial"/>
          <w:sz w:val="20"/>
          <w:szCs w:val="20"/>
          <w:lang w:val="en-US" w:eastAsia="en-US"/>
        </w:rPr>
        <w:t>an</w:t>
      </w:r>
      <w:r w:rsidR="0098375C" w:rsidRPr="00AC57EA">
        <w:rPr>
          <w:rFonts w:eastAsia="Calibri" w:cs="Arial"/>
          <w:sz w:val="20"/>
          <w:szCs w:val="20"/>
          <w:lang w:val="en-US" w:eastAsia="en-US"/>
        </w:rPr>
        <w:t xml:space="preserve"> attempt to apply a reservation made by Nicaragua in 2006 in relation to Article 45 of the American Convention which regulates</w:t>
      </w:r>
      <w:r w:rsidR="00814EC6" w:rsidRPr="00AC57EA">
        <w:rPr>
          <w:rFonts w:eastAsia="Calibri" w:cs="Arial"/>
          <w:sz w:val="20"/>
          <w:szCs w:val="20"/>
          <w:lang w:val="en-US" w:eastAsia="en-US"/>
        </w:rPr>
        <w:t xml:space="preserve"> communications between States or inter-State petitions,</w:t>
      </w:r>
      <w:r w:rsidR="00CD07E4" w:rsidRPr="00AC57EA">
        <w:rPr>
          <w:rFonts w:eastAsia="Calibri" w:cs="Arial"/>
          <w:sz w:val="20"/>
          <w:szCs w:val="20"/>
          <w:lang w:val="en-US" w:eastAsia="en-US"/>
        </w:rPr>
        <w:t xml:space="preserve"> and “that </w:t>
      </w:r>
      <w:r w:rsidR="00814EC6" w:rsidRPr="00AC57EA">
        <w:rPr>
          <w:rFonts w:eastAsia="Calibri" w:cs="Arial"/>
          <w:sz w:val="20"/>
          <w:szCs w:val="20"/>
          <w:lang w:val="en-US" w:eastAsia="en-US"/>
        </w:rPr>
        <w:t>bears no relationship to the instant case.” Therefore, it asked the Court to reject this</w:t>
      </w:r>
      <w:r w:rsidR="00814EC6" w:rsidRPr="00AC57EA">
        <w:rPr>
          <w:rFonts w:eastAsia="Calibri" w:cs="Arial"/>
          <w:b/>
          <w:sz w:val="16"/>
          <w:szCs w:val="16"/>
          <w:lang w:val="en-US" w:eastAsia="en-US"/>
        </w:rPr>
        <w:t xml:space="preserve"> </w:t>
      </w:r>
      <w:r w:rsidR="00DF2B30" w:rsidRPr="00AC57EA">
        <w:rPr>
          <w:rFonts w:eastAsia="Calibri" w:cs="Arial"/>
          <w:sz w:val="20"/>
          <w:szCs w:val="20"/>
          <w:lang w:val="en-US" w:eastAsia="en-US"/>
        </w:rPr>
        <w:t>preliminary objection</w:t>
      </w:r>
      <w:r w:rsidR="0026739F" w:rsidRPr="00AC57EA">
        <w:rPr>
          <w:rFonts w:eastAsia="Calibri" w:cs="Arial"/>
          <w:sz w:val="20"/>
          <w:szCs w:val="20"/>
          <w:lang w:val="en-US" w:eastAsia="en-US"/>
        </w:rPr>
        <w:t>.</w:t>
      </w:r>
    </w:p>
    <w:p w14:paraId="5AB681D5" w14:textId="77777777" w:rsidR="0026739F" w:rsidRPr="00AC57EA" w:rsidRDefault="0026739F" w:rsidP="0026739F">
      <w:pPr>
        <w:tabs>
          <w:tab w:val="left" w:pos="567"/>
        </w:tabs>
        <w:spacing w:line="240" w:lineRule="auto"/>
        <w:rPr>
          <w:rFonts w:eastAsia="Calibri" w:cs="Arial"/>
          <w:sz w:val="20"/>
          <w:szCs w:val="20"/>
          <w:lang w:val="en-US" w:eastAsia="en-US"/>
        </w:rPr>
      </w:pPr>
    </w:p>
    <w:p w14:paraId="269FAA3D" w14:textId="2A4DA5F5" w:rsidR="0026739F" w:rsidRPr="00AC57EA" w:rsidRDefault="00171E27" w:rsidP="00814EC6">
      <w:pPr>
        <w:numPr>
          <w:ilvl w:val="0"/>
          <w:numId w:val="2"/>
        </w:numPr>
        <w:tabs>
          <w:tab w:val="left" w:pos="567"/>
          <w:tab w:val="num" w:pos="12305"/>
        </w:tabs>
        <w:spacing w:line="240" w:lineRule="auto"/>
        <w:ind w:left="0" w:firstLine="0"/>
        <w:rPr>
          <w:rFonts w:eastAsia="Calibri" w:cs="Arial"/>
          <w:sz w:val="20"/>
          <w:szCs w:val="20"/>
          <w:lang w:val="en-US" w:eastAsia="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representatives</w:t>
      </w:r>
      <w:r w:rsidR="0026739F" w:rsidRPr="00AC57EA">
        <w:rPr>
          <w:rFonts w:eastAsia="Calibri" w:cs="Arial"/>
          <w:sz w:val="20"/>
          <w:szCs w:val="20"/>
          <w:lang w:val="en-US" w:eastAsia="en-US"/>
        </w:rPr>
        <w:t xml:space="preserve"> </w:t>
      </w:r>
      <w:r w:rsidR="00814EC6" w:rsidRPr="00AC57EA">
        <w:rPr>
          <w:rFonts w:eastAsia="Calibri" w:cs="Arial"/>
          <w:sz w:val="20"/>
          <w:szCs w:val="20"/>
          <w:lang w:val="en-US" w:eastAsia="en-US"/>
        </w:rPr>
        <w:t xml:space="preserve">argued that the Court had jurisdiction to hear this case because Nicaragua had been a State Party to the </w:t>
      </w:r>
      <w:r w:rsidR="00B7258C" w:rsidRPr="00AC57EA">
        <w:rPr>
          <w:rFonts w:eastAsia="Calibri" w:cs="Arial"/>
          <w:sz w:val="20"/>
          <w:szCs w:val="20"/>
          <w:lang w:val="en-US" w:eastAsia="en-US"/>
        </w:rPr>
        <w:t>Convention</w:t>
      </w:r>
      <w:r w:rsidR="0026739F" w:rsidRPr="00AC57EA">
        <w:rPr>
          <w:rFonts w:eastAsia="Calibri" w:cs="Arial"/>
          <w:sz w:val="20"/>
          <w:szCs w:val="20"/>
          <w:lang w:val="en-US" w:eastAsia="en-US"/>
        </w:rPr>
        <w:t xml:space="preserve"> </w:t>
      </w:r>
      <w:r w:rsidR="00814EC6" w:rsidRPr="00AC57EA">
        <w:rPr>
          <w:rFonts w:eastAsia="Calibri" w:cs="Arial"/>
          <w:sz w:val="20"/>
          <w:szCs w:val="20"/>
          <w:lang w:val="en-US" w:eastAsia="en-US"/>
        </w:rPr>
        <w:t>since September 25,</w:t>
      </w:r>
      <w:r w:rsidR="0026739F" w:rsidRPr="00AC57EA">
        <w:rPr>
          <w:rFonts w:eastAsia="Calibri" w:cs="Arial"/>
          <w:sz w:val="20"/>
          <w:szCs w:val="20"/>
          <w:lang w:val="en-US" w:eastAsia="en-US"/>
        </w:rPr>
        <w:t xml:space="preserve"> 1979,</w:t>
      </w:r>
      <w:r w:rsidRPr="00AC57EA">
        <w:rPr>
          <w:rFonts w:eastAsia="Calibri" w:cs="Arial"/>
          <w:sz w:val="20"/>
          <w:szCs w:val="20"/>
          <w:lang w:val="en-US" w:eastAsia="en-US"/>
        </w:rPr>
        <w:t xml:space="preserve"> and</w:t>
      </w:r>
      <w:r w:rsidR="00CD07E4" w:rsidRPr="00AC57EA">
        <w:rPr>
          <w:rFonts w:eastAsia="Calibri" w:cs="Arial"/>
          <w:sz w:val="20"/>
          <w:szCs w:val="20"/>
          <w:lang w:val="en-US" w:eastAsia="en-US"/>
        </w:rPr>
        <w:t xml:space="preserve"> had</w:t>
      </w:r>
      <w:r w:rsidRPr="00AC57EA">
        <w:rPr>
          <w:rFonts w:eastAsia="Calibri" w:cs="Arial"/>
          <w:sz w:val="20"/>
          <w:szCs w:val="20"/>
          <w:lang w:val="en-US" w:eastAsia="en-US"/>
        </w:rPr>
        <w:t xml:space="preserve"> </w:t>
      </w:r>
      <w:r w:rsidR="00814EC6" w:rsidRPr="00AC57EA">
        <w:rPr>
          <w:rFonts w:eastAsia="Calibri" w:cs="Arial"/>
          <w:sz w:val="20"/>
          <w:szCs w:val="20"/>
          <w:lang w:val="en-US" w:eastAsia="en-US"/>
        </w:rPr>
        <w:t xml:space="preserve">accepted the </w:t>
      </w:r>
      <w:r w:rsidR="00CD07E4" w:rsidRPr="00AC57EA">
        <w:rPr>
          <w:rFonts w:eastAsia="Calibri" w:cs="Arial"/>
          <w:sz w:val="20"/>
          <w:szCs w:val="20"/>
          <w:lang w:val="en-US" w:eastAsia="en-US"/>
        </w:rPr>
        <w:t xml:space="preserve">Court’s </w:t>
      </w:r>
      <w:r w:rsidR="00814EC6" w:rsidRPr="00AC57EA">
        <w:rPr>
          <w:rFonts w:eastAsia="Calibri" w:cs="Arial"/>
          <w:sz w:val="20"/>
          <w:szCs w:val="20"/>
          <w:lang w:val="en-US" w:eastAsia="en-US"/>
        </w:rPr>
        <w:t xml:space="preserve">contentious jurisdiction on February 12, </w:t>
      </w:r>
      <w:r w:rsidR="0026739F" w:rsidRPr="00AC57EA">
        <w:rPr>
          <w:rFonts w:eastAsia="Calibri" w:cs="Arial"/>
          <w:sz w:val="20"/>
          <w:szCs w:val="20"/>
          <w:lang w:val="en-US" w:eastAsia="en-US"/>
        </w:rPr>
        <w:t xml:space="preserve">1991. </w:t>
      </w:r>
      <w:r w:rsidR="00814EC6" w:rsidRPr="00AC57EA">
        <w:rPr>
          <w:rFonts w:eastAsia="Calibri" w:cs="Arial"/>
          <w:sz w:val="20"/>
          <w:szCs w:val="20"/>
          <w:lang w:val="en-US" w:eastAsia="en-US"/>
        </w:rPr>
        <w:t>They also argued that the only situation in which express acknowledgement of the Commission’s competence is required is that established in Article 45 of the Convention, but this refers exclusively to the reception and examination of inter-State communications, and not those between private individuals and the State. Thus, the representatives concluded that the paragraph added by the State in February 2006 was not applicable to this case, because it d</w:t>
      </w:r>
      <w:r w:rsidR="00CD07E4" w:rsidRPr="00AC57EA">
        <w:rPr>
          <w:rFonts w:eastAsia="Calibri" w:cs="Arial"/>
          <w:sz w:val="20"/>
          <w:szCs w:val="20"/>
          <w:lang w:val="en-US" w:eastAsia="en-US"/>
        </w:rPr>
        <w:t>id</w:t>
      </w:r>
      <w:r w:rsidR="00814EC6" w:rsidRPr="00AC57EA">
        <w:rPr>
          <w:rFonts w:eastAsia="Calibri" w:cs="Arial"/>
          <w:sz w:val="20"/>
          <w:szCs w:val="20"/>
          <w:lang w:val="en-US" w:eastAsia="en-US"/>
        </w:rPr>
        <w:t xml:space="preserve"> not relate to an inter-State petition. Consequently, they asked the Court to reject the objection of lack of jurisdiction filed by </w:t>
      </w:r>
      <w:r w:rsidR="0026739F" w:rsidRPr="00AC57EA">
        <w:rPr>
          <w:rFonts w:eastAsia="Calibri" w:cs="Arial"/>
          <w:sz w:val="20"/>
          <w:szCs w:val="20"/>
          <w:lang w:val="en-US" w:eastAsia="en-US"/>
        </w:rPr>
        <w:t>Nicaragua.</w:t>
      </w:r>
    </w:p>
    <w:p w14:paraId="5652A22D" w14:textId="77777777" w:rsidR="0026739F" w:rsidRPr="00AC57EA" w:rsidRDefault="0026739F" w:rsidP="0026739F">
      <w:pPr>
        <w:tabs>
          <w:tab w:val="left" w:pos="567"/>
        </w:tabs>
        <w:spacing w:line="240" w:lineRule="auto"/>
        <w:rPr>
          <w:rFonts w:eastAsia="Calibri" w:cs="Arial"/>
          <w:sz w:val="20"/>
          <w:szCs w:val="20"/>
          <w:lang w:val="en-US" w:eastAsia="en-US"/>
        </w:rPr>
      </w:pPr>
    </w:p>
    <w:p w14:paraId="3B248525" w14:textId="3B2D674D" w:rsidR="0026739F" w:rsidRPr="00AC57EA" w:rsidRDefault="0026739F" w:rsidP="0026739F">
      <w:pPr>
        <w:pStyle w:val="Ttulo2"/>
        <w:tabs>
          <w:tab w:val="left" w:pos="1843"/>
        </w:tabs>
        <w:spacing w:before="0" w:line="240" w:lineRule="auto"/>
        <w:ind w:left="1134"/>
        <w:rPr>
          <w:rFonts w:ascii="Verdana" w:hAnsi="Verdana"/>
          <w:b w:val="0"/>
          <w:i/>
          <w:color w:val="auto"/>
          <w:sz w:val="20"/>
          <w:szCs w:val="20"/>
          <w:lang w:val="en-US"/>
        </w:rPr>
      </w:pPr>
      <w:bookmarkStart w:id="54" w:name="_Toc514172598"/>
      <w:r w:rsidRPr="00AC57EA">
        <w:rPr>
          <w:rFonts w:ascii="Verdana" w:hAnsi="Verdana"/>
          <w:b w:val="0"/>
          <w:i/>
          <w:color w:val="auto"/>
          <w:sz w:val="20"/>
          <w:szCs w:val="20"/>
          <w:lang w:val="en-US"/>
        </w:rPr>
        <w:t xml:space="preserve">B.2 </w:t>
      </w:r>
      <w:r w:rsidRPr="00AC57EA">
        <w:rPr>
          <w:rFonts w:ascii="Verdana" w:hAnsi="Verdana"/>
          <w:b w:val="0"/>
          <w:i/>
          <w:color w:val="auto"/>
          <w:sz w:val="20"/>
          <w:szCs w:val="20"/>
          <w:lang w:val="en-US"/>
        </w:rPr>
        <w:tab/>
      </w:r>
      <w:r w:rsidR="002223C8" w:rsidRPr="00AC57EA">
        <w:rPr>
          <w:rFonts w:ascii="Verdana" w:hAnsi="Verdana"/>
          <w:b w:val="0"/>
          <w:i/>
          <w:color w:val="auto"/>
          <w:sz w:val="20"/>
          <w:szCs w:val="20"/>
          <w:lang w:val="en-US"/>
        </w:rPr>
        <w:t>Considerations</w:t>
      </w:r>
      <w:r w:rsidR="00B7258C" w:rsidRPr="00AC57EA">
        <w:rPr>
          <w:rFonts w:ascii="Verdana" w:hAnsi="Verdana"/>
          <w:b w:val="0"/>
          <w:i/>
          <w:color w:val="auto"/>
          <w:sz w:val="20"/>
          <w:szCs w:val="20"/>
          <w:lang w:val="en-US"/>
        </w:rPr>
        <w:t xml:space="preserve"> of the Court</w:t>
      </w:r>
      <w:bookmarkEnd w:id="54"/>
    </w:p>
    <w:p w14:paraId="0314AC65" w14:textId="77777777" w:rsidR="0026739F" w:rsidRPr="00AC57EA" w:rsidRDefault="0026739F" w:rsidP="0026739F">
      <w:pPr>
        <w:tabs>
          <w:tab w:val="left" w:pos="567"/>
        </w:tabs>
        <w:spacing w:line="240" w:lineRule="auto"/>
        <w:rPr>
          <w:rFonts w:eastAsia="Calibri" w:cs="Arial"/>
          <w:sz w:val="20"/>
          <w:szCs w:val="20"/>
          <w:lang w:val="en-US" w:eastAsia="en-US"/>
        </w:rPr>
      </w:pPr>
    </w:p>
    <w:p w14:paraId="4B264AE6" w14:textId="468019AC" w:rsidR="0026739F" w:rsidRPr="00AC57EA" w:rsidRDefault="00814EC6" w:rsidP="00814EC6">
      <w:pPr>
        <w:pStyle w:val="Prrafodelista"/>
        <w:numPr>
          <w:ilvl w:val="0"/>
          <w:numId w:val="2"/>
        </w:numPr>
        <w:tabs>
          <w:tab w:val="left" w:pos="567"/>
        </w:tabs>
        <w:spacing w:line="240" w:lineRule="auto"/>
        <w:ind w:left="0" w:firstLine="0"/>
        <w:contextualSpacing/>
        <w:rPr>
          <w:sz w:val="20"/>
          <w:szCs w:val="20"/>
          <w:lang w:val="en-US"/>
        </w:rPr>
      </w:pPr>
      <w:r w:rsidRPr="00AC57EA">
        <w:rPr>
          <w:rFonts w:eastAsia="Calibri" w:cs="Arial"/>
          <w:sz w:val="20"/>
          <w:szCs w:val="20"/>
          <w:lang w:val="en-US" w:eastAsia="en-US"/>
        </w:rPr>
        <w:t xml:space="preserve">Taking into account the State’s arguments to support this </w:t>
      </w:r>
      <w:r w:rsidR="00DF2B30" w:rsidRPr="00AC57EA">
        <w:rPr>
          <w:rFonts w:eastAsia="Calibri" w:cs="Arial"/>
          <w:sz w:val="20"/>
          <w:szCs w:val="20"/>
          <w:lang w:val="en-US" w:eastAsia="en-US"/>
        </w:rPr>
        <w:t>preliminary objection</w:t>
      </w:r>
      <w:r w:rsidRPr="00AC57EA">
        <w:rPr>
          <w:rFonts w:eastAsia="Calibri" w:cs="Arial"/>
          <w:sz w:val="20"/>
          <w:szCs w:val="20"/>
          <w:lang w:val="en-US" w:eastAsia="en-US"/>
        </w:rPr>
        <w:t>, the Court recalls that the contentious function</w:t>
      </w:r>
      <w:r w:rsidR="007349D4" w:rsidRPr="00AC57EA">
        <w:rPr>
          <w:rFonts w:eastAsia="Calibri" w:cs="Arial"/>
          <w:sz w:val="20"/>
          <w:szCs w:val="20"/>
          <w:lang w:val="en-US" w:eastAsia="en-US"/>
        </w:rPr>
        <w:t xml:space="preserve"> may be activated by two different procedures </w:t>
      </w:r>
      <w:r w:rsidR="00CD07E4" w:rsidRPr="00AC57EA">
        <w:rPr>
          <w:rFonts w:eastAsia="Calibri" w:cs="Arial"/>
          <w:sz w:val="20"/>
          <w:szCs w:val="20"/>
          <w:lang w:val="en-US" w:eastAsia="en-US"/>
        </w:rPr>
        <w:t>for</w:t>
      </w:r>
      <w:r w:rsidR="007349D4" w:rsidRPr="00AC57EA">
        <w:rPr>
          <w:rFonts w:eastAsia="Calibri" w:cs="Arial"/>
          <w:sz w:val="20"/>
          <w:szCs w:val="20"/>
          <w:lang w:val="en-US" w:eastAsia="en-US"/>
        </w:rPr>
        <w:t xml:space="preserve"> complaints or communications before the Commission, each of them governed by specific regulations. One of them is in the context of the system of individual petitions</w:t>
      </w:r>
      <w:r w:rsidR="00CD07E4" w:rsidRPr="00AC57EA">
        <w:rPr>
          <w:rFonts w:eastAsia="Calibri" w:cs="Arial"/>
          <w:sz w:val="20"/>
          <w:szCs w:val="20"/>
          <w:lang w:val="en-US" w:eastAsia="en-US"/>
        </w:rPr>
        <w:t>,</w:t>
      </w:r>
      <w:r w:rsidR="007349D4" w:rsidRPr="00AC57EA">
        <w:rPr>
          <w:rFonts w:eastAsia="Calibri" w:cs="Arial"/>
          <w:sz w:val="20"/>
          <w:szCs w:val="20"/>
          <w:lang w:val="en-US" w:eastAsia="en-US"/>
        </w:rPr>
        <w:t xml:space="preserve"> established </w:t>
      </w:r>
      <w:r w:rsidR="00CD07E4" w:rsidRPr="00AC57EA">
        <w:rPr>
          <w:rFonts w:eastAsia="Calibri" w:cs="Arial"/>
          <w:sz w:val="20"/>
          <w:szCs w:val="20"/>
          <w:lang w:val="en-US" w:eastAsia="en-US"/>
        </w:rPr>
        <w:t>in</w:t>
      </w:r>
      <w:r w:rsidR="007349D4" w:rsidRPr="00AC57EA">
        <w:rPr>
          <w:rFonts w:eastAsia="Calibri" w:cs="Arial"/>
          <w:sz w:val="20"/>
          <w:szCs w:val="20"/>
          <w:lang w:val="en-US" w:eastAsia="en-US"/>
        </w:rPr>
        <w:t xml:space="preserve"> </w:t>
      </w:r>
      <w:r w:rsidR="007349D4" w:rsidRPr="00AC57EA">
        <w:rPr>
          <w:sz w:val="20"/>
          <w:szCs w:val="20"/>
          <w:lang w:val="en-US"/>
        </w:rPr>
        <w:t>Article 44 of the Convention</w:t>
      </w:r>
      <w:r w:rsidR="00CD07E4" w:rsidRPr="00AC57EA">
        <w:rPr>
          <w:sz w:val="20"/>
          <w:szCs w:val="20"/>
          <w:lang w:val="en-US"/>
        </w:rPr>
        <w:t>,</w:t>
      </w:r>
      <w:r w:rsidR="007349D4" w:rsidRPr="00AC57EA">
        <w:rPr>
          <w:sz w:val="20"/>
          <w:szCs w:val="20"/>
          <w:lang w:val="en-US"/>
        </w:rPr>
        <w:t xml:space="preserve"> according to which the States become the defendant in contentious cases arising from individual petitions. In the other procedure, established in Article 45 of this instrument, the States become opposing procedural parties; </w:t>
      </w:r>
      <w:r w:rsidR="00CD07E4" w:rsidRPr="00AC57EA">
        <w:rPr>
          <w:sz w:val="20"/>
          <w:szCs w:val="20"/>
          <w:lang w:val="en-US"/>
        </w:rPr>
        <w:t>namely</w:t>
      </w:r>
      <w:r w:rsidR="007349D4" w:rsidRPr="00AC57EA">
        <w:rPr>
          <w:sz w:val="20"/>
          <w:szCs w:val="20"/>
          <w:lang w:val="en-US"/>
        </w:rPr>
        <w:t xml:space="preserve">, plaintiff and defendant in contentious cases arising from inter-State communications. Once this procedure has concluded, </w:t>
      </w:r>
      <w:r w:rsidR="00CD07E4" w:rsidRPr="00AC57EA">
        <w:rPr>
          <w:sz w:val="20"/>
          <w:szCs w:val="20"/>
          <w:lang w:val="en-US"/>
        </w:rPr>
        <w:t>it</w:t>
      </w:r>
      <w:r w:rsidR="007349D4" w:rsidRPr="00AC57EA">
        <w:rPr>
          <w:sz w:val="20"/>
          <w:szCs w:val="20"/>
          <w:lang w:val="en-US"/>
        </w:rPr>
        <w:t xml:space="preserve"> may result in the submission of a case to the Court so that the Court may exercise its contentious jurisdiction</w:t>
      </w:r>
      <w:r w:rsidR="00CD07E4" w:rsidRPr="00AC57EA">
        <w:rPr>
          <w:sz w:val="20"/>
          <w:szCs w:val="20"/>
          <w:lang w:val="en-US"/>
        </w:rPr>
        <w:t>, provided the other requirements are met</w:t>
      </w:r>
      <w:r w:rsidR="007349D4" w:rsidRPr="00AC57EA">
        <w:rPr>
          <w:sz w:val="20"/>
          <w:szCs w:val="20"/>
          <w:lang w:val="en-US"/>
        </w:rPr>
        <w:t>.</w:t>
      </w:r>
      <w:r w:rsidR="0026739F" w:rsidRPr="00AC57EA">
        <w:rPr>
          <w:rStyle w:val="Refdenotaalpie"/>
          <w:sz w:val="20"/>
          <w:szCs w:val="20"/>
          <w:lang w:val="en-US"/>
        </w:rPr>
        <w:footnoteReference w:id="26"/>
      </w:r>
    </w:p>
    <w:p w14:paraId="171439D8" w14:textId="77777777" w:rsidR="0026739F" w:rsidRPr="00AC57EA" w:rsidRDefault="0026739F" w:rsidP="0026739F">
      <w:pPr>
        <w:pStyle w:val="Prrafodelista"/>
        <w:tabs>
          <w:tab w:val="left" w:pos="567"/>
        </w:tabs>
        <w:spacing w:line="240" w:lineRule="auto"/>
        <w:ind w:left="0"/>
        <w:rPr>
          <w:sz w:val="20"/>
          <w:szCs w:val="20"/>
          <w:lang w:val="en-US"/>
        </w:rPr>
      </w:pPr>
    </w:p>
    <w:p w14:paraId="7DFBC73E" w14:textId="29D4D3B7" w:rsidR="0026739F" w:rsidRPr="00AC57EA" w:rsidRDefault="007F03A0" w:rsidP="007F03A0">
      <w:pPr>
        <w:pStyle w:val="Prrafodelista"/>
        <w:numPr>
          <w:ilvl w:val="0"/>
          <w:numId w:val="2"/>
        </w:numPr>
        <w:tabs>
          <w:tab w:val="left" w:pos="567"/>
        </w:tabs>
        <w:spacing w:line="240" w:lineRule="auto"/>
        <w:ind w:left="0" w:firstLine="0"/>
        <w:contextualSpacing/>
        <w:rPr>
          <w:sz w:val="20"/>
          <w:szCs w:val="20"/>
          <w:lang w:val="en-US"/>
        </w:rPr>
      </w:pPr>
      <w:r w:rsidRPr="00AC57EA">
        <w:rPr>
          <w:rFonts w:eastAsia="Calibri"/>
          <w:sz w:val="20"/>
          <w:szCs w:val="20"/>
          <w:lang w:val="en-US"/>
        </w:rPr>
        <w:t xml:space="preserve">In the case of individual petitions, as indicated </w:t>
      </w:r>
      <w:r w:rsidR="00CD07E4" w:rsidRPr="00AC57EA">
        <w:rPr>
          <w:rFonts w:eastAsia="Calibri"/>
          <w:sz w:val="20"/>
          <w:szCs w:val="20"/>
          <w:lang w:val="en-US"/>
        </w:rPr>
        <w:t>in</w:t>
      </w:r>
      <w:r w:rsidRPr="00AC57EA">
        <w:rPr>
          <w:rFonts w:eastAsia="Calibri"/>
          <w:sz w:val="20"/>
          <w:szCs w:val="20"/>
          <w:lang w:val="en-US"/>
        </w:rPr>
        <w:t xml:space="preserve"> </w:t>
      </w:r>
      <w:r w:rsidR="00B7258C" w:rsidRPr="00AC57EA">
        <w:rPr>
          <w:rFonts w:eastAsia="Calibri"/>
          <w:sz w:val="20"/>
          <w:szCs w:val="20"/>
          <w:lang w:val="en-US"/>
        </w:rPr>
        <w:t>Article</w:t>
      </w:r>
      <w:r w:rsidR="0026739F" w:rsidRPr="00AC57EA">
        <w:rPr>
          <w:rFonts w:eastAsia="Calibri"/>
          <w:sz w:val="20"/>
          <w:szCs w:val="20"/>
          <w:lang w:val="en-US"/>
        </w:rPr>
        <w:t xml:space="preserve"> 44</w:t>
      </w:r>
      <w:r w:rsidR="00B7258C" w:rsidRPr="00AC57EA">
        <w:rPr>
          <w:rFonts w:eastAsia="Calibri"/>
          <w:sz w:val="20"/>
          <w:szCs w:val="20"/>
          <w:lang w:val="en-US"/>
        </w:rPr>
        <w:t xml:space="preserve"> of the Convention</w:t>
      </w:r>
      <w:r w:rsidR="0026739F" w:rsidRPr="00AC57EA">
        <w:rPr>
          <w:rFonts w:eastAsia="Calibri"/>
          <w:sz w:val="20"/>
          <w:szCs w:val="20"/>
          <w:lang w:val="en-US"/>
        </w:rPr>
        <w:t xml:space="preserve">, </w:t>
      </w:r>
      <w:r w:rsidR="00B7258C" w:rsidRPr="00AC57EA">
        <w:rPr>
          <w:rFonts w:eastAsia="Calibri"/>
          <w:sz w:val="20"/>
          <w:szCs w:val="20"/>
          <w:lang w:val="en-US"/>
        </w:rPr>
        <w:t>Article</w:t>
      </w:r>
      <w:r w:rsidR="0026739F" w:rsidRPr="00AC57EA">
        <w:rPr>
          <w:rFonts w:eastAsia="Calibri"/>
          <w:sz w:val="20"/>
          <w:szCs w:val="20"/>
          <w:lang w:val="en-US"/>
        </w:rPr>
        <w:t xml:space="preserve"> 19 </w:t>
      </w:r>
      <w:r w:rsidRPr="00AC57EA">
        <w:rPr>
          <w:rFonts w:eastAsia="Calibri"/>
          <w:sz w:val="20"/>
          <w:szCs w:val="20"/>
          <w:lang w:val="en-US"/>
        </w:rPr>
        <w:t xml:space="preserve">of the Commission’s Statute, and </w:t>
      </w:r>
      <w:r w:rsidR="00B7258C" w:rsidRPr="00AC57EA">
        <w:rPr>
          <w:rFonts w:eastAsia="Calibri"/>
          <w:sz w:val="20"/>
          <w:szCs w:val="20"/>
          <w:lang w:val="en-US"/>
        </w:rPr>
        <w:t>Article</w:t>
      </w:r>
      <w:r w:rsidR="0026739F" w:rsidRPr="00AC57EA">
        <w:rPr>
          <w:rFonts w:eastAsia="Calibri"/>
          <w:sz w:val="20"/>
          <w:szCs w:val="20"/>
          <w:lang w:val="en-US"/>
        </w:rPr>
        <w:t xml:space="preserve"> 23 </w:t>
      </w:r>
      <w:r w:rsidRPr="00AC57EA">
        <w:rPr>
          <w:rFonts w:eastAsia="Calibri"/>
          <w:sz w:val="20"/>
          <w:szCs w:val="20"/>
          <w:lang w:val="en-US"/>
        </w:rPr>
        <w:t xml:space="preserve">of its Rules of Procedure, the competence of the Commission is activated automatically to examine alleged violation of </w:t>
      </w:r>
      <w:r w:rsidR="00B7258C" w:rsidRPr="00AC57EA">
        <w:rPr>
          <w:rFonts w:eastAsia="Calibri"/>
          <w:sz w:val="20"/>
          <w:szCs w:val="20"/>
          <w:lang w:val="en-US"/>
        </w:rPr>
        <w:t>the American Convention</w:t>
      </w:r>
      <w:r w:rsidR="0026739F" w:rsidRPr="00AC57EA">
        <w:rPr>
          <w:rFonts w:eastAsia="Calibri"/>
          <w:sz w:val="20"/>
          <w:szCs w:val="20"/>
          <w:lang w:val="en-US"/>
        </w:rPr>
        <w:t xml:space="preserve">, </w:t>
      </w:r>
      <w:r w:rsidRPr="00AC57EA">
        <w:rPr>
          <w:rFonts w:eastAsia="Calibri"/>
          <w:sz w:val="20"/>
          <w:szCs w:val="20"/>
          <w:lang w:val="en-US"/>
        </w:rPr>
        <w:t>provided that</w:t>
      </w:r>
      <w:r w:rsidR="0026739F" w:rsidRPr="00AC57EA">
        <w:rPr>
          <w:rFonts w:eastAsia="Calibri"/>
          <w:sz w:val="20"/>
          <w:szCs w:val="20"/>
          <w:lang w:val="en-US"/>
        </w:rPr>
        <w:t xml:space="preserve"> </w:t>
      </w:r>
      <w:r w:rsidR="00EC52D7" w:rsidRPr="00AC57EA">
        <w:rPr>
          <w:rFonts w:eastAsia="Calibri"/>
          <w:sz w:val="20"/>
          <w:szCs w:val="20"/>
          <w:lang w:val="en-US"/>
        </w:rPr>
        <w:t xml:space="preserve">the </w:t>
      </w:r>
      <w:r w:rsidRPr="00AC57EA">
        <w:rPr>
          <w:rFonts w:eastAsia="Calibri"/>
          <w:sz w:val="20"/>
          <w:szCs w:val="20"/>
          <w:lang w:val="en-US"/>
        </w:rPr>
        <w:t xml:space="preserve">defendant </w:t>
      </w:r>
      <w:r w:rsidR="00EC52D7" w:rsidRPr="00AC57EA">
        <w:rPr>
          <w:rFonts w:eastAsia="Calibri"/>
          <w:sz w:val="20"/>
          <w:szCs w:val="20"/>
          <w:lang w:val="en-US"/>
        </w:rPr>
        <w:t xml:space="preserve">State </w:t>
      </w:r>
      <w:r w:rsidRPr="00AC57EA">
        <w:rPr>
          <w:rFonts w:eastAsia="Calibri"/>
          <w:sz w:val="20"/>
          <w:szCs w:val="20"/>
          <w:lang w:val="en-US"/>
        </w:rPr>
        <w:t xml:space="preserve">has ratified this instrument. To the contrary, in the case of inter-State communications, it is necessary that the defendant State, in addition to ratifying </w:t>
      </w:r>
      <w:r w:rsidR="00B7258C" w:rsidRPr="00AC57EA">
        <w:rPr>
          <w:rFonts w:eastAsia="Calibri"/>
          <w:sz w:val="20"/>
          <w:szCs w:val="20"/>
          <w:lang w:val="en-US"/>
        </w:rPr>
        <w:t>the Convention</w:t>
      </w:r>
      <w:r w:rsidR="0026739F" w:rsidRPr="00AC57EA">
        <w:rPr>
          <w:rFonts w:eastAsia="Calibri"/>
          <w:sz w:val="20"/>
          <w:szCs w:val="20"/>
          <w:lang w:val="en-US"/>
        </w:rPr>
        <w:t>, ha</w:t>
      </w:r>
      <w:r w:rsidRPr="00AC57EA">
        <w:rPr>
          <w:rFonts w:eastAsia="Calibri"/>
          <w:sz w:val="20"/>
          <w:szCs w:val="20"/>
          <w:lang w:val="en-US"/>
        </w:rPr>
        <w:t xml:space="preserve">s expressly declared its willingness to submit to the competence </w:t>
      </w:r>
      <w:r w:rsidR="00B7258C" w:rsidRPr="00AC57EA">
        <w:rPr>
          <w:rFonts w:eastAsia="Calibri"/>
          <w:sz w:val="20"/>
          <w:szCs w:val="20"/>
          <w:lang w:val="en-US"/>
        </w:rPr>
        <w:t>of the Commission</w:t>
      </w:r>
      <w:r w:rsidR="0026739F" w:rsidRPr="00AC57EA">
        <w:rPr>
          <w:rFonts w:eastAsia="Calibri"/>
          <w:sz w:val="20"/>
          <w:szCs w:val="20"/>
          <w:lang w:val="en-US"/>
        </w:rPr>
        <w:t xml:space="preserve">, </w:t>
      </w:r>
      <w:r w:rsidRPr="00AC57EA">
        <w:rPr>
          <w:rFonts w:eastAsia="Calibri"/>
          <w:sz w:val="20"/>
          <w:szCs w:val="20"/>
          <w:lang w:val="en-US"/>
        </w:rPr>
        <w:t xml:space="preserve">as established in </w:t>
      </w:r>
      <w:r w:rsidR="00B7258C" w:rsidRPr="00AC57EA">
        <w:rPr>
          <w:rFonts w:eastAsia="Calibri"/>
          <w:sz w:val="20"/>
          <w:szCs w:val="20"/>
          <w:lang w:val="en-US"/>
        </w:rPr>
        <w:t>Article</w:t>
      </w:r>
      <w:r w:rsidR="0026739F" w:rsidRPr="00AC57EA">
        <w:rPr>
          <w:rFonts w:eastAsia="Calibri"/>
          <w:sz w:val="20"/>
          <w:szCs w:val="20"/>
          <w:lang w:val="en-US"/>
        </w:rPr>
        <w:t xml:space="preserve"> 45</w:t>
      </w:r>
      <w:r w:rsidRPr="00AC57EA">
        <w:rPr>
          <w:rFonts w:eastAsia="Calibri"/>
          <w:sz w:val="20"/>
          <w:szCs w:val="20"/>
          <w:lang w:val="en-US"/>
        </w:rPr>
        <w:t>.</w:t>
      </w:r>
      <w:r w:rsidR="0026739F" w:rsidRPr="00AC57EA">
        <w:rPr>
          <w:rFonts w:eastAsia="Calibri"/>
          <w:sz w:val="20"/>
          <w:szCs w:val="20"/>
          <w:vertAlign w:val="superscript"/>
          <w:lang w:val="en-US"/>
        </w:rPr>
        <w:footnoteReference w:id="27"/>
      </w:r>
    </w:p>
    <w:p w14:paraId="3F178312" w14:textId="77777777" w:rsidR="0026739F" w:rsidRPr="00AC57EA" w:rsidRDefault="0026739F" w:rsidP="0026739F">
      <w:pPr>
        <w:pStyle w:val="Prrafodelista"/>
        <w:tabs>
          <w:tab w:val="left" w:pos="567"/>
        </w:tabs>
        <w:spacing w:line="240" w:lineRule="auto"/>
        <w:ind w:left="0"/>
        <w:rPr>
          <w:sz w:val="20"/>
          <w:szCs w:val="20"/>
          <w:lang w:val="en-US"/>
        </w:rPr>
      </w:pPr>
    </w:p>
    <w:p w14:paraId="040C1299" w14:textId="4751FC58" w:rsidR="00227ECE" w:rsidRPr="00AC57EA" w:rsidRDefault="007F03A0" w:rsidP="00227ECE">
      <w:pPr>
        <w:pStyle w:val="Prrafodelista"/>
        <w:numPr>
          <w:ilvl w:val="0"/>
          <w:numId w:val="2"/>
        </w:numPr>
        <w:tabs>
          <w:tab w:val="left" w:pos="567"/>
        </w:tabs>
        <w:spacing w:line="240" w:lineRule="auto"/>
        <w:ind w:left="0" w:firstLine="0"/>
        <w:contextualSpacing/>
        <w:rPr>
          <w:sz w:val="20"/>
          <w:szCs w:val="20"/>
          <w:lang w:val="en-US"/>
        </w:rPr>
      </w:pPr>
      <w:r w:rsidRPr="00AC57EA">
        <w:rPr>
          <w:rFonts w:eastAsia="Calibri"/>
          <w:sz w:val="20"/>
          <w:szCs w:val="20"/>
          <w:lang w:val="en-US"/>
        </w:rPr>
        <w:t>That said</w:t>
      </w:r>
      <w:r w:rsidR="00227ECE" w:rsidRPr="00AC57EA">
        <w:rPr>
          <w:rFonts w:eastAsia="Calibri"/>
          <w:sz w:val="20"/>
          <w:szCs w:val="20"/>
          <w:lang w:val="en-US"/>
        </w:rPr>
        <w:t>,</w:t>
      </w:r>
      <w:r w:rsidR="0026739F" w:rsidRPr="00AC57EA">
        <w:rPr>
          <w:rFonts w:eastAsia="Calibri"/>
          <w:sz w:val="20"/>
          <w:szCs w:val="20"/>
          <w:lang w:val="en-US"/>
        </w:rPr>
        <w:t xml:space="preserve"> </w:t>
      </w:r>
      <w:r w:rsidR="00B7258C" w:rsidRPr="00AC57EA">
        <w:rPr>
          <w:rFonts w:eastAsia="Calibri"/>
          <w:sz w:val="20"/>
          <w:szCs w:val="20"/>
          <w:lang w:val="en-US"/>
        </w:rPr>
        <w:t>the Court</w:t>
      </w:r>
      <w:r w:rsidR="00227ECE" w:rsidRPr="00AC57EA">
        <w:rPr>
          <w:rFonts w:eastAsia="Calibri"/>
          <w:sz w:val="20"/>
          <w:szCs w:val="20"/>
          <w:lang w:val="en-US"/>
        </w:rPr>
        <w:t xml:space="preserve"> not</w:t>
      </w:r>
      <w:r w:rsidRPr="00AC57EA">
        <w:rPr>
          <w:rFonts w:eastAsia="Calibri"/>
          <w:sz w:val="20"/>
          <w:szCs w:val="20"/>
          <w:lang w:val="en-US"/>
        </w:rPr>
        <w:t xml:space="preserve">es that the 2006 declaration of acceptance of competence referred to by </w:t>
      </w:r>
      <w:r w:rsidR="00EC52D7" w:rsidRPr="00AC57EA">
        <w:rPr>
          <w:rFonts w:eastAsia="Calibri" w:cs="Arial"/>
          <w:sz w:val="20"/>
          <w:szCs w:val="20"/>
          <w:lang w:val="en-US" w:eastAsia="en-US"/>
        </w:rPr>
        <w:t>the State of</w:t>
      </w:r>
      <w:r w:rsidR="00227ECE" w:rsidRPr="00AC57EA">
        <w:rPr>
          <w:rFonts w:eastAsia="Calibri"/>
          <w:sz w:val="20"/>
          <w:szCs w:val="20"/>
          <w:lang w:val="en-US"/>
        </w:rPr>
        <w:t xml:space="preserve"> Nicaragua</w:t>
      </w:r>
      <w:r w:rsidR="00024EFF" w:rsidRPr="00AC57EA">
        <w:rPr>
          <w:rFonts w:eastAsia="Calibri"/>
          <w:sz w:val="20"/>
          <w:szCs w:val="20"/>
          <w:lang w:val="en-US"/>
        </w:rPr>
        <w:t xml:space="preserve"> </w:t>
      </w:r>
      <w:r w:rsidRPr="00AC57EA">
        <w:rPr>
          <w:rFonts w:eastAsia="Calibri"/>
          <w:sz w:val="20"/>
          <w:szCs w:val="20"/>
          <w:lang w:val="en-US"/>
        </w:rPr>
        <w:t>refers to</w:t>
      </w:r>
      <w:r w:rsidR="00227ECE" w:rsidRPr="00AC57EA">
        <w:rPr>
          <w:rFonts w:eastAsia="Calibri" w:cs="Arial"/>
          <w:sz w:val="20"/>
          <w:szCs w:val="20"/>
          <w:lang w:val="en-US" w:eastAsia="en-US"/>
        </w:rPr>
        <w:t xml:space="preserve"> </w:t>
      </w:r>
      <w:r w:rsidR="00B7258C" w:rsidRPr="00AC57EA">
        <w:rPr>
          <w:rFonts w:eastAsia="Calibri" w:cs="Arial"/>
          <w:sz w:val="20"/>
          <w:szCs w:val="20"/>
          <w:lang w:val="en-US" w:eastAsia="en-US"/>
        </w:rPr>
        <w:t>Article</w:t>
      </w:r>
      <w:r w:rsidR="0026739F" w:rsidRPr="00AC57EA">
        <w:rPr>
          <w:rFonts w:eastAsia="Calibri" w:cs="Arial"/>
          <w:sz w:val="20"/>
          <w:szCs w:val="20"/>
          <w:lang w:val="en-US" w:eastAsia="en-US"/>
        </w:rPr>
        <w:t xml:space="preserve"> 45 </w:t>
      </w:r>
      <w:r w:rsidRPr="00AC57EA">
        <w:rPr>
          <w:rFonts w:eastAsia="Calibri" w:cs="Arial"/>
          <w:sz w:val="20"/>
          <w:szCs w:val="20"/>
          <w:lang w:val="en-US" w:eastAsia="en-US"/>
        </w:rPr>
        <w:t xml:space="preserve">which, as indicated, governs the Commission’s competence to examine inter-State communications. Consequently, as this case does not refer to an inter-State communication, but rather to an individual petition, the provisions of Article 45 </w:t>
      </w:r>
      <w:r w:rsidR="00CD07E4" w:rsidRPr="00AC57EA">
        <w:rPr>
          <w:rFonts w:eastAsia="Calibri" w:cs="Arial"/>
          <w:sz w:val="20"/>
          <w:szCs w:val="20"/>
          <w:lang w:val="en-US" w:eastAsia="en-US"/>
        </w:rPr>
        <w:t>are</w:t>
      </w:r>
      <w:r w:rsidRPr="00AC57EA">
        <w:rPr>
          <w:rFonts w:eastAsia="Calibri" w:cs="Arial"/>
          <w:sz w:val="20"/>
          <w:szCs w:val="20"/>
          <w:lang w:val="en-US" w:eastAsia="en-US"/>
        </w:rPr>
        <w:t xml:space="preserve"> not applicable.</w:t>
      </w:r>
    </w:p>
    <w:p w14:paraId="5E322EE1" w14:textId="77777777" w:rsidR="0026739F" w:rsidRPr="00AC57EA" w:rsidRDefault="0026739F" w:rsidP="0026739F">
      <w:pPr>
        <w:pStyle w:val="Prrafodelista"/>
        <w:tabs>
          <w:tab w:val="left" w:pos="567"/>
        </w:tabs>
        <w:spacing w:line="240" w:lineRule="auto"/>
        <w:ind w:left="0"/>
        <w:rPr>
          <w:sz w:val="20"/>
          <w:szCs w:val="20"/>
          <w:lang w:val="en-US"/>
        </w:rPr>
      </w:pPr>
    </w:p>
    <w:p w14:paraId="463D4986" w14:textId="713C0421" w:rsidR="0026739F" w:rsidRPr="00AC57EA" w:rsidRDefault="007F03A0" w:rsidP="00C8070B">
      <w:pPr>
        <w:numPr>
          <w:ilvl w:val="0"/>
          <w:numId w:val="2"/>
        </w:numPr>
        <w:tabs>
          <w:tab w:val="left" w:pos="567"/>
        </w:tabs>
        <w:spacing w:line="240" w:lineRule="auto"/>
        <w:ind w:left="1109" w:hanging="1109"/>
        <w:rPr>
          <w:bCs/>
          <w:sz w:val="20"/>
          <w:szCs w:val="20"/>
          <w:lang w:val="en-US"/>
        </w:rPr>
      </w:pPr>
      <w:r w:rsidRPr="00AC57EA">
        <w:rPr>
          <w:rFonts w:eastAsia="Calibri" w:cs="Arial"/>
          <w:sz w:val="20"/>
          <w:szCs w:val="20"/>
          <w:lang w:val="en-US" w:eastAsia="en-US"/>
        </w:rPr>
        <w:t>Therefore, this objection must be rejected.</w:t>
      </w:r>
      <w:r w:rsidR="0026739F" w:rsidRPr="00AC57EA">
        <w:rPr>
          <w:rFonts w:eastAsia="Calibri" w:cs="Arial"/>
          <w:sz w:val="20"/>
          <w:szCs w:val="20"/>
          <w:lang w:val="en-US" w:eastAsia="en-US"/>
        </w:rPr>
        <w:t xml:space="preserve"> </w:t>
      </w:r>
    </w:p>
    <w:p w14:paraId="383A8713" w14:textId="77777777" w:rsidR="0026739F" w:rsidRPr="00AC57EA" w:rsidRDefault="0026739F" w:rsidP="00420246">
      <w:pPr>
        <w:pStyle w:val="Prrafodelista"/>
        <w:tabs>
          <w:tab w:val="left" w:pos="567"/>
        </w:tabs>
        <w:spacing w:line="240" w:lineRule="auto"/>
        <w:ind w:left="0"/>
        <w:rPr>
          <w:sz w:val="20"/>
          <w:szCs w:val="20"/>
          <w:lang w:val="en-US"/>
        </w:rPr>
      </w:pPr>
    </w:p>
    <w:p w14:paraId="385CC53C" w14:textId="378A33AD" w:rsidR="00DD00E7" w:rsidRPr="00AC57EA" w:rsidRDefault="00DD00E7" w:rsidP="00DD00E7">
      <w:pPr>
        <w:keepNext/>
        <w:keepLines/>
        <w:tabs>
          <w:tab w:val="left" w:pos="1134"/>
        </w:tabs>
        <w:spacing w:line="240" w:lineRule="auto"/>
        <w:ind w:left="567" w:firstLine="1"/>
        <w:outlineLvl w:val="1"/>
        <w:rPr>
          <w:rFonts w:eastAsia="MS Mincho"/>
          <w:b/>
          <w:bCs/>
          <w:i/>
          <w:sz w:val="20"/>
          <w:szCs w:val="20"/>
          <w:lang w:val="en-US"/>
        </w:rPr>
      </w:pPr>
      <w:bookmarkStart w:id="55" w:name="_Toc514172599"/>
      <w:r w:rsidRPr="00AC57EA">
        <w:rPr>
          <w:rFonts w:eastAsia="MS Mincho"/>
          <w:b/>
          <w:bCs/>
          <w:i/>
          <w:sz w:val="20"/>
          <w:szCs w:val="20"/>
          <w:lang w:val="en-US"/>
        </w:rPr>
        <w:t>C.</w:t>
      </w:r>
      <w:r w:rsidRPr="00AC57EA">
        <w:rPr>
          <w:rFonts w:eastAsia="MS Mincho"/>
          <w:b/>
          <w:bCs/>
          <w:i/>
          <w:sz w:val="20"/>
          <w:szCs w:val="20"/>
          <w:lang w:val="en-US"/>
        </w:rPr>
        <w:tab/>
      </w:r>
      <w:r w:rsidR="00985CDE" w:rsidRPr="00AC57EA">
        <w:rPr>
          <w:rFonts w:eastAsia="MS Mincho"/>
          <w:b/>
          <w:bCs/>
          <w:i/>
          <w:sz w:val="20"/>
          <w:szCs w:val="20"/>
          <w:lang w:val="en-US"/>
        </w:rPr>
        <w:t>Objection concerning the lack of jurisdiction</w:t>
      </w:r>
      <w:r w:rsidRPr="00AC57EA">
        <w:rPr>
          <w:rFonts w:eastAsia="MS Mincho"/>
          <w:b/>
          <w:bCs/>
          <w:i/>
          <w:sz w:val="20"/>
          <w:szCs w:val="20"/>
          <w:lang w:val="en-US"/>
        </w:rPr>
        <w:t xml:space="preserve"> </w:t>
      </w:r>
      <w:r w:rsidRPr="00AC57EA">
        <w:rPr>
          <w:rFonts w:eastAsia="MS Mincho"/>
          <w:b/>
          <w:bCs/>
          <w:iCs/>
          <w:sz w:val="20"/>
          <w:szCs w:val="20"/>
          <w:lang w:val="en-US"/>
        </w:rPr>
        <w:t>ratione materiae</w:t>
      </w:r>
      <w:r w:rsidR="00B7258C" w:rsidRPr="00AC57EA">
        <w:rPr>
          <w:rFonts w:eastAsia="MS Mincho"/>
          <w:b/>
          <w:bCs/>
          <w:i/>
          <w:sz w:val="20"/>
          <w:szCs w:val="20"/>
          <w:lang w:val="en-US"/>
        </w:rPr>
        <w:t xml:space="preserve"> of the Court</w:t>
      </w:r>
      <w:r w:rsidRPr="00AC57EA">
        <w:rPr>
          <w:rFonts w:eastAsia="MS Mincho"/>
          <w:b/>
          <w:bCs/>
          <w:i/>
          <w:sz w:val="20"/>
          <w:szCs w:val="20"/>
          <w:lang w:val="en-US"/>
        </w:rPr>
        <w:t xml:space="preserve"> </w:t>
      </w:r>
      <w:r w:rsidR="007F03A0" w:rsidRPr="00AC57EA">
        <w:rPr>
          <w:rFonts w:eastAsia="MS Mincho"/>
          <w:b/>
          <w:bCs/>
          <w:i/>
          <w:sz w:val="20"/>
          <w:szCs w:val="20"/>
          <w:lang w:val="en-US"/>
        </w:rPr>
        <w:t>in relation to the presumed violation of articles</w:t>
      </w:r>
      <w:r w:rsidR="00B7258C" w:rsidRPr="00AC57EA">
        <w:rPr>
          <w:rFonts w:eastAsia="MS Mincho"/>
          <w:b/>
          <w:bCs/>
          <w:i/>
          <w:sz w:val="20"/>
          <w:szCs w:val="20"/>
          <w:lang w:val="en-US"/>
        </w:rPr>
        <w:t xml:space="preserve"> of the </w:t>
      </w:r>
      <w:r w:rsidR="00171E27" w:rsidRPr="00AC57EA">
        <w:rPr>
          <w:rFonts w:eastAsia="MS Mincho"/>
          <w:b/>
          <w:bCs/>
          <w:i/>
          <w:sz w:val="20"/>
          <w:szCs w:val="20"/>
          <w:lang w:val="en-US"/>
        </w:rPr>
        <w:t>Convention on the Rights of the Child</w:t>
      </w:r>
      <w:bookmarkEnd w:id="55"/>
    </w:p>
    <w:p w14:paraId="5A0766C3" w14:textId="77777777" w:rsidR="00DD00E7" w:rsidRPr="00AC57EA" w:rsidRDefault="00DD00E7" w:rsidP="00DD00E7">
      <w:pPr>
        <w:tabs>
          <w:tab w:val="left" w:pos="720"/>
        </w:tabs>
        <w:spacing w:line="240" w:lineRule="auto"/>
        <w:rPr>
          <w:bCs/>
          <w:sz w:val="20"/>
          <w:szCs w:val="20"/>
          <w:lang w:val="en-US"/>
        </w:rPr>
      </w:pPr>
    </w:p>
    <w:p w14:paraId="68FE2A1E" w14:textId="0246F7E2" w:rsidR="00DD00E7" w:rsidRPr="00AC57EA" w:rsidRDefault="00DD00E7" w:rsidP="00C607DD">
      <w:pPr>
        <w:pStyle w:val="Ttulo2"/>
        <w:tabs>
          <w:tab w:val="left" w:pos="1843"/>
        </w:tabs>
        <w:spacing w:before="0" w:line="240" w:lineRule="auto"/>
        <w:ind w:left="1134"/>
        <w:rPr>
          <w:rFonts w:ascii="Verdana" w:hAnsi="Verdana"/>
          <w:b w:val="0"/>
          <w:i/>
          <w:color w:val="auto"/>
          <w:sz w:val="20"/>
          <w:szCs w:val="20"/>
          <w:lang w:val="en-US"/>
        </w:rPr>
      </w:pPr>
      <w:bookmarkStart w:id="56" w:name="_Toc514172600"/>
      <w:r w:rsidRPr="00AC57EA">
        <w:rPr>
          <w:rFonts w:ascii="Verdana" w:hAnsi="Verdana"/>
          <w:b w:val="0"/>
          <w:i/>
          <w:color w:val="auto"/>
          <w:sz w:val="20"/>
          <w:szCs w:val="20"/>
          <w:lang w:val="en-US"/>
        </w:rPr>
        <w:t xml:space="preserve">C.1 </w:t>
      </w:r>
      <w:r w:rsidR="007A37EF" w:rsidRPr="00AC57EA">
        <w:rPr>
          <w:rFonts w:ascii="Verdana" w:hAnsi="Verdana"/>
          <w:b w:val="0"/>
          <w:i/>
          <w:color w:val="auto"/>
          <w:sz w:val="20"/>
          <w:szCs w:val="20"/>
          <w:lang w:val="en-US"/>
        </w:rPr>
        <w:tab/>
      </w:r>
      <w:r w:rsidR="009E569E" w:rsidRPr="00AC57EA">
        <w:rPr>
          <w:rFonts w:ascii="Verdana" w:hAnsi="Verdana"/>
          <w:b w:val="0"/>
          <w:i/>
          <w:color w:val="auto"/>
          <w:sz w:val="20"/>
          <w:szCs w:val="20"/>
          <w:lang w:val="en-US"/>
        </w:rPr>
        <w:t>Arguments</w:t>
      </w:r>
      <w:r w:rsidR="00EC52D7" w:rsidRPr="00AC57EA">
        <w:rPr>
          <w:rFonts w:ascii="Verdana" w:hAnsi="Verdana"/>
          <w:b w:val="0"/>
          <w:i/>
          <w:color w:val="auto"/>
          <w:sz w:val="20"/>
          <w:szCs w:val="20"/>
          <w:lang w:val="en-US"/>
        </w:rPr>
        <w:t xml:space="preserve"> of the State</w:t>
      </w:r>
      <w:r w:rsidR="00171E27" w:rsidRPr="00AC57EA">
        <w:rPr>
          <w:rFonts w:ascii="Verdana" w:hAnsi="Verdana"/>
          <w:b w:val="0"/>
          <w:i/>
          <w:color w:val="auto"/>
          <w:sz w:val="20"/>
          <w:szCs w:val="20"/>
          <w:lang w:val="en-US"/>
        </w:rPr>
        <w:t xml:space="preserve"> and </w:t>
      </w:r>
      <w:r w:rsidR="009E569E" w:rsidRPr="00AC57EA">
        <w:rPr>
          <w:rFonts w:ascii="Verdana" w:hAnsi="Verdana"/>
          <w:b w:val="0"/>
          <w:i/>
          <w:color w:val="auto"/>
          <w:sz w:val="20"/>
          <w:szCs w:val="20"/>
          <w:lang w:val="en-US"/>
        </w:rPr>
        <w:t>observations</w:t>
      </w:r>
      <w:r w:rsidR="00B7258C" w:rsidRPr="00AC57EA">
        <w:rPr>
          <w:rFonts w:ascii="Verdana" w:hAnsi="Verdana"/>
          <w:b w:val="0"/>
          <w:i/>
          <w:color w:val="auto"/>
          <w:sz w:val="20"/>
          <w:szCs w:val="20"/>
          <w:lang w:val="en-US"/>
        </w:rPr>
        <w:t xml:space="preserve"> of the Commission</w:t>
      </w:r>
      <w:r w:rsidR="00171E27" w:rsidRPr="00AC57EA">
        <w:rPr>
          <w:rFonts w:ascii="Verdana" w:hAnsi="Verdana"/>
          <w:b w:val="0"/>
          <w:i/>
          <w:color w:val="auto"/>
          <w:sz w:val="20"/>
          <w:szCs w:val="20"/>
          <w:lang w:val="en-US"/>
        </w:rPr>
        <w:t xml:space="preserve"> and the representatives</w:t>
      </w:r>
      <w:bookmarkEnd w:id="56"/>
    </w:p>
    <w:p w14:paraId="79A2B496" w14:textId="77777777" w:rsidR="00DD00E7" w:rsidRPr="00AC57EA" w:rsidRDefault="00DD00E7" w:rsidP="00DD00E7">
      <w:pPr>
        <w:tabs>
          <w:tab w:val="left" w:pos="720"/>
        </w:tabs>
        <w:spacing w:line="240" w:lineRule="auto"/>
        <w:rPr>
          <w:bCs/>
          <w:sz w:val="20"/>
          <w:szCs w:val="20"/>
          <w:lang w:val="en-US"/>
        </w:rPr>
      </w:pPr>
    </w:p>
    <w:p w14:paraId="71F6C9B6" w14:textId="06FC3588" w:rsidR="00DD00E7" w:rsidRPr="00AC57EA" w:rsidRDefault="00EC52D7" w:rsidP="003063A0">
      <w:pPr>
        <w:numPr>
          <w:ilvl w:val="0"/>
          <w:numId w:val="2"/>
        </w:numPr>
        <w:tabs>
          <w:tab w:val="left" w:pos="567"/>
          <w:tab w:val="num" w:pos="12305"/>
        </w:tabs>
        <w:spacing w:line="240" w:lineRule="auto"/>
        <w:ind w:left="0" w:firstLine="0"/>
        <w:rPr>
          <w:lang w:val="en-US"/>
        </w:rPr>
      </w:pPr>
      <w:r w:rsidRPr="00AC57EA">
        <w:rPr>
          <w:rFonts w:cs="Arial"/>
          <w:sz w:val="20"/>
          <w:szCs w:val="20"/>
          <w:lang w:val="en-US"/>
        </w:rPr>
        <w:t xml:space="preserve">The </w:t>
      </w:r>
      <w:r w:rsidRPr="00AC57EA">
        <w:rPr>
          <w:rFonts w:cs="Arial"/>
          <w:b/>
          <w:bCs/>
          <w:i/>
          <w:iCs/>
          <w:sz w:val="20"/>
          <w:szCs w:val="20"/>
          <w:lang w:val="en-US"/>
        </w:rPr>
        <w:t>State</w:t>
      </w:r>
      <w:r w:rsidR="00DD00E7" w:rsidRPr="00AC57EA">
        <w:rPr>
          <w:rFonts w:eastAsia="Calibri" w:cs="Arial"/>
          <w:sz w:val="20"/>
          <w:szCs w:val="20"/>
          <w:lang w:val="en-US" w:eastAsia="en-US"/>
        </w:rPr>
        <w:t xml:space="preserve"> </w:t>
      </w:r>
      <w:r w:rsidR="007F03A0" w:rsidRPr="00AC57EA">
        <w:rPr>
          <w:rFonts w:eastAsia="Calibri" w:cs="Arial"/>
          <w:sz w:val="20"/>
          <w:szCs w:val="20"/>
          <w:lang w:val="en-US" w:eastAsia="en-US"/>
        </w:rPr>
        <w:t>filed a</w:t>
      </w:r>
      <w:r w:rsidR="00DD00E7" w:rsidRPr="00AC57EA">
        <w:rPr>
          <w:rFonts w:eastAsia="Calibri" w:cs="Arial"/>
          <w:sz w:val="20"/>
          <w:szCs w:val="20"/>
          <w:lang w:val="en-US" w:eastAsia="en-US"/>
        </w:rPr>
        <w:t xml:space="preserve"> </w:t>
      </w:r>
      <w:r w:rsidR="00DF2B30" w:rsidRPr="00AC57EA">
        <w:rPr>
          <w:rFonts w:eastAsia="Calibri" w:cs="Arial"/>
          <w:sz w:val="20"/>
          <w:szCs w:val="20"/>
          <w:lang w:val="en-US" w:eastAsia="en-US"/>
        </w:rPr>
        <w:t>preliminary objection</w:t>
      </w:r>
      <w:r w:rsidR="00DD00E7" w:rsidRPr="00AC57EA">
        <w:rPr>
          <w:rFonts w:eastAsia="Calibri" w:cs="Arial"/>
          <w:sz w:val="20"/>
          <w:szCs w:val="20"/>
          <w:lang w:val="en-US" w:eastAsia="en-US"/>
        </w:rPr>
        <w:t xml:space="preserve"> </w:t>
      </w:r>
      <w:r w:rsidR="007F03A0" w:rsidRPr="00AC57EA">
        <w:rPr>
          <w:rFonts w:eastAsia="Calibri" w:cs="Arial"/>
          <w:sz w:val="20"/>
          <w:szCs w:val="20"/>
          <w:lang w:val="en-US" w:eastAsia="en-US"/>
        </w:rPr>
        <w:t xml:space="preserve">alleging the Court’s lack of jurisdiction </w:t>
      </w:r>
      <w:r w:rsidR="00DD00E7" w:rsidRPr="00AC57EA">
        <w:rPr>
          <w:rFonts w:eastAsia="Calibri" w:cs="Arial"/>
          <w:i/>
          <w:sz w:val="20"/>
          <w:szCs w:val="20"/>
          <w:lang w:val="en-US" w:eastAsia="en-US"/>
        </w:rPr>
        <w:t>ratione materiae</w:t>
      </w:r>
      <w:r w:rsidR="00B7258C" w:rsidRPr="00AC57EA">
        <w:rPr>
          <w:rFonts w:eastAsia="Calibri" w:cs="Arial"/>
          <w:sz w:val="20"/>
          <w:szCs w:val="20"/>
          <w:lang w:val="en-US" w:eastAsia="en-US"/>
        </w:rPr>
        <w:t xml:space="preserve"> </w:t>
      </w:r>
      <w:r w:rsidR="007F03A0" w:rsidRPr="00AC57EA">
        <w:rPr>
          <w:rFonts w:eastAsia="Calibri" w:cs="Arial"/>
          <w:sz w:val="20"/>
          <w:szCs w:val="20"/>
          <w:lang w:val="en-US" w:eastAsia="en-US"/>
        </w:rPr>
        <w:t xml:space="preserve">owing to </w:t>
      </w:r>
      <w:r w:rsidR="00171E27" w:rsidRPr="00AC57EA">
        <w:rPr>
          <w:rFonts w:eastAsia="Calibri" w:cs="Arial"/>
          <w:sz w:val="20"/>
          <w:szCs w:val="20"/>
          <w:lang w:val="en-US" w:eastAsia="en-US"/>
        </w:rPr>
        <w:t>the representatives</w:t>
      </w:r>
      <w:r w:rsidR="00E35FE7" w:rsidRPr="00AC57EA">
        <w:rPr>
          <w:rFonts w:eastAsia="Calibri" w:cs="Arial"/>
          <w:sz w:val="20"/>
          <w:szCs w:val="20"/>
          <w:lang w:val="en-US" w:eastAsia="en-US"/>
        </w:rPr>
        <w:t>’ wish</w:t>
      </w:r>
      <w:r w:rsidR="00DD00E7" w:rsidRPr="00AC57EA">
        <w:rPr>
          <w:rFonts w:eastAsia="Calibri" w:cs="Arial"/>
          <w:sz w:val="20"/>
          <w:szCs w:val="20"/>
          <w:lang w:val="en-US" w:eastAsia="en-US"/>
        </w:rPr>
        <w:t xml:space="preserve"> </w:t>
      </w:r>
      <w:r w:rsidR="007F03A0" w:rsidRPr="00AC57EA">
        <w:rPr>
          <w:rFonts w:eastAsia="Calibri" w:cs="Arial"/>
          <w:sz w:val="20"/>
          <w:szCs w:val="20"/>
          <w:lang w:val="en-US" w:eastAsia="en-US"/>
        </w:rPr>
        <w:t>to submit to the consideration of, and assessment by</w:t>
      </w:r>
      <w:r w:rsidR="003063A0" w:rsidRPr="00AC57EA">
        <w:rPr>
          <w:rFonts w:eastAsia="Calibri" w:cs="Arial"/>
          <w:sz w:val="20"/>
          <w:szCs w:val="20"/>
          <w:lang w:val="en-US" w:eastAsia="en-US"/>
        </w:rPr>
        <w:t xml:space="preserve">, this Court of </w:t>
      </w:r>
      <w:r w:rsidR="00A05450" w:rsidRPr="00AC57EA">
        <w:rPr>
          <w:rFonts w:cstheme="minorBidi"/>
          <w:sz w:val="20"/>
          <w:szCs w:val="20"/>
          <w:lang w:val="en-US" w:eastAsia="en-US"/>
        </w:rPr>
        <w:t>Articles 2(1), 3(1)</w:t>
      </w:r>
      <w:r w:rsidR="00E35FE7" w:rsidRPr="00AC57EA">
        <w:rPr>
          <w:rFonts w:cstheme="minorBidi"/>
          <w:sz w:val="20"/>
          <w:szCs w:val="20"/>
          <w:lang w:val="en-US" w:eastAsia="en-US"/>
        </w:rPr>
        <w:t xml:space="preserve"> and </w:t>
      </w:r>
      <w:r w:rsidR="00A05450" w:rsidRPr="00AC57EA">
        <w:rPr>
          <w:rFonts w:cstheme="minorBidi"/>
          <w:sz w:val="20"/>
          <w:szCs w:val="20"/>
          <w:lang w:val="en-US" w:eastAsia="en-US"/>
        </w:rPr>
        <w:t xml:space="preserve">(2), 4, 16, </w:t>
      </w:r>
      <w:r w:rsidR="00E35FE7" w:rsidRPr="00AC57EA">
        <w:rPr>
          <w:rFonts w:cstheme="minorBidi"/>
          <w:sz w:val="20"/>
          <w:szCs w:val="20"/>
          <w:lang w:val="en-US" w:eastAsia="en-US"/>
        </w:rPr>
        <w:t xml:space="preserve">and </w:t>
      </w:r>
      <w:r w:rsidR="00A05450" w:rsidRPr="00AC57EA">
        <w:rPr>
          <w:rFonts w:cstheme="minorBidi"/>
          <w:sz w:val="20"/>
          <w:szCs w:val="20"/>
          <w:lang w:val="en-US" w:eastAsia="en-US"/>
        </w:rPr>
        <w:t>24(1) and</w:t>
      </w:r>
      <w:r w:rsidR="00E35FE7" w:rsidRPr="00AC57EA">
        <w:rPr>
          <w:rFonts w:cstheme="minorBidi"/>
          <w:sz w:val="20"/>
          <w:szCs w:val="20"/>
          <w:lang w:val="en-US" w:eastAsia="en-US"/>
        </w:rPr>
        <w:t xml:space="preserve"> </w:t>
      </w:r>
      <w:r w:rsidR="00A05450" w:rsidRPr="00AC57EA">
        <w:rPr>
          <w:rFonts w:cstheme="minorBidi"/>
          <w:sz w:val="20"/>
          <w:szCs w:val="20"/>
          <w:lang w:val="en-US" w:eastAsia="en-US"/>
        </w:rPr>
        <w:t>(2)</w:t>
      </w:r>
      <w:r w:rsidR="003063A0" w:rsidRPr="00AC57EA">
        <w:rPr>
          <w:rFonts w:eastAsia="Calibri" w:cs="Arial"/>
          <w:sz w:val="20"/>
          <w:szCs w:val="20"/>
          <w:lang w:val="en-US" w:eastAsia="en-US"/>
        </w:rPr>
        <w:t xml:space="preserve"> </w:t>
      </w:r>
      <w:r w:rsidR="00B7258C" w:rsidRPr="00AC57EA">
        <w:rPr>
          <w:rFonts w:eastAsia="Calibri" w:cs="Arial"/>
          <w:sz w:val="20"/>
          <w:szCs w:val="20"/>
          <w:lang w:val="en-US" w:eastAsia="en-US"/>
        </w:rPr>
        <w:t xml:space="preserve">of the </w:t>
      </w:r>
      <w:r w:rsidR="00171E27" w:rsidRPr="00AC57EA">
        <w:rPr>
          <w:rFonts w:eastAsia="Calibri" w:cs="Arial"/>
          <w:sz w:val="20"/>
          <w:szCs w:val="20"/>
          <w:lang w:val="en-US" w:eastAsia="en-US"/>
        </w:rPr>
        <w:t>Convention on the Rights of the Child</w:t>
      </w:r>
      <w:r w:rsidR="00DD00E7" w:rsidRPr="00AC57EA">
        <w:rPr>
          <w:rFonts w:eastAsia="Calibri" w:cs="Arial"/>
          <w:sz w:val="20"/>
          <w:szCs w:val="20"/>
          <w:lang w:val="en-US" w:eastAsia="en-US"/>
        </w:rPr>
        <w:t xml:space="preserve">, </w:t>
      </w:r>
      <w:r w:rsidR="003063A0" w:rsidRPr="00AC57EA">
        <w:rPr>
          <w:rFonts w:eastAsia="Calibri" w:cs="Arial"/>
          <w:sz w:val="20"/>
          <w:szCs w:val="20"/>
          <w:lang w:val="en-US" w:eastAsia="en-US"/>
        </w:rPr>
        <w:t xml:space="preserve">in relation to </w:t>
      </w:r>
      <w:r w:rsidRPr="00AC57EA">
        <w:rPr>
          <w:rFonts w:eastAsia="Calibri" w:cs="Arial"/>
          <w:sz w:val="20"/>
          <w:szCs w:val="20"/>
          <w:lang w:val="en-US" w:eastAsia="en-US"/>
        </w:rPr>
        <w:t>the presumed victim</w:t>
      </w:r>
      <w:r w:rsidR="00E35FE7" w:rsidRPr="00AC57EA">
        <w:rPr>
          <w:rFonts w:eastAsia="Calibri" w:cs="Arial"/>
          <w:sz w:val="20"/>
          <w:szCs w:val="20"/>
          <w:lang w:val="en-US" w:eastAsia="en-US"/>
        </w:rPr>
        <w:t>,</w:t>
      </w:r>
      <w:r w:rsidR="00DD00E7" w:rsidRPr="00AC57EA">
        <w:rPr>
          <w:rFonts w:eastAsia="Calibri" w:cs="Arial"/>
          <w:sz w:val="20"/>
          <w:szCs w:val="20"/>
          <w:lang w:val="en-US" w:eastAsia="en-US"/>
        </w:rPr>
        <w:t xml:space="preserve"> V.R.P. </w:t>
      </w:r>
      <w:r w:rsidR="003063A0" w:rsidRPr="00AC57EA">
        <w:rPr>
          <w:rFonts w:eastAsia="Calibri" w:cs="Arial"/>
          <w:sz w:val="20"/>
          <w:szCs w:val="20"/>
          <w:lang w:val="en-US" w:eastAsia="en-US"/>
        </w:rPr>
        <w:t xml:space="preserve">In this regard, it argued that, according to </w:t>
      </w:r>
      <w:r w:rsidR="00B7258C" w:rsidRPr="00AC57EA">
        <w:rPr>
          <w:rFonts w:eastAsia="Calibri" w:cs="Arial"/>
          <w:sz w:val="20"/>
          <w:szCs w:val="20"/>
          <w:lang w:val="en-US" w:eastAsia="en-US"/>
        </w:rPr>
        <w:t>Article</w:t>
      </w:r>
      <w:r w:rsidR="00DD00E7" w:rsidRPr="00AC57EA">
        <w:rPr>
          <w:rFonts w:eastAsia="Calibri" w:cs="Arial"/>
          <w:sz w:val="20"/>
          <w:szCs w:val="20"/>
          <w:lang w:val="en-US" w:eastAsia="en-US"/>
        </w:rPr>
        <w:t xml:space="preserve"> 62</w:t>
      </w:r>
      <w:r w:rsidR="00B7258C" w:rsidRPr="00AC57EA">
        <w:rPr>
          <w:rFonts w:eastAsia="Calibri" w:cs="Arial"/>
          <w:sz w:val="20"/>
          <w:szCs w:val="20"/>
          <w:lang w:val="en-US" w:eastAsia="en-US"/>
        </w:rPr>
        <w:t xml:space="preserve"> of the Convention</w:t>
      </w:r>
      <w:r w:rsidR="00DD00E7" w:rsidRPr="00AC57EA">
        <w:rPr>
          <w:rFonts w:eastAsia="Calibri" w:cs="Arial"/>
          <w:sz w:val="20"/>
          <w:szCs w:val="20"/>
          <w:lang w:val="en-US" w:eastAsia="en-US"/>
        </w:rPr>
        <w:t xml:space="preserve">, </w:t>
      </w:r>
      <w:r w:rsidR="00E35FE7" w:rsidRPr="00AC57EA">
        <w:rPr>
          <w:rFonts w:eastAsia="Calibri" w:cs="Arial"/>
          <w:sz w:val="20"/>
          <w:szCs w:val="20"/>
          <w:lang w:val="en-US" w:eastAsia="en-US"/>
        </w:rPr>
        <w:t xml:space="preserve">the </w:t>
      </w:r>
      <w:r w:rsidR="003063A0" w:rsidRPr="00AC57EA">
        <w:rPr>
          <w:rFonts w:eastAsia="Calibri" w:cs="Arial"/>
          <w:sz w:val="20"/>
          <w:szCs w:val="20"/>
          <w:lang w:val="en-US" w:eastAsia="en-US"/>
        </w:rPr>
        <w:t xml:space="preserve">disputes submitted to the Court may only refer to the interpretation and application of the provisions of the American Convention and its two supplementary Protocols. The State also indicated that Article 1 of the Court’s Statute clearly </w:t>
      </w:r>
      <w:r w:rsidR="00E35FE7" w:rsidRPr="00AC57EA">
        <w:rPr>
          <w:rFonts w:eastAsia="Calibri" w:cs="Arial"/>
          <w:sz w:val="20"/>
          <w:szCs w:val="20"/>
          <w:lang w:val="en-US" w:eastAsia="en-US"/>
        </w:rPr>
        <w:t>established</w:t>
      </w:r>
      <w:r w:rsidR="003063A0" w:rsidRPr="00AC57EA">
        <w:rPr>
          <w:rFonts w:eastAsia="Calibri" w:cs="Arial"/>
          <w:sz w:val="20"/>
          <w:szCs w:val="20"/>
          <w:lang w:val="en-US" w:eastAsia="en-US"/>
        </w:rPr>
        <w:t xml:space="preserve"> that its purpose is the interpretation and application of the American Convention</w:t>
      </w:r>
      <w:r w:rsidR="00E35FE7" w:rsidRPr="00AC57EA">
        <w:rPr>
          <w:rFonts w:eastAsia="Calibri" w:cs="Arial"/>
          <w:sz w:val="20"/>
          <w:szCs w:val="20"/>
          <w:lang w:val="en-US" w:eastAsia="en-US"/>
        </w:rPr>
        <w:t>; therefore,</w:t>
      </w:r>
      <w:r w:rsidR="003063A0" w:rsidRPr="00AC57EA">
        <w:rPr>
          <w:rFonts w:eastAsia="Calibri" w:cs="Arial"/>
          <w:sz w:val="20"/>
          <w:szCs w:val="20"/>
          <w:lang w:val="en-US" w:eastAsia="en-US"/>
        </w:rPr>
        <w:t xml:space="preserve"> the Court does not have jurisdiction with regard to other international treaties that are not part of the inter-American system. Consequently, according to the State, the Court </w:t>
      </w:r>
      <w:r w:rsidR="00E35FE7" w:rsidRPr="00AC57EA">
        <w:rPr>
          <w:rFonts w:eastAsia="Calibri" w:cs="Arial"/>
          <w:sz w:val="20"/>
          <w:szCs w:val="20"/>
          <w:lang w:val="en-US" w:eastAsia="en-US"/>
        </w:rPr>
        <w:t xml:space="preserve">did </w:t>
      </w:r>
      <w:r w:rsidR="003063A0" w:rsidRPr="00AC57EA">
        <w:rPr>
          <w:rFonts w:eastAsia="Calibri" w:cs="Arial"/>
          <w:sz w:val="20"/>
          <w:szCs w:val="20"/>
          <w:lang w:val="en-US" w:eastAsia="en-US"/>
        </w:rPr>
        <w:t xml:space="preserve">not have jurisdiction to decide on compliance with obligations </w:t>
      </w:r>
      <w:r w:rsidR="00E35FE7" w:rsidRPr="00AC57EA">
        <w:rPr>
          <w:rFonts w:eastAsia="Calibri" w:cs="Arial"/>
          <w:sz w:val="20"/>
          <w:szCs w:val="20"/>
          <w:lang w:val="en-US" w:eastAsia="en-US"/>
        </w:rPr>
        <w:t>arising</w:t>
      </w:r>
      <w:r w:rsidR="003063A0" w:rsidRPr="00AC57EA">
        <w:rPr>
          <w:rFonts w:eastAsia="Calibri" w:cs="Arial"/>
          <w:sz w:val="20"/>
          <w:szCs w:val="20"/>
          <w:lang w:val="en-US" w:eastAsia="en-US"/>
        </w:rPr>
        <w:t xml:space="preserve"> from instruments that are not part of the inter-American system, such as </w:t>
      </w:r>
      <w:r w:rsidR="00B7258C" w:rsidRPr="00AC57EA">
        <w:rPr>
          <w:rFonts w:eastAsia="Calibri" w:cs="Arial"/>
          <w:sz w:val="20"/>
          <w:szCs w:val="20"/>
          <w:lang w:val="en-US" w:eastAsia="en-US"/>
        </w:rPr>
        <w:t xml:space="preserve">the </w:t>
      </w:r>
      <w:r w:rsidR="00171E27" w:rsidRPr="00AC57EA">
        <w:rPr>
          <w:rFonts w:eastAsia="Calibri" w:cs="Arial"/>
          <w:sz w:val="20"/>
          <w:szCs w:val="20"/>
          <w:lang w:val="en-US" w:eastAsia="en-US"/>
        </w:rPr>
        <w:t>Convention on the Rights of the Child</w:t>
      </w:r>
      <w:r w:rsidR="00B561AB" w:rsidRPr="00AC57EA">
        <w:rPr>
          <w:rFonts w:eastAsia="Calibri" w:cs="Arial"/>
          <w:sz w:val="20"/>
          <w:szCs w:val="20"/>
          <w:lang w:val="en-US" w:eastAsia="en-US"/>
        </w:rPr>
        <w:t xml:space="preserve">, </w:t>
      </w:r>
      <w:r w:rsidR="00142930" w:rsidRPr="00AC57EA">
        <w:rPr>
          <w:rFonts w:eastAsia="Calibri" w:cs="Arial"/>
          <w:sz w:val="20"/>
          <w:szCs w:val="20"/>
          <w:lang w:val="en-US" w:eastAsia="en-US"/>
        </w:rPr>
        <w:t>which establishes the Committee</w:t>
      </w:r>
      <w:r w:rsidR="00DD00E7" w:rsidRPr="00AC57EA">
        <w:rPr>
          <w:rFonts w:eastAsia="Calibri" w:cs="Arial"/>
          <w:sz w:val="20"/>
          <w:szCs w:val="20"/>
          <w:lang w:val="en-US" w:eastAsia="en-US"/>
        </w:rPr>
        <w:t xml:space="preserve"> </w:t>
      </w:r>
      <w:r w:rsidR="00142930" w:rsidRPr="00AC57EA">
        <w:rPr>
          <w:rFonts w:eastAsia="Calibri" w:cs="Arial"/>
          <w:sz w:val="20"/>
          <w:szCs w:val="20"/>
          <w:lang w:val="en-US" w:eastAsia="en-US"/>
        </w:rPr>
        <w:t xml:space="preserve">on the Rights of the Child as its own special treaty body. On this basis, the State asked the Court to exclude </w:t>
      </w:r>
      <w:r w:rsidR="00A05450" w:rsidRPr="00AC57EA">
        <w:rPr>
          <w:rFonts w:cstheme="minorBidi"/>
          <w:sz w:val="20"/>
          <w:szCs w:val="20"/>
          <w:lang w:val="en-US" w:eastAsia="en-US"/>
        </w:rPr>
        <w:t xml:space="preserve">Articles </w:t>
      </w:r>
      <w:r w:rsidR="00CF5B77" w:rsidRPr="00AC57EA">
        <w:rPr>
          <w:rFonts w:cstheme="minorBidi"/>
          <w:sz w:val="20"/>
          <w:szCs w:val="20"/>
          <w:lang w:val="en-US" w:eastAsia="en-US"/>
        </w:rPr>
        <w:t xml:space="preserve">2(1), 3(1) and (2), 4, 16, </w:t>
      </w:r>
      <w:r w:rsidR="00E35FE7" w:rsidRPr="00AC57EA">
        <w:rPr>
          <w:rFonts w:cstheme="minorBidi"/>
          <w:sz w:val="20"/>
          <w:szCs w:val="20"/>
          <w:lang w:val="en-US" w:eastAsia="en-US"/>
        </w:rPr>
        <w:t xml:space="preserve">and </w:t>
      </w:r>
      <w:r w:rsidR="00CF5B77" w:rsidRPr="00AC57EA">
        <w:rPr>
          <w:rFonts w:cstheme="minorBidi"/>
          <w:sz w:val="20"/>
          <w:szCs w:val="20"/>
          <w:lang w:val="en-US" w:eastAsia="en-US"/>
        </w:rPr>
        <w:t>24(1) and (2)</w:t>
      </w:r>
      <w:r w:rsidR="00A05450" w:rsidRPr="00AC57EA">
        <w:rPr>
          <w:rFonts w:cstheme="minorBidi"/>
          <w:sz w:val="20"/>
          <w:szCs w:val="20"/>
          <w:lang w:val="en-US" w:eastAsia="en-US"/>
        </w:rPr>
        <w:t xml:space="preserve"> </w:t>
      </w:r>
      <w:r w:rsidR="00142930" w:rsidRPr="00AC57EA">
        <w:rPr>
          <w:rFonts w:eastAsia="Calibri" w:cs="Arial"/>
          <w:sz w:val="20"/>
          <w:szCs w:val="20"/>
          <w:lang w:val="en-US" w:eastAsia="en-US"/>
        </w:rPr>
        <w:t>of the Convention on the Rights of the Child from its assessment.</w:t>
      </w:r>
      <w:r w:rsidR="00142930" w:rsidRPr="00AC57EA">
        <w:rPr>
          <w:rFonts w:eastAsia="Calibri" w:cs="Arial"/>
          <w:sz w:val="20"/>
          <w:szCs w:val="20"/>
          <w:lang w:val="en-US" w:eastAsia="en-US"/>
        </w:rPr>
        <w:tab/>
      </w:r>
      <w:r w:rsidR="00DD00E7" w:rsidRPr="00AC57EA">
        <w:rPr>
          <w:rFonts w:eastAsia="Calibri" w:cs="Arial"/>
          <w:sz w:val="20"/>
          <w:szCs w:val="20"/>
          <w:lang w:val="en-US" w:eastAsia="en-US"/>
        </w:rPr>
        <w:t xml:space="preserve"> </w:t>
      </w:r>
      <w:r w:rsidR="00B561AB" w:rsidRPr="00AC57EA">
        <w:rPr>
          <w:rFonts w:eastAsia="Calibri" w:cs="Arial"/>
          <w:sz w:val="20"/>
          <w:szCs w:val="20"/>
          <w:lang w:val="en-US" w:eastAsia="en-US"/>
        </w:rPr>
        <w:t>como</w:t>
      </w:r>
      <w:r w:rsidR="00DD00E7" w:rsidRPr="00AC57EA">
        <w:rPr>
          <w:rFonts w:eastAsia="Calibri" w:cs="Arial"/>
          <w:sz w:val="20"/>
          <w:szCs w:val="20"/>
          <w:lang w:val="en-US" w:eastAsia="en-US"/>
        </w:rPr>
        <w:t xml:space="preserve"> </w:t>
      </w:r>
      <w:r w:rsidR="000B6728" w:rsidRPr="00AC57EA">
        <w:rPr>
          <w:rFonts w:eastAsia="Calibri" w:cs="Arial"/>
          <w:sz w:val="20"/>
          <w:szCs w:val="20"/>
          <w:lang w:val="en-US" w:eastAsia="en-US"/>
        </w:rPr>
        <w:t>organon</w:t>
      </w:r>
      <w:r w:rsidR="00DD00E7" w:rsidRPr="00AC57EA">
        <w:rPr>
          <w:rFonts w:eastAsia="Calibri" w:cs="Arial"/>
          <w:sz w:val="20"/>
          <w:szCs w:val="20"/>
          <w:lang w:val="en-US" w:eastAsia="en-US"/>
        </w:rPr>
        <w:t xml:space="preserve"> </w:t>
      </w:r>
      <w:r w:rsidR="0000161F" w:rsidRPr="00AC57EA">
        <w:rPr>
          <w:rFonts w:eastAsia="Calibri" w:cs="Arial"/>
          <w:sz w:val="20"/>
          <w:szCs w:val="20"/>
          <w:lang w:val="en-US" w:eastAsia="en-US"/>
        </w:rPr>
        <w:t>specialized</w:t>
      </w:r>
      <w:r w:rsidR="00DD00E7" w:rsidRPr="00AC57EA">
        <w:rPr>
          <w:rFonts w:eastAsia="Calibri" w:cs="Arial"/>
          <w:sz w:val="20"/>
          <w:szCs w:val="20"/>
          <w:lang w:val="en-US" w:eastAsia="en-US"/>
        </w:rPr>
        <w:t xml:space="preserve"> propio. Por lo expuesto, </w:t>
      </w:r>
      <w:r w:rsidRPr="00AC57EA">
        <w:rPr>
          <w:rFonts w:eastAsia="Calibri" w:cs="Arial"/>
          <w:sz w:val="20"/>
          <w:szCs w:val="20"/>
          <w:lang w:val="en-US" w:eastAsia="en-US"/>
        </w:rPr>
        <w:t>the State</w:t>
      </w:r>
      <w:r w:rsidR="00DD00E7" w:rsidRPr="00AC57EA">
        <w:rPr>
          <w:rFonts w:eastAsia="Calibri" w:cs="Arial"/>
          <w:sz w:val="20"/>
          <w:szCs w:val="20"/>
          <w:lang w:val="en-US" w:eastAsia="en-US"/>
        </w:rPr>
        <w:t xml:space="preserve"> solicitó a </w:t>
      </w:r>
      <w:r w:rsidR="00B7258C" w:rsidRPr="00AC57EA">
        <w:rPr>
          <w:rFonts w:eastAsia="Calibri" w:cs="Arial"/>
          <w:sz w:val="20"/>
          <w:szCs w:val="20"/>
          <w:lang w:val="en-US" w:eastAsia="en-US"/>
        </w:rPr>
        <w:t>the Court</w:t>
      </w:r>
      <w:r w:rsidR="00DD00E7" w:rsidRPr="00AC57EA">
        <w:rPr>
          <w:rFonts w:eastAsia="Calibri" w:cs="Arial"/>
          <w:sz w:val="20"/>
          <w:szCs w:val="20"/>
          <w:lang w:val="en-US" w:eastAsia="en-US"/>
        </w:rPr>
        <w:t xml:space="preserve"> que</w:t>
      </w:r>
      <w:r w:rsidR="00FA0912" w:rsidRPr="00AC57EA">
        <w:rPr>
          <w:rFonts w:eastAsia="Calibri" w:cs="Arial"/>
          <w:sz w:val="20"/>
          <w:szCs w:val="20"/>
          <w:lang w:val="en-US" w:eastAsia="en-US"/>
        </w:rPr>
        <w:t xml:space="preserve"> </w:t>
      </w:r>
      <w:r w:rsidR="00DD00E7" w:rsidRPr="00AC57EA">
        <w:rPr>
          <w:rFonts w:eastAsia="Calibri" w:cs="Arial"/>
          <w:sz w:val="20"/>
          <w:szCs w:val="20"/>
          <w:lang w:val="en-US" w:eastAsia="en-US"/>
        </w:rPr>
        <w:t xml:space="preserve">excluya en su valoración la </w:t>
      </w:r>
      <w:r w:rsidR="00474CE5" w:rsidRPr="00AC57EA">
        <w:rPr>
          <w:rFonts w:eastAsia="Calibri" w:cs="Arial"/>
          <w:sz w:val="20"/>
          <w:szCs w:val="20"/>
          <w:lang w:val="en-US" w:eastAsia="en-US"/>
        </w:rPr>
        <w:t>application</w:t>
      </w:r>
      <w:r w:rsidR="00DD00E7" w:rsidRPr="00AC57EA">
        <w:rPr>
          <w:rFonts w:eastAsia="Calibri" w:cs="Arial"/>
          <w:sz w:val="20"/>
          <w:szCs w:val="20"/>
          <w:lang w:val="en-US" w:eastAsia="en-US"/>
        </w:rPr>
        <w:t xml:space="preserve"> de </w:t>
      </w:r>
      <w:r w:rsidR="00B7258C" w:rsidRPr="00AC57EA">
        <w:rPr>
          <w:rFonts w:eastAsia="Calibri" w:cs="Arial"/>
          <w:sz w:val="20"/>
          <w:szCs w:val="20"/>
          <w:lang w:val="en-US" w:eastAsia="en-US"/>
        </w:rPr>
        <w:t>Articles</w:t>
      </w:r>
      <w:r w:rsidR="00DD00E7" w:rsidRPr="00AC57EA">
        <w:rPr>
          <w:rFonts w:eastAsia="Calibri" w:cs="Arial"/>
          <w:sz w:val="20"/>
          <w:szCs w:val="20"/>
          <w:lang w:val="en-US" w:eastAsia="en-US"/>
        </w:rPr>
        <w:t xml:space="preserve"> </w:t>
      </w:r>
      <w:r w:rsidR="00171E27" w:rsidRPr="00AC57EA">
        <w:rPr>
          <w:rFonts w:eastAsia="Calibri" w:cs="Arial"/>
          <w:sz w:val="20"/>
          <w:szCs w:val="20"/>
          <w:lang w:val="en-US" w:eastAsia="en-US"/>
        </w:rPr>
        <w:t>2(1)</w:t>
      </w:r>
      <w:r w:rsidR="00DD00E7" w:rsidRPr="00AC57EA">
        <w:rPr>
          <w:rFonts w:eastAsia="Calibri" w:cs="Arial"/>
          <w:sz w:val="20"/>
          <w:szCs w:val="20"/>
          <w:lang w:val="en-US" w:eastAsia="en-US"/>
        </w:rPr>
        <w:t xml:space="preserve">, </w:t>
      </w:r>
      <w:r w:rsidR="00171E27" w:rsidRPr="00AC57EA">
        <w:rPr>
          <w:rFonts w:eastAsia="Calibri" w:cs="Arial"/>
          <w:sz w:val="20"/>
          <w:szCs w:val="20"/>
          <w:lang w:val="en-US" w:eastAsia="en-US"/>
        </w:rPr>
        <w:t xml:space="preserve">3(1) and </w:t>
      </w:r>
      <w:r w:rsidR="00DD00E7" w:rsidRPr="00AC57EA">
        <w:rPr>
          <w:rFonts w:eastAsia="Calibri" w:cs="Arial"/>
          <w:sz w:val="20"/>
          <w:szCs w:val="20"/>
          <w:lang w:val="en-US" w:eastAsia="en-US"/>
        </w:rPr>
        <w:t xml:space="preserve">2, 4, 16, </w:t>
      </w:r>
      <w:r w:rsidR="00171E27" w:rsidRPr="00AC57EA">
        <w:rPr>
          <w:rFonts w:eastAsia="Calibri" w:cs="Arial"/>
          <w:sz w:val="20"/>
          <w:szCs w:val="20"/>
          <w:lang w:val="en-US" w:eastAsia="en-US"/>
        </w:rPr>
        <w:t xml:space="preserve">24(1) and </w:t>
      </w:r>
      <w:r w:rsidR="003723E3" w:rsidRPr="00AC57EA">
        <w:rPr>
          <w:rFonts w:eastAsia="Calibri" w:cs="Arial"/>
          <w:sz w:val="20"/>
          <w:szCs w:val="20"/>
          <w:lang w:val="en-US" w:eastAsia="en-US"/>
        </w:rPr>
        <w:t>2</w:t>
      </w:r>
      <w:r w:rsidR="00B7258C" w:rsidRPr="00AC57EA">
        <w:rPr>
          <w:rFonts w:eastAsia="Calibri" w:cs="Arial"/>
          <w:sz w:val="20"/>
          <w:szCs w:val="20"/>
          <w:lang w:val="en-US" w:eastAsia="en-US"/>
        </w:rPr>
        <w:t xml:space="preserve"> of the </w:t>
      </w:r>
    </w:p>
    <w:p w14:paraId="23A548A0" w14:textId="77777777" w:rsidR="00DD00E7" w:rsidRPr="00AC57EA" w:rsidRDefault="00DD00E7" w:rsidP="00DD00E7">
      <w:pPr>
        <w:spacing w:line="240" w:lineRule="auto"/>
        <w:contextualSpacing/>
        <w:rPr>
          <w:sz w:val="20"/>
          <w:szCs w:val="20"/>
          <w:lang w:val="en-US"/>
        </w:rPr>
      </w:pPr>
    </w:p>
    <w:p w14:paraId="16DFDF32" w14:textId="2E8662CF" w:rsidR="00DD00E7" w:rsidRPr="00AC57EA" w:rsidRDefault="00B7258C" w:rsidP="00C8070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The </w:t>
      </w:r>
      <w:r w:rsidRPr="00AC57EA">
        <w:rPr>
          <w:b/>
          <w:bCs/>
          <w:i/>
          <w:iCs/>
          <w:sz w:val="20"/>
          <w:szCs w:val="20"/>
          <w:lang w:val="en-US"/>
        </w:rPr>
        <w:t>Commission</w:t>
      </w:r>
      <w:r w:rsidR="00DD00E7" w:rsidRPr="00AC57EA">
        <w:rPr>
          <w:sz w:val="20"/>
          <w:szCs w:val="20"/>
          <w:lang w:val="en-US"/>
        </w:rPr>
        <w:t xml:space="preserve"> observ</w:t>
      </w:r>
      <w:r w:rsidR="00142930" w:rsidRPr="00AC57EA">
        <w:rPr>
          <w:sz w:val="20"/>
          <w:szCs w:val="20"/>
          <w:lang w:val="en-US"/>
        </w:rPr>
        <w:t xml:space="preserve">ed that this objection relates to the arguments set out by </w:t>
      </w:r>
      <w:r w:rsidR="00171E27" w:rsidRPr="00AC57EA">
        <w:rPr>
          <w:sz w:val="20"/>
          <w:szCs w:val="20"/>
          <w:lang w:val="en-US"/>
        </w:rPr>
        <w:t>the representatives</w:t>
      </w:r>
      <w:r w:rsidR="00142930" w:rsidRPr="00AC57EA">
        <w:rPr>
          <w:sz w:val="20"/>
          <w:szCs w:val="20"/>
          <w:lang w:val="en-US"/>
        </w:rPr>
        <w:t xml:space="preserve"> – who are empowered to present arguments on additional rights to the Court – in their</w:t>
      </w:r>
      <w:r w:rsidR="00DD00E7" w:rsidRPr="00AC57EA">
        <w:rPr>
          <w:sz w:val="20"/>
          <w:szCs w:val="20"/>
          <w:lang w:val="en-US"/>
        </w:rPr>
        <w:t xml:space="preserve"> </w:t>
      </w:r>
      <w:r w:rsidR="00142930" w:rsidRPr="00AC57EA">
        <w:rPr>
          <w:sz w:val="20"/>
          <w:szCs w:val="20"/>
          <w:lang w:val="en-US"/>
        </w:rPr>
        <w:t>b</w:t>
      </w:r>
      <w:r w:rsidR="00171E27" w:rsidRPr="00AC57EA">
        <w:rPr>
          <w:sz w:val="20"/>
          <w:szCs w:val="20"/>
          <w:lang w:val="en-US"/>
        </w:rPr>
        <w:t>rief with pleadings, motions and evidence</w:t>
      </w:r>
      <w:r w:rsidR="00142930" w:rsidRPr="00AC57EA">
        <w:rPr>
          <w:sz w:val="20"/>
          <w:szCs w:val="20"/>
          <w:lang w:val="en-US"/>
        </w:rPr>
        <w:t xml:space="preserve">. Nevertheless, </w:t>
      </w:r>
      <w:r w:rsidRPr="00AC57EA">
        <w:rPr>
          <w:sz w:val="20"/>
          <w:szCs w:val="20"/>
          <w:lang w:val="en-US"/>
        </w:rPr>
        <w:t>the Commission</w:t>
      </w:r>
      <w:r w:rsidR="00DD00E7" w:rsidRPr="00AC57EA">
        <w:rPr>
          <w:sz w:val="20"/>
          <w:szCs w:val="20"/>
          <w:lang w:val="en-US"/>
        </w:rPr>
        <w:t xml:space="preserve"> </w:t>
      </w:r>
      <w:r w:rsidR="00142930" w:rsidRPr="00AC57EA">
        <w:rPr>
          <w:sz w:val="20"/>
          <w:szCs w:val="20"/>
          <w:lang w:val="en-US"/>
        </w:rPr>
        <w:t xml:space="preserve">underlined that, in its Report </w:t>
      </w:r>
      <w:r w:rsidR="00D566C9" w:rsidRPr="00AC57EA">
        <w:rPr>
          <w:rFonts w:eastAsia="Verdana" w:cs="Verdana"/>
          <w:sz w:val="20"/>
          <w:szCs w:val="20"/>
          <w:lang w:val="en-US"/>
        </w:rPr>
        <w:t>No. 4/16</w:t>
      </w:r>
      <w:r w:rsidR="00142930" w:rsidRPr="00AC57EA">
        <w:rPr>
          <w:rFonts w:eastAsia="Verdana" w:cs="Verdana"/>
          <w:sz w:val="20"/>
          <w:szCs w:val="20"/>
          <w:lang w:val="en-US"/>
        </w:rPr>
        <w:t xml:space="preserve">, it had not established violations </w:t>
      </w:r>
      <w:r w:rsidRPr="00AC57EA">
        <w:rPr>
          <w:sz w:val="20"/>
          <w:szCs w:val="20"/>
          <w:lang w:val="en-US"/>
        </w:rPr>
        <w:t xml:space="preserve">of the </w:t>
      </w:r>
      <w:r w:rsidR="00171E27" w:rsidRPr="00AC57EA">
        <w:rPr>
          <w:sz w:val="20"/>
          <w:szCs w:val="20"/>
          <w:lang w:val="en-US"/>
        </w:rPr>
        <w:t>Convention on the Rights of the Child</w:t>
      </w:r>
      <w:r w:rsidR="00DF395C" w:rsidRPr="00AC57EA">
        <w:rPr>
          <w:sz w:val="20"/>
          <w:szCs w:val="20"/>
          <w:lang w:val="en-US"/>
        </w:rPr>
        <w:t>,</w:t>
      </w:r>
      <w:r w:rsidR="00DD00E7" w:rsidRPr="00AC57EA">
        <w:rPr>
          <w:sz w:val="20"/>
          <w:szCs w:val="20"/>
          <w:lang w:val="en-US"/>
        </w:rPr>
        <w:t xml:space="preserve"> </w:t>
      </w:r>
      <w:r w:rsidR="00142930" w:rsidRPr="00AC57EA">
        <w:rPr>
          <w:sz w:val="20"/>
          <w:szCs w:val="20"/>
          <w:lang w:val="en-US"/>
        </w:rPr>
        <w:t xml:space="preserve">but rather had used this instrument as part of the relevant international </w:t>
      </w:r>
      <w:r w:rsidR="0089592D" w:rsidRPr="00AC57EA">
        <w:rPr>
          <w:i/>
          <w:sz w:val="20"/>
          <w:szCs w:val="20"/>
          <w:lang w:val="en-US"/>
        </w:rPr>
        <w:t>corpus j</w:t>
      </w:r>
      <w:r w:rsidR="00DD00E7" w:rsidRPr="00AC57EA">
        <w:rPr>
          <w:i/>
          <w:sz w:val="20"/>
          <w:szCs w:val="20"/>
          <w:lang w:val="en-US"/>
        </w:rPr>
        <w:t>uris</w:t>
      </w:r>
      <w:r w:rsidR="00DD00E7" w:rsidRPr="00AC57EA">
        <w:rPr>
          <w:sz w:val="20"/>
          <w:szCs w:val="20"/>
          <w:lang w:val="en-US"/>
        </w:rPr>
        <w:t xml:space="preserve"> </w:t>
      </w:r>
      <w:r w:rsidR="00142930" w:rsidRPr="00AC57EA">
        <w:rPr>
          <w:sz w:val="20"/>
          <w:szCs w:val="20"/>
          <w:lang w:val="en-US"/>
        </w:rPr>
        <w:t xml:space="preserve">to provide content to the provisions </w:t>
      </w:r>
      <w:r w:rsidRPr="00AC57EA">
        <w:rPr>
          <w:sz w:val="20"/>
          <w:szCs w:val="20"/>
          <w:lang w:val="en-US"/>
        </w:rPr>
        <w:t>of the American Convention</w:t>
      </w:r>
      <w:r w:rsidR="00DD00E7" w:rsidRPr="00AC57EA">
        <w:rPr>
          <w:sz w:val="20"/>
          <w:szCs w:val="20"/>
          <w:lang w:val="en-US"/>
        </w:rPr>
        <w:t>,</w:t>
      </w:r>
      <w:r w:rsidR="00142930" w:rsidRPr="00AC57EA">
        <w:rPr>
          <w:sz w:val="20"/>
          <w:szCs w:val="20"/>
          <w:lang w:val="en-US"/>
        </w:rPr>
        <w:t xml:space="preserve"> </w:t>
      </w:r>
      <w:r w:rsidR="00D57615" w:rsidRPr="00AC57EA">
        <w:rPr>
          <w:sz w:val="20"/>
          <w:szCs w:val="20"/>
          <w:lang w:val="en-US"/>
        </w:rPr>
        <w:t>which</w:t>
      </w:r>
      <w:r w:rsidR="00142930" w:rsidRPr="00AC57EA">
        <w:rPr>
          <w:sz w:val="20"/>
          <w:szCs w:val="20"/>
          <w:lang w:val="en-US"/>
        </w:rPr>
        <w:t xml:space="preserve"> was consistent with the practice of both </w:t>
      </w:r>
      <w:r w:rsidRPr="00AC57EA">
        <w:rPr>
          <w:sz w:val="20"/>
          <w:szCs w:val="20"/>
          <w:lang w:val="en-US"/>
        </w:rPr>
        <w:t>the Commission</w:t>
      </w:r>
      <w:r w:rsidR="00DD00E7" w:rsidRPr="00AC57EA">
        <w:rPr>
          <w:sz w:val="20"/>
          <w:szCs w:val="20"/>
          <w:lang w:val="en-US"/>
        </w:rPr>
        <w:t xml:space="preserve"> </w:t>
      </w:r>
      <w:r w:rsidR="00142930" w:rsidRPr="00AC57EA">
        <w:rPr>
          <w:sz w:val="20"/>
          <w:szCs w:val="20"/>
          <w:lang w:val="en-US"/>
        </w:rPr>
        <w:t>and</w:t>
      </w:r>
      <w:r w:rsidRPr="00AC57EA">
        <w:rPr>
          <w:sz w:val="20"/>
          <w:szCs w:val="20"/>
          <w:lang w:val="en-US"/>
        </w:rPr>
        <w:t xml:space="preserve"> the Court</w:t>
      </w:r>
      <w:r w:rsidR="00DD00E7" w:rsidRPr="00AC57EA">
        <w:rPr>
          <w:sz w:val="20"/>
          <w:szCs w:val="20"/>
          <w:lang w:val="en-US"/>
        </w:rPr>
        <w:t>.</w:t>
      </w:r>
    </w:p>
    <w:p w14:paraId="25823611" w14:textId="77777777" w:rsidR="00DD00E7" w:rsidRPr="00AC57EA" w:rsidRDefault="00DD00E7" w:rsidP="00DD00E7">
      <w:pPr>
        <w:spacing w:line="240" w:lineRule="auto"/>
        <w:contextualSpacing/>
        <w:rPr>
          <w:sz w:val="20"/>
          <w:szCs w:val="20"/>
          <w:lang w:val="en-US"/>
        </w:rPr>
      </w:pPr>
    </w:p>
    <w:p w14:paraId="0F60E6CC" w14:textId="1C7496B2" w:rsidR="00DD00E7" w:rsidRPr="00AC57EA" w:rsidRDefault="00171E27" w:rsidP="00142930">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The </w:t>
      </w:r>
      <w:r w:rsidRPr="00AC57EA">
        <w:rPr>
          <w:b/>
          <w:bCs/>
          <w:i/>
          <w:iCs/>
          <w:sz w:val="20"/>
          <w:szCs w:val="20"/>
          <w:lang w:val="en-US"/>
        </w:rPr>
        <w:t>representatives</w:t>
      </w:r>
      <w:r w:rsidR="00DD00E7" w:rsidRPr="00AC57EA">
        <w:rPr>
          <w:b/>
          <w:i/>
          <w:sz w:val="20"/>
          <w:szCs w:val="20"/>
          <w:lang w:val="en-US"/>
        </w:rPr>
        <w:t xml:space="preserve"> </w:t>
      </w:r>
      <w:r w:rsidR="00F75CA4" w:rsidRPr="00AC57EA">
        <w:rPr>
          <w:sz w:val="20"/>
          <w:szCs w:val="20"/>
          <w:lang w:val="en-US"/>
        </w:rPr>
        <w:t>a</w:t>
      </w:r>
      <w:r w:rsidR="00142930" w:rsidRPr="00AC57EA">
        <w:rPr>
          <w:sz w:val="20"/>
          <w:szCs w:val="20"/>
          <w:lang w:val="en-US"/>
        </w:rPr>
        <w:t xml:space="preserve">rgued that, since </w:t>
      </w:r>
      <w:r w:rsidR="00B7258C" w:rsidRPr="00AC57EA">
        <w:rPr>
          <w:sz w:val="20"/>
          <w:szCs w:val="20"/>
          <w:lang w:val="en-US"/>
        </w:rPr>
        <w:t xml:space="preserve">the </w:t>
      </w:r>
      <w:r w:rsidRPr="00AC57EA">
        <w:rPr>
          <w:sz w:val="20"/>
          <w:szCs w:val="20"/>
          <w:lang w:val="en-US"/>
        </w:rPr>
        <w:t>Convention on the Rights of the Child</w:t>
      </w:r>
      <w:r w:rsidR="00F75CA4" w:rsidRPr="00AC57EA">
        <w:rPr>
          <w:sz w:val="20"/>
          <w:szCs w:val="20"/>
          <w:lang w:val="en-US"/>
        </w:rPr>
        <w:t xml:space="preserve"> </w:t>
      </w:r>
      <w:r w:rsidR="00142930" w:rsidRPr="00AC57EA">
        <w:rPr>
          <w:sz w:val="20"/>
          <w:szCs w:val="20"/>
          <w:lang w:val="en-US"/>
        </w:rPr>
        <w:t xml:space="preserve">formed part of the international </w:t>
      </w:r>
      <w:r w:rsidR="00F75CA4" w:rsidRPr="00AC57EA">
        <w:rPr>
          <w:i/>
          <w:sz w:val="20"/>
          <w:szCs w:val="20"/>
          <w:lang w:val="en-US"/>
        </w:rPr>
        <w:t>corpus</w:t>
      </w:r>
      <w:r w:rsidR="00F75CA4" w:rsidRPr="00AC57EA">
        <w:rPr>
          <w:sz w:val="20"/>
          <w:szCs w:val="20"/>
          <w:lang w:val="en-US"/>
        </w:rPr>
        <w:t xml:space="preserve"> </w:t>
      </w:r>
      <w:r w:rsidR="00F75CA4" w:rsidRPr="00AC57EA">
        <w:rPr>
          <w:i/>
          <w:sz w:val="20"/>
          <w:szCs w:val="20"/>
          <w:lang w:val="en-US"/>
        </w:rPr>
        <w:t>juris</w:t>
      </w:r>
      <w:r w:rsidR="00F75CA4" w:rsidRPr="00AC57EA">
        <w:rPr>
          <w:sz w:val="20"/>
          <w:szCs w:val="20"/>
          <w:lang w:val="en-US"/>
        </w:rPr>
        <w:t xml:space="preserve"> </w:t>
      </w:r>
      <w:r w:rsidR="00142930" w:rsidRPr="00AC57EA">
        <w:rPr>
          <w:sz w:val="20"/>
          <w:szCs w:val="20"/>
          <w:lang w:val="en-US"/>
        </w:rPr>
        <w:t>for the protection of the child, they</w:t>
      </w:r>
      <w:r w:rsidR="00D57615" w:rsidRPr="00AC57EA">
        <w:rPr>
          <w:sz w:val="20"/>
          <w:szCs w:val="20"/>
          <w:lang w:val="en-US"/>
        </w:rPr>
        <w:t xml:space="preserve"> had</w:t>
      </w:r>
      <w:r w:rsidR="00142930" w:rsidRPr="00AC57EA">
        <w:rPr>
          <w:sz w:val="20"/>
          <w:szCs w:val="20"/>
          <w:lang w:val="en-US"/>
        </w:rPr>
        <w:t xml:space="preserve"> “used [its] provisions […] to analyze the instant case.” On this basis, and citing the best interest of the child, they argued that this was why they referred to the provisions </w:t>
      </w:r>
      <w:r w:rsidR="00B7258C" w:rsidRPr="00AC57EA">
        <w:rPr>
          <w:sz w:val="20"/>
          <w:szCs w:val="20"/>
          <w:lang w:val="en-US"/>
        </w:rPr>
        <w:t xml:space="preserve">of the </w:t>
      </w:r>
      <w:r w:rsidRPr="00AC57EA">
        <w:rPr>
          <w:sz w:val="20"/>
          <w:szCs w:val="20"/>
          <w:lang w:val="en-US"/>
        </w:rPr>
        <w:t>Convention on the Rights of the Child</w:t>
      </w:r>
      <w:r w:rsidR="00DD00E7" w:rsidRPr="00AC57EA">
        <w:rPr>
          <w:rFonts w:eastAsia="Calibri" w:cs="Arial"/>
          <w:sz w:val="20"/>
          <w:szCs w:val="20"/>
          <w:lang w:val="en-US" w:eastAsia="en-US"/>
        </w:rPr>
        <w:t xml:space="preserve">, </w:t>
      </w:r>
      <w:r w:rsidRPr="00AC57EA">
        <w:rPr>
          <w:rFonts w:eastAsia="Calibri" w:cs="Arial"/>
          <w:sz w:val="20"/>
          <w:szCs w:val="20"/>
          <w:lang w:val="en-US" w:eastAsia="en-US"/>
        </w:rPr>
        <w:t xml:space="preserve">in relation to Articles 1(1) and </w:t>
      </w:r>
      <w:r w:rsidR="00DD00E7" w:rsidRPr="00AC57EA">
        <w:rPr>
          <w:rFonts w:eastAsia="Calibri" w:cs="Arial"/>
          <w:sz w:val="20"/>
          <w:szCs w:val="20"/>
          <w:lang w:val="en-US" w:eastAsia="en-US"/>
        </w:rPr>
        <w:t>19</w:t>
      </w:r>
      <w:r w:rsidR="00B7258C" w:rsidRPr="00AC57EA">
        <w:rPr>
          <w:rFonts w:eastAsia="Calibri" w:cs="Arial"/>
          <w:sz w:val="20"/>
          <w:szCs w:val="20"/>
          <w:lang w:val="en-US" w:eastAsia="en-US"/>
        </w:rPr>
        <w:t xml:space="preserve"> of the</w:t>
      </w:r>
      <w:r w:rsidR="00142930" w:rsidRPr="00AC57EA">
        <w:rPr>
          <w:rFonts w:eastAsia="Calibri" w:cs="Arial"/>
          <w:sz w:val="20"/>
          <w:szCs w:val="20"/>
          <w:lang w:val="en-US" w:eastAsia="en-US"/>
        </w:rPr>
        <w:t xml:space="preserve"> American</w:t>
      </w:r>
      <w:r w:rsidR="00B7258C" w:rsidRPr="00AC57EA">
        <w:rPr>
          <w:rFonts w:eastAsia="Calibri" w:cs="Arial"/>
          <w:sz w:val="20"/>
          <w:szCs w:val="20"/>
          <w:lang w:val="en-US" w:eastAsia="en-US"/>
        </w:rPr>
        <w:t xml:space="preserve"> Convention</w:t>
      </w:r>
      <w:r w:rsidR="00DD00E7" w:rsidRPr="00AC57EA">
        <w:rPr>
          <w:rFonts w:eastAsia="Calibri" w:cs="Arial"/>
          <w:sz w:val="20"/>
          <w:szCs w:val="20"/>
          <w:lang w:val="en-US" w:eastAsia="en-US"/>
        </w:rPr>
        <w:t xml:space="preserve">. </w:t>
      </w:r>
      <w:r w:rsidR="00142930" w:rsidRPr="00AC57EA">
        <w:rPr>
          <w:rFonts w:eastAsia="Calibri" w:cs="Arial"/>
          <w:sz w:val="20"/>
          <w:szCs w:val="20"/>
          <w:lang w:val="en-US" w:eastAsia="en-US"/>
        </w:rPr>
        <w:t>Consequently</w:t>
      </w:r>
      <w:r w:rsidR="00DD00E7" w:rsidRPr="00AC57EA">
        <w:rPr>
          <w:rFonts w:eastAsia="Calibri" w:cs="Arial"/>
          <w:sz w:val="20"/>
          <w:szCs w:val="20"/>
          <w:lang w:val="en-US" w:eastAsia="en-US"/>
        </w:rPr>
        <w:t xml:space="preserve">, </w:t>
      </w:r>
      <w:r w:rsidRPr="00AC57EA">
        <w:rPr>
          <w:rFonts w:eastAsia="Calibri" w:cs="Arial"/>
          <w:sz w:val="20"/>
          <w:szCs w:val="20"/>
          <w:lang w:val="en-US" w:eastAsia="en-US"/>
        </w:rPr>
        <w:t>the representatives</w:t>
      </w:r>
      <w:r w:rsidR="00DD00E7" w:rsidRPr="00AC57EA">
        <w:rPr>
          <w:rFonts w:eastAsia="Calibri" w:cs="Arial"/>
          <w:sz w:val="20"/>
          <w:szCs w:val="20"/>
          <w:lang w:val="en-US" w:eastAsia="en-US"/>
        </w:rPr>
        <w:t xml:space="preserve"> </w:t>
      </w:r>
      <w:r w:rsidR="00142930" w:rsidRPr="00AC57EA">
        <w:rPr>
          <w:rFonts w:eastAsia="Calibri" w:cs="Arial"/>
          <w:sz w:val="20"/>
          <w:szCs w:val="20"/>
          <w:lang w:val="en-US" w:eastAsia="en-US"/>
        </w:rPr>
        <w:t>asked</w:t>
      </w:r>
      <w:r w:rsidR="00DD00E7" w:rsidRPr="00AC57EA">
        <w:rPr>
          <w:rFonts w:eastAsia="Calibri" w:cs="Arial"/>
          <w:sz w:val="20"/>
          <w:szCs w:val="20"/>
          <w:lang w:val="en-US" w:eastAsia="en-US"/>
        </w:rPr>
        <w:t xml:space="preserve"> </w:t>
      </w:r>
      <w:r w:rsidR="00B7258C" w:rsidRPr="00AC57EA">
        <w:rPr>
          <w:rFonts w:eastAsia="Calibri" w:cs="Arial"/>
          <w:sz w:val="20"/>
          <w:szCs w:val="20"/>
          <w:lang w:val="en-US" w:eastAsia="en-US"/>
        </w:rPr>
        <w:t>the Court</w:t>
      </w:r>
      <w:r w:rsidR="00DD00E7" w:rsidRPr="00AC57EA">
        <w:rPr>
          <w:rFonts w:eastAsia="Calibri" w:cs="Arial"/>
          <w:sz w:val="20"/>
          <w:szCs w:val="20"/>
          <w:lang w:val="en-US" w:eastAsia="en-US"/>
        </w:rPr>
        <w:t xml:space="preserve"> </w:t>
      </w:r>
      <w:r w:rsidR="00142930" w:rsidRPr="00AC57EA">
        <w:rPr>
          <w:rFonts w:eastAsia="Calibri" w:cs="Arial"/>
          <w:sz w:val="20"/>
          <w:szCs w:val="20"/>
          <w:lang w:val="en-US" w:eastAsia="en-US"/>
        </w:rPr>
        <w:t>to reject the objection.</w:t>
      </w:r>
    </w:p>
    <w:p w14:paraId="1382D191" w14:textId="77777777" w:rsidR="00DD00E7" w:rsidRPr="00AC57EA" w:rsidRDefault="00DD00E7" w:rsidP="00F75CA4">
      <w:pPr>
        <w:spacing w:line="240" w:lineRule="auto"/>
        <w:rPr>
          <w:sz w:val="20"/>
          <w:szCs w:val="20"/>
          <w:lang w:val="en-US"/>
        </w:rPr>
      </w:pPr>
    </w:p>
    <w:p w14:paraId="1CAE56A9" w14:textId="5093615B" w:rsidR="00DD00E7" w:rsidRPr="00AC57EA" w:rsidRDefault="00DD00E7" w:rsidP="00F75CA4">
      <w:pPr>
        <w:pStyle w:val="Ttulo2"/>
        <w:tabs>
          <w:tab w:val="left" w:pos="1843"/>
        </w:tabs>
        <w:spacing w:before="0" w:line="240" w:lineRule="auto"/>
        <w:ind w:left="1134"/>
        <w:rPr>
          <w:rFonts w:ascii="Verdana" w:hAnsi="Verdana"/>
          <w:b w:val="0"/>
          <w:i/>
          <w:color w:val="auto"/>
          <w:sz w:val="20"/>
          <w:szCs w:val="20"/>
          <w:lang w:val="en-US"/>
        </w:rPr>
      </w:pPr>
      <w:bookmarkStart w:id="57" w:name="_Toc514172601"/>
      <w:r w:rsidRPr="00AC57EA">
        <w:rPr>
          <w:rFonts w:ascii="Verdana" w:hAnsi="Verdana"/>
          <w:b w:val="0"/>
          <w:i/>
          <w:color w:val="auto"/>
          <w:sz w:val="20"/>
          <w:szCs w:val="20"/>
          <w:lang w:val="en-US"/>
        </w:rPr>
        <w:t xml:space="preserve">C.2 </w:t>
      </w:r>
      <w:r w:rsidR="00C607DD" w:rsidRPr="00AC57EA">
        <w:rPr>
          <w:rFonts w:ascii="Verdana" w:hAnsi="Verdana"/>
          <w:b w:val="0"/>
          <w:i/>
          <w:color w:val="auto"/>
          <w:sz w:val="20"/>
          <w:szCs w:val="20"/>
          <w:lang w:val="en-US"/>
        </w:rPr>
        <w:tab/>
      </w:r>
      <w:r w:rsidR="002223C8" w:rsidRPr="00AC57EA">
        <w:rPr>
          <w:rFonts w:ascii="Verdana" w:hAnsi="Verdana"/>
          <w:b w:val="0"/>
          <w:i/>
          <w:color w:val="auto"/>
          <w:sz w:val="20"/>
          <w:szCs w:val="20"/>
          <w:lang w:val="en-US"/>
        </w:rPr>
        <w:t>Considerations</w:t>
      </w:r>
      <w:r w:rsidR="00B7258C" w:rsidRPr="00AC57EA">
        <w:rPr>
          <w:rFonts w:ascii="Verdana" w:hAnsi="Verdana"/>
          <w:b w:val="0"/>
          <w:i/>
          <w:color w:val="auto"/>
          <w:sz w:val="20"/>
          <w:szCs w:val="20"/>
          <w:lang w:val="en-US"/>
        </w:rPr>
        <w:t xml:space="preserve"> of the Court</w:t>
      </w:r>
      <w:bookmarkEnd w:id="57"/>
    </w:p>
    <w:p w14:paraId="673F4099" w14:textId="577BEC98" w:rsidR="00DD00E7" w:rsidRPr="00AC57EA" w:rsidRDefault="00DD00E7" w:rsidP="00F75CA4">
      <w:pPr>
        <w:spacing w:line="240" w:lineRule="auto"/>
        <w:rPr>
          <w:sz w:val="20"/>
          <w:szCs w:val="20"/>
          <w:lang w:val="en-US"/>
        </w:rPr>
      </w:pPr>
    </w:p>
    <w:p w14:paraId="009E180F" w14:textId="67D5FAB9" w:rsidR="00A53FD8" w:rsidRPr="00AC57EA" w:rsidRDefault="00B7258C" w:rsidP="00142930">
      <w:pPr>
        <w:numPr>
          <w:ilvl w:val="0"/>
          <w:numId w:val="2"/>
        </w:numPr>
        <w:tabs>
          <w:tab w:val="left" w:pos="567"/>
          <w:tab w:val="num" w:pos="12305"/>
        </w:tabs>
        <w:spacing w:line="240" w:lineRule="auto"/>
        <w:ind w:left="0" w:firstLine="0"/>
        <w:rPr>
          <w:rFonts w:eastAsia="Calibri" w:cs="Verdana"/>
          <w:sz w:val="20"/>
          <w:szCs w:val="20"/>
          <w:lang w:val="en-US" w:eastAsia="en-US"/>
        </w:rPr>
      </w:pPr>
      <w:r w:rsidRPr="00AC57EA">
        <w:rPr>
          <w:sz w:val="20"/>
          <w:szCs w:val="20"/>
          <w:lang w:val="en-US"/>
        </w:rPr>
        <w:t>The Court</w:t>
      </w:r>
      <w:r w:rsidR="00DD00E7" w:rsidRPr="00AC57EA">
        <w:rPr>
          <w:sz w:val="20"/>
          <w:szCs w:val="20"/>
          <w:lang w:val="en-US"/>
        </w:rPr>
        <w:t xml:space="preserve"> </w:t>
      </w:r>
      <w:r w:rsidR="002D2EDF" w:rsidRPr="00AC57EA">
        <w:rPr>
          <w:sz w:val="20"/>
          <w:szCs w:val="20"/>
          <w:lang w:val="en-US"/>
        </w:rPr>
        <w:t>not</w:t>
      </w:r>
      <w:r w:rsidR="00142930" w:rsidRPr="00AC57EA">
        <w:rPr>
          <w:sz w:val="20"/>
          <w:szCs w:val="20"/>
          <w:lang w:val="en-US"/>
        </w:rPr>
        <w:t>es that</w:t>
      </w:r>
      <w:r w:rsidR="002D2EDF" w:rsidRPr="00AC57EA">
        <w:rPr>
          <w:sz w:val="20"/>
          <w:szCs w:val="20"/>
          <w:lang w:val="en-US"/>
        </w:rPr>
        <w:t xml:space="preserve"> </w:t>
      </w:r>
      <w:r w:rsidR="00171E27" w:rsidRPr="00AC57EA">
        <w:rPr>
          <w:sz w:val="20"/>
          <w:szCs w:val="20"/>
          <w:lang w:val="en-US"/>
        </w:rPr>
        <w:t>the</w:t>
      </w:r>
      <w:r w:rsidR="00142930" w:rsidRPr="00AC57EA">
        <w:rPr>
          <w:sz w:val="20"/>
          <w:szCs w:val="20"/>
          <w:lang w:val="en-US"/>
        </w:rPr>
        <w:t xml:space="preserve"> arguments presented by the</w:t>
      </w:r>
      <w:r w:rsidR="00171E27" w:rsidRPr="00AC57EA">
        <w:rPr>
          <w:sz w:val="20"/>
          <w:szCs w:val="20"/>
          <w:lang w:val="en-US"/>
        </w:rPr>
        <w:t xml:space="preserve"> representatives</w:t>
      </w:r>
      <w:r w:rsidR="0087468D" w:rsidRPr="00AC57EA">
        <w:rPr>
          <w:sz w:val="20"/>
          <w:szCs w:val="20"/>
          <w:lang w:val="en-US"/>
        </w:rPr>
        <w:t xml:space="preserve"> </w:t>
      </w:r>
      <w:r w:rsidR="00142930" w:rsidRPr="00AC57EA">
        <w:rPr>
          <w:sz w:val="20"/>
          <w:szCs w:val="20"/>
          <w:lang w:val="en-US"/>
        </w:rPr>
        <w:t xml:space="preserve">in relation to the provisions </w:t>
      </w:r>
      <w:r w:rsidRPr="00AC57EA">
        <w:rPr>
          <w:sz w:val="20"/>
          <w:szCs w:val="20"/>
          <w:lang w:val="en-US"/>
        </w:rPr>
        <w:t xml:space="preserve">of the </w:t>
      </w:r>
      <w:r w:rsidR="00142930" w:rsidRPr="00AC57EA">
        <w:rPr>
          <w:sz w:val="20"/>
          <w:szCs w:val="20"/>
          <w:lang w:val="en-US"/>
        </w:rPr>
        <w:t>Convention on the Rights of the Child</w:t>
      </w:r>
      <w:r w:rsidR="00E723B8" w:rsidRPr="00AC57EA">
        <w:rPr>
          <w:sz w:val="20"/>
          <w:szCs w:val="20"/>
          <w:lang w:val="en-US"/>
        </w:rPr>
        <w:t xml:space="preserve"> </w:t>
      </w:r>
      <w:r w:rsidR="00142930" w:rsidRPr="00AC57EA">
        <w:rPr>
          <w:sz w:val="20"/>
          <w:szCs w:val="20"/>
          <w:lang w:val="en-US"/>
        </w:rPr>
        <w:t>were imprecise</w:t>
      </w:r>
      <w:r w:rsidR="003813B9" w:rsidRPr="00AC57EA">
        <w:rPr>
          <w:sz w:val="20"/>
          <w:szCs w:val="20"/>
          <w:lang w:val="en-US"/>
        </w:rPr>
        <w:t xml:space="preserve">. </w:t>
      </w:r>
      <w:r w:rsidR="00142930" w:rsidRPr="00AC57EA">
        <w:rPr>
          <w:sz w:val="20"/>
          <w:szCs w:val="20"/>
          <w:lang w:val="en-US"/>
        </w:rPr>
        <w:t>However</w:t>
      </w:r>
      <w:r w:rsidR="003813B9" w:rsidRPr="00AC57EA">
        <w:rPr>
          <w:sz w:val="20"/>
          <w:szCs w:val="20"/>
          <w:lang w:val="en-US"/>
        </w:rPr>
        <w:t xml:space="preserve">, </w:t>
      </w:r>
      <w:r w:rsidRPr="00AC57EA">
        <w:rPr>
          <w:sz w:val="20"/>
          <w:szCs w:val="20"/>
          <w:lang w:val="en-US"/>
        </w:rPr>
        <w:t>the Court</w:t>
      </w:r>
      <w:r w:rsidR="003813B9" w:rsidRPr="00AC57EA">
        <w:rPr>
          <w:sz w:val="20"/>
          <w:szCs w:val="20"/>
          <w:lang w:val="en-US"/>
        </w:rPr>
        <w:t xml:space="preserve"> </w:t>
      </w:r>
      <w:r w:rsidR="00142930" w:rsidRPr="00AC57EA">
        <w:rPr>
          <w:sz w:val="20"/>
          <w:szCs w:val="20"/>
          <w:lang w:val="en-US"/>
        </w:rPr>
        <w:t>understands that</w:t>
      </w:r>
      <w:r w:rsidR="00DD00E7" w:rsidRPr="00AC57EA">
        <w:rPr>
          <w:sz w:val="20"/>
          <w:szCs w:val="20"/>
          <w:lang w:val="en-US"/>
        </w:rPr>
        <w:t xml:space="preserve"> </w:t>
      </w:r>
      <w:r w:rsidR="00171E27" w:rsidRPr="00AC57EA">
        <w:rPr>
          <w:sz w:val="20"/>
          <w:szCs w:val="20"/>
          <w:lang w:val="en-US"/>
        </w:rPr>
        <w:t>the representatives</w:t>
      </w:r>
      <w:r w:rsidR="00DD00E7" w:rsidRPr="00AC57EA">
        <w:rPr>
          <w:sz w:val="20"/>
          <w:szCs w:val="20"/>
          <w:lang w:val="en-US"/>
        </w:rPr>
        <w:t xml:space="preserve"> </w:t>
      </w:r>
      <w:r w:rsidR="00142930" w:rsidRPr="00AC57EA">
        <w:rPr>
          <w:sz w:val="20"/>
          <w:szCs w:val="20"/>
          <w:lang w:val="en-US"/>
        </w:rPr>
        <w:t xml:space="preserve">did not </w:t>
      </w:r>
      <w:r w:rsidR="00D57615" w:rsidRPr="00AC57EA">
        <w:rPr>
          <w:sz w:val="20"/>
          <w:szCs w:val="20"/>
          <w:lang w:val="en-US"/>
        </w:rPr>
        <w:t>ask</w:t>
      </w:r>
      <w:r w:rsidR="00142930" w:rsidRPr="00AC57EA">
        <w:rPr>
          <w:sz w:val="20"/>
          <w:szCs w:val="20"/>
          <w:lang w:val="en-US"/>
        </w:rPr>
        <w:t xml:space="preserve"> the Court </w:t>
      </w:r>
      <w:r w:rsidR="00D57615" w:rsidRPr="00AC57EA">
        <w:rPr>
          <w:sz w:val="20"/>
          <w:szCs w:val="20"/>
          <w:lang w:val="en-US"/>
        </w:rPr>
        <w:t xml:space="preserve">to </w:t>
      </w:r>
      <w:r w:rsidR="00142930" w:rsidRPr="00AC57EA">
        <w:rPr>
          <w:sz w:val="20"/>
          <w:szCs w:val="20"/>
          <w:lang w:val="en-US"/>
        </w:rPr>
        <w:t>declare the international responsibility of the State with regard to the said provisions for which this Court does not have competence</w:t>
      </w:r>
      <w:r w:rsidR="00D57615" w:rsidRPr="00AC57EA">
        <w:rPr>
          <w:sz w:val="20"/>
          <w:szCs w:val="20"/>
          <w:lang w:val="en-US"/>
        </w:rPr>
        <w:t>;</w:t>
      </w:r>
      <w:r w:rsidR="00142930" w:rsidRPr="00AC57EA">
        <w:rPr>
          <w:sz w:val="20"/>
          <w:szCs w:val="20"/>
          <w:lang w:val="en-US"/>
        </w:rPr>
        <w:t xml:space="preserve"> rather</w:t>
      </w:r>
      <w:r w:rsidR="00D57615" w:rsidRPr="00AC57EA">
        <w:rPr>
          <w:sz w:val="20"/>
          <w:szCs w:val="20"/>
          <w:lang w:val="en-US"/>
        </w:rPr>
        <w:t xml:space="preserve">, it </w:t>
      </w:r>
      <w:r w:rsidR="00142930" w:rsidRPr="00AC57EA">
        <w:rPr>
          <w:sz w:val="20"/>
          <w:szCs w:val="20"/>
          <w:lang w:val="en-US"/>
        </w:rPr>
        <w:t xml:space="preserve">cited them as norms that provide content to the scope of the special measures of protection established in </w:t>
      </w:r>
      <w:r w:rsidRPr="00AC57EA">
        <w:rPr>
          <w:sz w:val="20"/>
          <w:szCs w:val="20"/>
          <w:lang w:val="en-US"/>
        </w:rPr>
        <w:t>Article</w:t>
      </w:r>
      <w:r w:rsidR="00DD00E7" w:rsidRPr="00AC57EA">
        <w:rPr>
          <w:sz w:val="20"/>
          <w:szCs w:val="20"/>
          <w:lang w:val="en-US"/>
        </w:rPr>
        <w:t xml:space="preserve"> 19</w:t>
      </w:r>
      <w:r w:rsidRPr="00AC57EA">
        <w:rPr>
          <w:sz w:val="20"/>
          <w:szCs w:val="20"/>
          <w:lang w:val="en-US"/>
        </w:rPr>
        <w:t xml:space="preserve"> of the American Convention</w:t>
      </w:r>
      <w:r w:rsidR="00DD00E7" w:rsidRPr="00AC57EA">
        <w:rPr>
          <w:sz w:val="20"/>
          <w:szCs w:val="20"/>
          <w:lang w:val="en-US"/>
        </w:rPr>
        <w:t xml:space="preserve">, </w:t>
      </w:r>
      <w:r w:rsidR="00142930" w:rsidRPr="00AC57EA">
        <w:rPr>
          <w:sz w:val="20"/>
          <w:szCs w:val="20"/>
          <w:lang w:val="en-US"/>
        </w:rPr>
        <w:t xml:space="preserve">which the Court does have competence to interpret and to apply. Indeed, the Court has indicated that “when examining the compatibility of the State’s </w:t>
      </w:r>
      <w:r w:rsidR="00D57615" w:rsidRPr="00AC57EA">
        <w:rPr>
          <w:sz w:val="20"/>
          <w:szCs w:val="20"/>
          <w:lang w:val="en-US"/>
        </w:rPr>
        <w:t>laws and practices</w:t>
      </w:r>
      <w:r w:rsidR="00142930" w:rsidRPr="00AC57EA">
        <w:rPr>
          <w:sz w:val="20"/>
          <w:szCs w:val="20"/>
          <w:lang w:val="en-US"/>
        </w:rPr>
        <w:t xml:space="preserve"> with the Convention, the C</w:t>
      </w:r>
      <w:r w:rsidR="00D57615" w:rsidRPr="00AC57EA">
        <w:rPr>
          <w:sz w:val="20"/>
          <w:szCs w:val="20"/>
          <w:lang w:val="en-US"/>
        </w:rPr>
        <w:t>o</w:t>
      </w:r>
      <w:r w:rsidR="00142930" w:rsidRPr="00AC57EA">
        <w:rPr>
          <w:sz w:val="20"/>
          <w:szCs w:val="20"/>
          <w:lang w:val="en-US"/>
        </w:rPr>
        <w:t xml:space="preserve">urt may interpret the </w:t>
      </w:r>
      <w:r w:rsidR="00142930" w:rsidRPr="00AC57EA">
        <w:rPr>
          <w:sz w:val="20"/>
          <w:szCs w:val="20"/>
          <w:lang w:val="en-US"/>
        </w:rPr>
        <w:lastRenderedPageBreak/>
        <w:t>obligations and rights contained in this instrument in light of other treaties.</w:t>
      </w:r>
      <w:r w:rsidR="003813B9" w:rsidRPr="00AC57EA">
        <w:rPr>
          <w:sz w:val="20"/>
          <w:szCs w:val="20"/>
          <w:lang w:val="en-US"/>
        </w:rPr>
        <w:t>”</w:t>
      </w:r>
      <w:r w:rsidR="003813B9" w:rsidRPr="00AC57EA">
        <w:rPr>
          <w:sz w:val="20"/>
          <w:szCs w:val="20"/>
          <w:vertAlign w:val="superscript"/>
          <w:lang w:val="en-US"/>
        </w:rPr>
        <w:footnoteReference w:id="28"/>
      </w:r>
      <w:r w:rsidR="00142930" w:rsidRPr="00AC57EA">
        <w:rPr>
          <w:sz w:val="20"/>
          <w:szCs w:val="20"/>
          <w:lang w:val="en-US"/>
        </w:rPr>
        <w:t xml:space="preserve"> This is derived expressly from </w:t>
      </w:r>
      <w:r w:rsidR="00171E27" w:rsidRPr="00AC57EA">
        <w:rPr>
          <w:sz w:val="20"/>
          <w:szCs w:val="20"/>
          <w:lang w:val="en-US"/>
        </w:rPr>
        <w:t>Article</w:t>
      </w:r>
      <w:r w:rsidR="00A53FD8" w:rsidRPr="00AC57EA">
        <w:rPr>
          <w:sz w:val="20"/>
          <w:szCs w:val="20"/>
          <w:lang w:val="en-US"/>
        </w:rPr>
        <w:t xml:space="preserve"> 29</w:t>
      </w:r>
      <w:r w:rsidR="00142930" w:rsidRPr="00AC57EA">
        <w:rPr>
          <w:sz w:val="20"/>
          <w:szCs w:val="20"/>
          <w:lang w:val="en-US"/>
        </w:rPr>
        <w:t>(</w:t>
      </w:r>
      <w:r w:rsidR="00A53FD8" w:rsidRPr="00AC57EA">
        <w:rPr>
          <w:sz w:val="20"/>
          <w:szCs w:val="20"/>
          <w:lang w:val="en-US"/>
        </w:rPr>
        <w:t>b)</w:t>
      </w:r>
      <w:r w:rsidRPr="00AC57EA">
        <w:rPr>
          <w:sz w:val="20"/>
          <w:szCs w:val="20"/>
          <w:lang w:val="en-US"/>
        </w:rPr>
        <w:t xml:space="preserve"> of the American Convention</w:t>
      </w:r>
      <w:r w:rsidR="00333E18" w:rsidRPr="00AC57EA">
        <w:rPr>
          <w:sz w:val="20"/>
          <w:szCs w:val="20"/>
          <w:lang w:val="en-US"/>
        </w:rPr>
        <w:t xml:space="preserve"> </w:t>
      </w:r>
      <w:r w:rsidR="00142930" w:rsidRPr="00AC57EA">
        <w:rPr>
          <w:sz w:val="20"/>
          <w:szCs w:val="20"/>
          <w:lang w:val="en-US"/>
        </w:rPr>
        <w:t xml:space="preserve">which refers to the rules for the interpretation of the Convention’s provisions </w:t>
      </w:r>
      <w:r w:rsidR="001547FB" w:rsidRPr="00AC57EA">
        <w:rPr>
          <w:sz w:val="20"/>
          <w:szCs w:val="20"/>
          <w:lang w:val="en-US"/>
        </w:rPr>
        <w:t xml:space="preserve">“by virtue of another convention to which one of the said States is a party,” </w:t>
      </w:r>
      <w:r w:rsidR="00D57615" w:rsidRPr="00AC57EA">
        <w:rPr>
          <w:sz w:val="20"/>
          <w:szCs w:val="20"/>
          <w:lang w:val="en-US"/>
        </w:rPr>
        <w:t>and</w:t>
      </w:r>
      <w:r w:rsidR="001547FB" w:rsidRPr="00AC57EA">
        <w:rPr>
          <w:sz w:val="20"/>
          <w:szCs w:val="20"/>
          <w:lang w:val="en-US"/>
        </w:rPr>
        <w:t xml:space="preserve"> reflects a tendency of the American Convention to</w:t>
      </w:r>
      <w:r w:rsidR="00D57615" w:rsidRPr="00AC57EA">
        <w:rPr>
          <w:sz w:val="20"/>
          <w:szCs w:val="20"/>
          <w:lang w:val="en-US"/>
        </w:rPr>
        <w:t xml:space="preserve"> </w:t>
      </w:r>
      <w:r w:rsidR="001547FB" w:rsidRPr="00AC57EA">
        <w:rPr>
          <w:sz w:val="20"/>
          <w:szCs w:val="20"/>
          <w:lang w:val="en-US"/>
        </w:rPr>
        <w:t>integrat</w:t>
      </w:r>
      <w:r w:rsidR="00D57615" w:rsidRPr="00AC57EA">
        <w:rPr>
          <w:sz w:val="20"/>
          <w:szCs w:val="20"/>
          <w:lang w:val="en-US"/>
        </w:rPr>
        <w:t>e</w:t>
      </w:r>
      <w:r w:rsidR="001547FB" w:rsidRPr="00AC57EA">
        <w:rPr>
          <w:sz w:val="20"/>
          <w:szCs w:val="20"/>
          <w:lang w:val="en-US"/>
        </w:rPr>
        <w:t xml:space="preserve"> the regional system and the universal system</w:t>
      </w:r>
      <w:r w:rsidR="00D57615" w:rsidRPr="00AC57EA">
        <w:rPr>
          <w:sz w:val="20"/>
          <w:szCs w:val="20"/>
          <w:lang w:val="en-US"/>
        </w:rPr>
        <w:t xml:space="preserve"> for the protection of </w:t>
      </w:r>
      <w:r w:rsidR="001547FB" w:rsidRPr="00AC57EA">
        <w:rPr>
          <w:sz w:val="20"/>
          <w:szCs w:val="20"/>
          <w:lang w:val="en-US"/>
        </w:rPr>
        <w:t>human rights.</w:t>
      </w:r>
      <w:r w:rsidR="00F16499" w:rsidRPr="00AC57EA">
        <w:rPr>
          <w:rStyle w:val="Refdenotaalpie"/>
          <w:rFonts w:eastAsia="Calibri" w:cs="Verdana"/>
          <w:sz w:val="20"/>
          <w:szCs w:val="20"/>
          <w:lang w:val="en-US" w:eastAsia="en-US"/>
        </w:rPr>
        <w:footnoteReference w:id="29"/>
      </w:r>
    </w:p>
    <w:p w14:paraId="4C0DAF32" w14:textId="77777777" w:rsidR="00A53FD8" w:rsidRPr="00AC57EA" w:rsidRDefault="00A53FD8" w:rsidP="00A53FD8">
      <w:pPr>
        <w:tabs>
          <w:tab w:val="left" w:pos="567"/>
        </w:tabs>
        <w:spacing w:line="240" w:lineRule="auto"/>
        <w:rPr>
          <w:rFonts w:eastAsia="Calibri" w:cs="Verdana"/>
          <w:sz w:val="20"/>
          <w:szCs w:val="20"/>
          <w:lang w:val="en-US" w:eastAsia="en-US"/>
        </w:rPr>
      </w:pPr>
    </w:p>
    <w:p w14:paraId="4406F066" w14:textId="0DAAD345" w:rsidR="00AB4843" w:rsidRPr="00AC57EA" w:rsidRDefault="00F83BCD" w:rsidP="00F83BCD">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Bearing in mind that the titleholder of rights and the main </w:t>
      </w:r>
      <w:r w:rsidR="00EC52D7" w:rsidRPr="00AC57EA">
        <w:rPr>
          <w:sz w:val="20"/>
          <w:szCs w:val="20"/>
          <w:lang w:val="en-US"/>
        </w:rPr>
        <w:t>presumed victim</w:t>
      </w:r>
      <w:r w:rsidR="00804459" w:rsidRPr="00AC57EA">
        <w:rPr>
          <w:sz w:val="20"/>
          <w:szCs w:val="20"/>
          <w:lang w:val="en-US"/>
        </w:rPr>
        <w:t xml:space="preserve"> </w:t>
      </w:r>
      <w:r w:rsidRPr="00AC57EA">
        <w:rPr>
          <w:sz w:val="20"/>
          <w:szCs w:val="20"/>
          <w:lang w:val="en-US"/>
        </w:rPr>
        <w:t xml:space="preserve">in this case was under 18 years of age at the time of the facts, the Court finds it useful and appropriate to have recourse to </w:t>
      </w:r>
      <w:r w:rsidR="00B7258C" w:rsidRPr="00AC57EA">
        <w:rPr>
          <w:sz w:val="20"/>
          <w:szCs w:val="20"/>
          <w:lang w:val="en-US"/>
        </w:rPr>
        <w:t xml:space="preserve">the </w:t>
      </w:r>
      <w:r w:rsidR="00171E27" w:rsidRPr="00AC57EA">
        <w:rPr>
          <w:sz w:val="20"/>
          <w:szCs w:val="20"/>
          <w:lang w:val="en-US"/>
        </w:rPr>
        <w:t>Convention on the Rights of the Child</w:t>
      </w:r>
      <w:r w:rsidR="00804459" w:rsidRPr="00AC57EA">
        <w:rPr>
          <w:sz w:val="20"/>
          <w:szCs w:val="20"/>
          <w:lang w:val="en-US"/>
        </w:rPr>
        <w:t xml:space="preserve"> </w:t>
      </w:r>
      <w:r w:rsidRPr="00AC57EA">
        <w:rPr>
          <w:sz w:val="20"/>
          <w:szCs w:val="20"/>
          <w:lang w:val="en-US"/>
        </w:rPr>
        <w:t xml:space="preserve">which contains various specific and more developed provisions on the participation, access to justice and rehabilitation of children and adolescents who are victims of offenses. These provisions are able to illustrate the content and scope of the special measures of protection that must be specified in this case in light </w:t>
      </w:r>
      <w:r w:rsidR="00171E27" w:rsidRPr="00AC57EA">
        <w:rPr>
          <w:sz w:val="20"/>
          <w:szCs w:val="20"/>
          <w:lang w:val="en-US"/>
        </w:rPr>
        <w:t>of Article</w:t>
      </w:r>
      <w:r w:rsidR="00804459" w:rsidRPr="00AC57EA">
        <w:rPr>
          <w:sz w:val="20"/>
          <w:szCs w:val="20"/>
          <w:lang w:val="en-US"/>
        </w:rPr>
        <w:t xml:space="preserve"> 19</w:t>
      </w:r>
      <w:r w:rsidR="00B7258C" w:rsidRPr="00AC57EA">
        <w:rPr>
          <w:sz w:val="20"/>
          <w:szCs w:val="20"/>
          <w:lang w:val="en-US"/>
        </w:rPr>
        <w:t xml:space="preserve"> of the Convention</w:t>
      </w:r>
      <w:r w:rsidR="00804459" w:rsidRPr="00AC57EA">
        <w:rPr>
          <w:sz w:val="20"/>
          <w:szCs w:val="20"/>
          <w:lang w:val="en-US"/>
        </w:rPr>
        <w:t>.</w:t>
      </w:r>
      <w:r w:rsidR="004E03EF" w:rsidRPr="00AC57EA">
        <w:rPr>
          <w:sz w:val="20"/>
          <w:szCs w:val="20"/>
          <w:lang w:val="en-US"/>
        </w:rPr>
        <w:t xml:space="preserve"> </w:t>
      </w:r>
      <w:r w:rsidR="00B7258C" w:rsidRPr="00AC57EA">
        <w:rPr>
          <w:sz w:val="20"/>
          <w:szCs w:val="20"/>
          <w:lang w:val="en-US"/>
        </w:rPr>
        <w:t>The Court</w:t>
      </w:r>
      <w:r w:rsidR="008304EF" w:rsidRPr="00AC57EA">
        <w:rPr>
          <w:sz w:val="20"/>
          <w:szCs w:val="20"/>
          <w:lang w:val="en-US"/>
        </w:rPr>
        <w:t xml:space="preserve"> consider</w:t>
      </w:r>
      <w:r w:rsidRPr="00AC57EA">
        <w:rPr>
          <w:sz w:val="20"/>
          <w:szCs w:val="20"/>
          <w:lang w:val="en-US"/>
        </w:rPr>
        <w:t>s that this instrument is applicable to the instant case in the terms indicated, because Nicaragua is a party to that international</w:t>
      </w:r>
      <w:r w:rsidR="00D57615" w:rsidRPr="00AC57EA">
        <w:rPr>
          <w:sz w:val="20"/>
          <w:szCs w:val="20"/>
          <w:lang w:val="en-US"/>
        </w:rPr>
        <w:t xml:space="preserve"> treaty</w:t>
      </w:r>
      <w:r w:rsidR="00FA0912" w:rsidRPr="00AC57EA">
        <w:rPr>
          <w:rStyle w:val="Refdenotaalpie"/>
          <w:sz w:val="20"/>
          <w:szCs w:val="20"/>
          <w:lang w:val="en-US"/>
        </w:rPr>
        <w:footnoteReference w:id="30"/>
      </w:r>
      <w:r w:rsidR="00171E27" w:rsidRPr="00AC57EA">
        <w:rPr>
          <w:sz w:val="20"/>
          <w:szCs w:val="20"/>
          <w:lang w:val="en-US"/>
        </w:rPr>
        <w:t xml:space="preserve"> and </w:t>
      </w:r>
      <w:r w:rsidR="00AB4843" w:rsidRPr="00AC57EA">
        <w:rPr>
          <w:sz w:val="20"/>
          <w:szCs w:val="20"/>
          <w:lang w:val="en-US"/>
        </w:rPr>
        <w:t>ha</w:t>
      </w:r>
      <w:r w:rsidRPr="00AC57EA">
        <w:rPr>
          <w:sz w:val="20"/>
          <w:szCs w:val="20"/>
          <w:lang w:val="en-US"/>
        </w:rPr>
        <w:t>s therefore recognized the rules expressly established therein as a source of law. However, it should also be recalled</w:t>
      </w:r>
      <w:r w:rsidR="00D57615" w:rsidRPr="00AC57EA">
        <w:rPr>
          <w:sz w:val="20"/>
          <w:szCs w:val="20"/>
          <w:lang w:val="en-US"/>
        </w:rPr>
        <w:t>,</w:t>
      </w:r>
      <w:r w:rsidRPr="00AC57EA">
        <w:rPr>
          <w:sz w:val="20"/>
          <w:szCs w:val="20"/>
          <w:lang w:val="en-US"/>
        </w:rPr>
        <w:t xml:space="preserve"> as has been stressed on </w:t>
      </w:r>
      <w:r w:rsidR="00D57615" w:rsidRPr="00AC57EA">
        <w:rPr>
          <w:sz w:val="20"/>
          <w:szCs w:val="20"/>
          <w:lang w:val="en-US"/>
        </w:rPr>
        <w:t>numerous</w:t>
      </w:r>
      <w:r w:rsidRPr="00AC57EA">
        <w:rPr>
          <w:sz w:val="20"/>
          <w:szCs w:val="20"/>
          <w:lang w:val="en-US"/>
        </w:rPr>
        <w:t xml:space="preserve"> occasions, that</w:t>
      </w:r>
      <w:r w:rsidR="008304EF" w:rsidRPr="00AC57EA">
        <w:rPr>
          <w:sz w:val="20"/>
          <w:szCs w:val="20"/>
          <w:lang w:val="en-US"/>
        </w:rPr>
        <w:t xml:space="preserve"> </w:t>
      </w:r>
      <w:r w:rsidR="00B7258C" w:rsidRPr="00AC57EA">
        <w:rPr>
          <w:sz w:val="20"/>
          <w:szCs w:val="20"/>
          <w:lang w:val="en-US"/>
        </w:rPr>
        <w:t xml:space="preserve">the </w:t>
      </w:r>
      <w:r w:rsidR="00171E27" w:rsidRPr="00AC57EA">
        <w:rPr>
          <w:sz w:val="20"/>
          <w:szCs w:val="20"/>
          <w:lang w:val="en-US"/>
        </w:rPr>
        <w:t>Convention on the Rights of the Child</w:t>
      </w:r>
      <w:r w:rsidR="008304EF" w:rsidRPr="00AC57EA">
        <w:rPr>
          <w:sz w:val="20"/>
          <w:szCs w:val="20"/>
          <w:lang w:val="en-US"/>
        </w:rPr>
        <w:t xml:space="preserve"> </w:t>
      </w:r>
      <w:r w:rsidRPr="00AC57EA">
        <w:rPr>
          <w:sz w:val="20"/>
          <w:szCs w:val="20"/>
          <w:lang w:val="en-US"/>
        </w:rPr>
        <w:t xml:space="preserve">is the international treaty that has the greatest claim to universality, </w:t>
      </w:r>
      <w:r w:rsidR="00D57615" w:rsidRPr="00AC57EA">
        <w:rPr>
          <w:sz w:val="20"/>
          <w:szCs w:val="20"/>
          <w:lang w:val="en-US"/>
        </w:rPr>
        <w:t xml:space="preserve">and this </w:t>
      </w:r>
      <w:r w:rsidRPr="00AC57EA">
        <w:rPr>
          <w:sz w:val="20"/>
          <w:szCs w:val="20"/>
          <w:lang w:val="en-US"/>
        </w:rPr>
        <w:t>“reveals a broad international consensus</w:t>
      </w:r>
      <w:r w:rsidR="008304EF" w:rsidRPr="00AC57EA">
        <w:rPr>
          <w:sz w:val="20"/>
          <w:szCs w:val="20"/>
          <w:lang w:val="en-US"/>
        </w:rPr>
        <w:t xml:space="preserve"> (</w:t>
      </w:r>
      <w:r w:rsidR="008304EF" w:rsidRPr="00AC57EA">
        <w:rPr>
          <w:i/>
          <w:sz w:val="20"/>
          <w:szCs w:val="20"/>
          <w:lang w:val="en-US"/>
        </w:rPr>
        <w:t>opinio iuris comunis</w:t>
      </w:r>
      <w:r w:rsidR="008304EF" w:rsidRPr="00AC57EA">
        <w:rPr>
          <w:sz w:val="20"/>
          <w:szCs w:val="20"/>
          <w:lang w:val="en-US"/>
        </w:rPr>
        <w:t xml:space="preserve">) </w:t>
      </w:r>
      <w:r w:rsidRPr="00AC57EA">
        <w:rPr>
          <w:sz w:val="20"/>
          <w:szCs w:val="20"/>
          <w:lang w:val="en-US"/>
        </w:rPr>
        <w:t xml:space="preserve">in favor of the principles and institutions included in that instrument, which reflects current developments </w:t>
      </w:r>
      <w:r w:rsidR="0053723F" w:rsidRPr="00AC57EA">
        <w:rPr>
          <w:sz w:val="20"/>
          <w:szCs w:val="20"/>
          <w:lang w:val="en-US"/>
        </w:rPr>
        <w:t>on this issue</w:t>
      </w:r>
      <w:r w:rsidRPr="00AC57EA">
        <w:rPr>
          <w:sz w:val="20"/>
          <w:szCs w:val="20"/>
          <w:lang w:val="en-US"/>
        </w:rPr>
        <w:t>.</w:t>
      </w:r>
      <w:r w:rsidR="008304EF" w:rsidRPr="00AC57EA">
        <w:rPr>
          <w:sz w:val="20"/>
          <w:szCs w:val="20"/>
          <w:lang w:val="en-US"/>
        </w:rPr>
        <w:t>”</w:t>
      </w:r>
      <w:r w:rsidR="008304EF" w:rsidRPr="00AC57EA">
        <w:rPr>
          <w:sz w:val="20"/>
          <w:szCs w:val="20"/>
          <w:vertAlign w:val="superscript"/>
          <w:lang w:val="en-US"/>
        </w:rPr>
        <w:footnoteReference w:id="31"/>
      </w:r>
    </w:p>
    <w:p w14:paraId="59415930" w14:textId="3A974576" w:rsidR="00AB4843" w:rsidRPr="00AC57EA" w:rsidRDefault="00AB4843" w:rsidP="00AB4843">
      <w:pPr>
        <w:tabs>
          <w:tab w:val="left" w:pos="567"/>
        </w:tabs>
        <w:spacing w:line="240" w:lineRule="auto"/>
        <w:rPr>
          <w:sz w:val="20"/>
          <w:szCs w:val="20"/>
          <w:lang w:val="en-US"/>
        </w:rPr>
      </w:pPr>
    </w:p>
    <w:p w14:paraId="3B076200" w14:textId="3CD05422" w:rsidR="00DD00E7" w:rsidRPr="00AC57EA" w:rsidRDefault="00F83BCD" w:rsidP="00F83BCD">
      <w:pPr>
        <w:numPr>
          <w:ilvl w:val="0"/>
          <w:numId w:val="2"/>
        </w:numPr>
        <w:tabs>
          <w:tab w:val="left" w:pos="567"/>
          <w:tab w:val="num" w:pos="12305"/>
        </w:tabs>
        <w:spacing w:line="240" w:lineRule="auto"/>
        <w:ind w:left="0" w:firstLine="0"/>
        <w:rPr>
          <w:rFonts w:eastAsia="Calibri" w:cs="Verdana"/>
          <w:sz w:val="20"/>
          <w:szCs w:val="20"/>
          <w:lang w:val="en-US" w:eastAsia="en-US"/>
        </w:rPr>
      </w:pPr>
      <w:r w:rsidRPr="00AC57EA">
        <w:rPr>
          <w:sz w:val="20"/>
          <w:szCs w:val="20"/>
          <w:lang w:val="en-US"/>
        </w:rPr>
        <w:t xml:space="preserve">In sum, this Court has established in reiterated case law that, both </w:t>
      </w:r>
      <w:r w:rsidR="00B7258C" w:rsidRPr="00AC57EA">
        <w:rPr>
          <w:rFonts w:eastAsia="Calibri" w:cs="Verdana"/>
          <w:sz w:val="20"/>
          <w:szCs w:val="20"/>
          <w:lang w:val="en-US" w:eastAsia="en-US"/>
        </w:rPr>
        <w:t>the American Convention</w:t>
      </w:r>
      <w:r w:rsidR="00DD00E7" w:rsidRPr="00AC57EA">
        <w:rPr>
          <w:rFonts w:eastAsia="Calibri" w:cs="Verdana"/>
          <w:sz w:val="20"/>
          <w:szCs w:val="20"/>
          <w:lang w:val="en-US" w:eastAsia="en-US"/>
        </w:rPr>
        <w:t xml:space="preserve"> </w:t>
      </w:r>
      <w:r w:rsidRPr="00AC57EA">
        <w:rPr>
          <w:rFonts w:eastAsia="Calibri" w:cs="Verdana"/>
          <w:sz w:val="20"/>
          <w:szCs w:val="20"/>
          <w:lang w:val="en-US" w:eastAsia="en-US"/>
        </w:rPr>
        <w:t xml:space="preserve">and </w:t>
      </w:r>
      <w:r w:rsidR="00B7258C" w:rsidRPr="00AC57EA">
        <w:rPr>
          <w:rFonts w:eastAsia="Calibri" w:cs="Verdana"/>
          <w:sz w:val="20"/>
          <w:szCs w:val="20"/>
          <w:lang w:val="en-US" w:eastAsia="en-US"/>
        </w:rPr>
        <w:t xml:space="preserve">the </w:t>
      </w:r>
      <w:r w:rsidR="00171E27" w:rsidRPr="00AC57EA">
        <w:rPr>
          <w:rFonts w:eastAsia="Calibri" w:cs="Verdana"/>
          <w:sz w:val="20"/>
          <w:szCs w:val="20"/>
          <w:lang w:val="en-US" w:eastAsia="en-US"/>
        </w:rPr>
        <w:t>Convention on the Rights of the Child</w:t>
      </w:r>
      <w:r w:rsidR="00B0256C" w:rsidRPr="00AC57EA">
        <w:rPr>
          <w:rFonts w:eastAsia="Calibri" w:cs="Verdana"/>
          <w:sz w:val="20"/>
          <w:szCs w:val="20"/>
          <w:lang w:val="en-US" w:eastAsia="en-US"/>
        </w:rPr>
        <w:t>, as</w:t>
      </w:r>
      <w:r w:rsidRPr="00AC57EA">
        <w:rPr>
          <w:rFonts w:eastAsia="Calibri" w:cs="Verdana"/>
          <w:sz w:val="20"/>
          <w:szCs w:val="20"/>
          <w:lang w:val="en-US" w:eastAsia="en-US"/>
        </w:rPr>
        <w:t xml:space="preserve"> well as other international instruments with different legal content and effects that serve as a guide for interpretation,</w:t>
      </w:r>
      <w:r w:rsidR="00A71D2A" w:rsidRPr="00AC57EA">
        <w:rPr>
          <w:rStyle w:val="Refdenotaalpie"/>
          <w:sz w:val="20"/>
          <w:szCs w:val="20"/>
          <w:lang w:val="en-US"/>
        </w:rPr>
        <w:footnoteReference w:id="32"/>
      </w:r>
      <w:r w:rsidR="00DD00E7" w:rsidRPr="00AC57EA">
        <w:rPr>
          <w:rFonts w:eastAsia="Calibri" w:cs="Verdana"/>
          <w:sz w:val="20"/>
          <w:szCs w:val="20"/>
          <w:lang w:val="en-US" w:eastAsia="en-US"/>
        </w:rPr>
        <w:t xml:space="preserve"> form part</w:t>
      </w:r>
      <w:r w:rsidRPr="00AC57EA">
        <w:rPr>
          <w:rFonts w:eastAsia="Calibri" w:cs="Verdana"/>
          <w:sz w:val="20"/>
          <w:szCs w:val="20"/>
          <w:lang w:val="en-US" w:eastAsia="en-US"/>
        </w:rPr>
        <w:t xml:space="preserve"> of a very comprehensive international </w:t>
      </w:r>
      <w:r w:rsidR="00DD00E7" w:rsidRPr="00AC57EA">
        <w:rPr>
          <w:rFonts w:eastAsia="Calibri" w:cs="Verdana"/>
          <w:i/>
          <w:iCs/>
          <w:sz w:val="20"/>
          <w:szCs w:val="20"/>
          <w:lang w:val="en-US" w:eastAsia="en-US"/>
        </w:rPr>
        <w:t>corpus juris</w:t>
      </w:r>
      <w:r w:rsidRPr="00AC57EA">
        <w:rPr>
          <w:rFonts w:eastAsia="Calibri" w:cs="Verdana"/>
          <w:i/>
          <w:iCs/>
          <w:sz w:val="20"/>
          <w:szCs w:val="20"/>
          <w:lang w:val="en-US" w:eastAsia="en-US"/>
        </w:rPr>
        <w:t xml:space="preserve"> </w:t>
      </w:r>
      <w:r w:rsidRPr="00AC57EA">
        <w:rPr>
          <w:rFonts w:eastAsia="Calibri" w:cs="Verdana"/>
          <w:sz w:val="20"/>
          <w:szCs w:val="20"/>
          <w:lang w:val="en-US" w:eastAsia="en-US"/>
        </w:rPr>
        <w:t xml:space="preserve">for the protection of children and adolescents. This </w:t>
      </w:r>
      <w:r w:rsidRPr="00AC57EA">
        <w:rPr>
          <w:rFonts w:eastAsia="Calibri" w:cs="Verdana"/>
          <w:i/>
          <w:iCs/>
          <w:sz w:val="20"/>
          <w:szCs w:val="20"/>
          <w:lang w:val="en-US" w:eastAsia="en-US"/>
        </w:rPr>
        <w:t xml:space="preserve">corpus juris </w:t>
      </w:r>
      <w:r w:rsidRPr="00AC57EA">
        <w:rPr>
          <w:rFonts w:eastAsia="Calibri" w:cs="Verdana"/>
          <w:sz w:val="20"/>
          <w:szCs w:val="20"/>
          <w:lang w:val="en-US" w:eastAsia="en-US"/>
        </w:rPr>
        <w:t>should provide the basis for establishing the content and scope of the general provisions defined in Article 19 of the American Convention, in relation to the other rights contained in th</w:t>
      </w:r>
      <w:r w:rsidR="0053723F" w:rsidRPr="00AC57EA">
        <w:rPr>
          <w:rFonts w:eastAsia="Calibri" w:cs="Verdana"/>
          <w:sz w:val="20"/>
          <w:szCs w:val="20"/>
          <w:lang w:val="en-US" w:eastAsia="en-US"/>
        </w:rPr>
        <w:t>e said</w:t>
      </w:r>
      <w:r w:rsidRPr="00AC57EA">
        <w:rPr>
          <w:rFonts w:eastAsia="Calibri" w:cs="Verdana"/>
          <w:sz w:val="20"/>
          <w:szCs w:val="20"/>
          <w:lang w:val="en-US" w:eastAsia="en-US"/>
        </w:rPr>
        <w:t xml:space="preserve"> instrument, when the titleholder of rights is under 18 years of age.</w:t>
      </w:r>
      <w:r w:rsidR="00DD00E7" w:rsidRPr="00AC57EA">
        <w:rPr>
          <w:rFonts w:eastAsia="Calibri" w:cs="Verdana"/>
          <w:sz w:val="20"/>
          <w:szCs w:val="20"/>
          <w:vertAlign w:val="superscript"/>
          <w:lang w:val="en-US" w:eastAsia="en-US"/>
        </w:rPr>
        <w:footnoteReference w:id="33"/>
      </w:r>
      <w:r w:rsidRPr="00AC57EA">
        <w:rPr>
          <w:rFonts w:eastAsia="Calibri" w:cs="Verdana"/>
          <w:sz w:val="20"/>
          <w:szCs w:val="20"/>
          <w:lang w:val="en-US" w:eastAsia="en-US"/>
        </w:rPr>
        <w:t xml:space="preserve"> Therefore, based on the preceding considerations, the Court rejects the objection filed.</w:t>
      </w:r>
    </w:p>
    <w:p w14:paraId="2547727E" w14:textId="77777777" w:rsidR="00C607DD" w:rsidRPr="00AC57EA" w:rsidRDefault="00C607DD" w:rsidP="00F75CA4">
      <w:pPr>
        <w:tabs>
          <w:tab w:val="left" w:pos="567"/>
        </w:tabs>
        <w:spacing w:line="240" w:lineRule="auto"/>
        <w:rPr>
          <w:sz w:val="20"/>
          <w:szCs w:val="20"/>
          <w:lang w:val="en-US"/>
        </w:rPr>
      </w:pPr>
    </w:p>
    <w:p w14:paraId="4100131B" w14:textId="4D4E6B31" w:rsidR="00270756" w:rsidRPr="00AC57EA" w:rsidRDefault="00270756" w:rsidP="00C607DD">
      <w:pPr>
        <w:keepNext/>
        <w:keepLines/>
        <w:tabs>
          <w:tab w:val="left" w:pos="851"/>
        </w:tabs>
        <w:spacing w:line="240" w:lineRule="auto"/>
        <w:jc w:val="center"/>
        <w:outlineLvl w:val="0"/>
        <w:rPr>
          <w:rFonts w:cs="Verdana"/>
          <w:b/>
          <w:bCs/>
          <w:caps/>
          <w:snapToGrid w:val="0"/>
          <w:sz w:val="20"/>
          <w:szCs w:val="20"/>
          <w:lang w:val="en-US"/>
        </w:rPr>
      </w:pPr>
      <w:bookmarkStart w:id="61" w:name="_Toc470180042"/>
      <w:bookmarkStart w:id="62" w:name="_Toc514172602"/>
      <w:r w:rsidRPr="00AC57EA">
        <w:rPr>
          <w:rFonts w:cs="Verdana"/>
          <w:b/>
          <w:bCs/>
          <w:caps/>
          <w:snapToGrid w:val="0"/>
          <w:sz w:val="20"/>
          <w:szCs w:val="20"/>
          <w:lang w:val="en-US"/>
        </w:rPr>
        <w:t>V</w:t>
      </w:r>
      <w:r w:rsidRPr="00AC57EA">
        <w:rPr>
          <w:rFonts w:cs="Verdana"/>
          <w:b/>
          <w:bCs/>
          <w:caps/>
          <w:snapToGrid w:val="0"/>
          <w:sz w:val="20"/>
          <w:szCs w:val="20"/>
          <w:lang w:val="en-US"/>
        </w:rPr>
        <w:br/>
      </w:r>
      <w:r w:rsidR="00F83BCD" w:rsidRPr="00AC57EA">
        <w:rPr>
          <w:rFonts w:cs="Verdana"/>
          <w:b/>
          <w:bCs/>
          <w:caps/>
          <w:snapToGrid w:val="0"/>
          <w:sz w:val="20"/>
          <w:szCs w:val="20"/>
          <w:lang w:val="en-US"/>
        </w:rPr>
        <w:t>PRELIMINARY CONSIDERATIONS</w:t>
      </w:r>
      <w:bookmarkEnd w:id="61"/>
      <w:bookmarkEnd w:id="62"/>
    </w:p>
    <w:p w14:paraId="3AE9C9A7" w14:textId="77777777" w:rsidR="00270756" w:rsidRPr="00AC57EA" w:rsidRDefault="00270756" w:rsidP="00681AE9">
      <w:pPr>
        <w:widowControl/>
        <w:adjustRightInd/>
        <w:spacing w:line="240" w:lineRule="auto"/>
        <w:jc w:val="left"/>
        <w:textAlignment w:val="auto"/>
        <w:rPr>
          <w:rFonts w:eastAsiaTheme="minorHAnsi" w:cstheme="minorBidi"/>
          <w:bCs/>
          <w:sz w:val="20"/>
          <w:szCs w:val="20"/>
          <w:lang w:val="en-US" w:eastAsia="en-US"/>
        </w:rPr>
      </w:pPr>
    </w:p>
    <w:p w14:paraId="66563D95" w14:textId="78C188A4" w:rsidR="00270756" w:rsidRPr="00AC57EA" w:rsidRDefault="00F83BCD" w:rsidP="00C17027">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Before examining the pertinent facts and applying the norms </w:t>
      </w:r>
      <w:r w:rsidR="00B7258C" w:rsidRPr="00AC57EA">
        <w:rPr>
          <w:rFonts w:cstheme="minorBidi"/>
          <w:sz w:val="20"/>
          <w:szCs w:val="20"/>
          <w:lang w:val="en-US" w:eastAsia="en-US"/>
        </w:rPr>
        <w:t>of the American Convention</w:t>
      </w:r>
      <w:r w:rsidR="0053723F" w:rsidRPr="00AC57EA">
        <w:rPr>
          <w:rFonts w:cstheme="minorBidi"/>
          <w:sz w:val="20"/>
          <w:szCs w:val="20"/>
          <w:lang w:val="en-US" w:eastAsia="en-US"/>
        </w:rPr>
        <w:t xml:space="preserve"> to them</w:t>
      </w:r>
      <w:r w:rsidRPr="00AC57EA">
        <w:rPr>
          <w:rFonts w:cstheme="minorBidi"/>
          <w:sz w:val="20"/>
          <w:szCs w:val="20"/>
          <w:lang w:val="en-US" w:eastAsia="en-US"/>
        </w:rPr>
        <w:t>,</w:t>
      </w:r>
      <w:r w:rsidR="0053723F" w:rsidRPr="00AC57EA">
        <w:rPr>
          <w:rFonts w:cstheme="minorBidi"/>
          <w:sz w:val="20"/>
          <w:szCs w:val="20"/>
          <w:lang w:val="en-US" w:eastAsia="en-US"/>
        </w:rPr>
        <w:t xml:space="preserve"> </w:t>
      </w:r>
      <w:r w:rsidR="0053723F" w:rsidRPr="00AC57EA">
        <w:rPr>
          <w:sz w:val="20"/>
          <w:szCs w:val="20"/>
          <w:lang w:val="en-US"/>
        </w:rPr>
        <w:t>owing to the State’s arguments,</w:t>
      </w:r>
      <w:r w:rsidRPr="00AC57EA">
        <w:rPr>
          <w:rFonts w:cstheme="minorBidi"/>
          <w:sz w:val="20"/>
          <w:szCs w:val="20"/>
          <w:lang w:val="en-US" w:eastAsia="en-US"/>
        </w:rPr>
        <w:t xml:space="preserve"> some</w:t>
      </w:r>
      <w:r w:rsidR="00270756" w:rsidRPr="00AC57EA">
        <w:rPr>
          <w:rFonts w:cstheme="minorBidi"/>
          <w:sz w:val="20"/>
          <w:szCs w:val="20"/>
          <w:lang w:val="en-US" w:eastAsia="en-US"/>
        </w:rPr>
        <w:t xml:space="preserve"> </w:t>
      </w:r>
      <w:r w:rsidRPr="00AC57EA">
        <w:rPr>
          <w:rFonts w:cstheme="minorBidi"/>
          <w:sz w:val="20"/>
          <w:szCs w:val="20"/>
          <w:lang w:val="en-US" w:eastAsia="en-US"/>
        </w:rPr>
        <w:t>preliminary considerations</w:t>
      </w:r>
      <w:r w:rsidR="0053723F" w:rsidRPr="00AC57EA">
        <w:rPr>
          <w:rFonts w:cstheme="minorBidi"/>
          <w:sz w:val="20"/>
          <w:szCs w:val="20"/>
          <w:lang w:val="en-US" w:eastAsia="en-US"/>
        </w:rPr>
        <w:t xml:space="preserve"> must be included</w:t>
      </w:r>
      <w:r w:rsidRPr="00AC57EA">
        <w:rPr>
          <w:rFonts w:cstheme="minorBidi"/>
          <w:sz w:val="20"/>
          <w:szCs w:val="20"/>
          <w:lang w:val="en-US" w:eastAsia="en-US"/>
        </w:rPr>
        <w:t xml:space="preserve"> on the determination </w:t>
      </w:r>
      <w:r w:rsidR="00171E27" w:rsidRPr="00AC57EA">
        <w:rPr>
          <w:rFonts w:cstheme="minorBidi"/>
          <w:sz w:val="20"/>
          <w:szCs w:val="20"/>
          <w:lang w:val="en-US" w:eastAsia="en-US"/>
        </w:rPr>
        <w:t xml:space="preserve">of the presumed victims and </w:t>
      </w:r>
      <w:r w:rsidRPr="00AC57EA">
        <w:rPr>
          <w:rFonts w:cstheme="minorBidi"/>
          <w:sz w:val="20"/>
          <w:szCs w:val="20"/>
          <w:lang w:val="en-US" w:eastAsia="en-US"/>
        </w:rPr>
        <w:t xml:space="preserve">the </w:t>
      </w:r>
      <w:r w:rsidR="0053723F" w:rsidRPr="00AC57EA">
        <w:rPr>
          <w:rFonts w:cstheme="minorBidi"/>
          <w:sz w:val="20"/>
          <w:szCs w:val="20"/>
          <w:lang w:val="en-US" w:eastAsia="en-US"/>
        </w:rPr>
        <w:t>rights presumably violated according to</w:t>
      </w:r>
      <w:r w:rsidRPr="00AC57EA">
        <w:rPr>
          <w:rFonts w:cstheme="minorBidi"/>
          <w:sz w:val="20"/>
          <w:szCs w:val="20"/>
          <w:lang w:val="en-US" w:eastAsia="en-US"/>
        </w:rPr>
        <w:t xml:space="preserve"> </w:t>
      </w:r>
      <w:r w:rsidR="00171E27" w:rsidRPr="00AC57EA">
        <w:rPr>
          <w:rFonts w:cstheme="minorBidi"/>
          <w:sz w:val="20"/>
          <w:szCs w:val="20"/>
          <w:lang w:val="en-US" w:eastAsia="en-US"/>
        </w:rPr>
        <w:t>the representatives</w:t>
      </w:r>
      <w:r w:rsidRPr="00AC57EA">
        <w:rPr>
          <w:sz w:val="20"/>
          <w:szCs w:val="20"/>
          <w:lang w:val="en-US"/>
        </w:rPr>
        <w:t>. Regarding the State’s arguments on the</w:t>
      </w:r>
      <w:r w:rsidR="0053723F" w:rsidRPr="00AC57EA">
        <w:rPr>
          <w:sz w:val="20"/>
          <w:szCs w:val="20"/>
          <w:lang w:val="en-US"/>
        </w:rPr>
        <w:t xml:space="preserve"> representatives’</w:t>
      </w:r>
      <w:r w:rsidRPr="00AC57EA">
        <w:rPr>
          <w:sz w:val="20"/>
          <w:szCs w:val="20"/>
          <w:lang w:val="en-US"/>
        </w:rPr>
        <w:t xml:space="preserve"> supposed late presentation of some annexes to the</w:t>
      </w:r>
      <w:r w:rsidR="00A2086D" w:rsidRPr="00AC57EA">
        <w:rPr>
          <w:rFonts w:cstheme="minorBidi"/>
          <w:sz w:val="20"/>
          <w:szCs w:val="20"/>
          <w:lang w:val="en-US" w:eastAsia="en-US"/>
        </w:rPr>
        <w:t xml:space="preserve"> </w:t>
      </w:r>
      <w:r w:rsidR="00171E27" w:rsidRPr="00AC57EA">
        <w:rPr>
          <w:rFonts w:cstheme="minorBidi"/>
          <w:sz w:val="20"/>
          <w:szCs w:val="20"/>
          <w:lang w:val="en-US" w:eastAsia="en-US"/>
        </w:rPr>
        <w:t>pleadings and motions brief</w:t>
      </w:r>
      <w:r w:rsidR="00A2086D" w:rsidRPr="00AC57EA">
        <w:rPr>
          <w:rFonts w:cstheme="minorBidi"/>
          <w:sz w:val="20"/>
          <w:szCs w:val="20"/>
          <w:lang w:val="en-US" w:eastAsia="en-US"/>
        </w:rPr>
        <w:t xml:space="preserve">, </w:t>
      </w:r>
      <w:r w:rsidR="00B7258C" w:rsidRPr="00AC57EA">
        <w:rPr>
          <w:rFonts w:cstheme="minorBidi"/>
          <w:sz w:val="20"/>
          <w:szCs w:val="20"/>
          <w:lang w:val="en-US" w:eastAsia="en-US"/>
        </w:rPr>
        <w:t>the Court</w:t>
      </w:r>
      <w:r w:rsidR="00A2086D" w:rsidRPr="00AC57EA">
        <w:rPr>
          <w:rFonts w:cstheme="minorBidi"/>
          <w:sz w:val="20"/>
          <w:szCs w:val="20"/>
          <w:lang w:val="en-US" w:eastAsia="en-US"/>
        </w:rPr>
        <w:t xml:space="preserve"> </w:t>
      </w:r>
      <w:r w:rsidRPr="00AC57EA">
        <w:rPr>
          <w:rFonts w:cstheme="minorBidi"/>
          <w:sz w:val="20"/>
          <w:szCs w:val="20"/>
          <w:lang w:val="en-US" w:eastAsia="en-US"/>
        </w:rPr>
        <w:t>will take the pertinent decision in the chapter corresponding to the evidence</w:t>
      </w:r>
      <w:r w:rsidR="00A2086D" w:rsidRPr="00AC57EA">
        <w:rPr>
          <w:rFonts w:cstheme="minorBidi"/>
          <w:sz w:val="20"/>
          <w:szCs w:val="20"/>
          <w:lang w:val="en-US" w:eastAsia="en-US"/>
        </w:rPr>
        <w:t xml:space="preserve"> (</w:t>
      </w:r>
      <w:r w:rsidR="00A2086D" w:rsidRPr="00AC57EA">
        <w:rPr>
          <w:rFonts w:cstheme="minorBidi"/>
          <w:i/>
          <w:sz w:val="20"/>
          <w:szCs w:val="20"/>
          <w:lang w:val="en-US" w:eastAsia="en-US"/>
        </w:rPr>
        <w:t>infra</w:t>
      </w:r>
      <w:r w:rsidR="00DA704D" w:rsidRPr="00AC57EA">
        <w:rPr>
          <w:rFonts w:cstheme="minorBidi"/>
          <w:sz w:val="20"/>
          <w:szCs w:val="20"/>
          <w:lang w:val="en-US" w:eastAsia="en-US"/>
        </w:rPr>
        <w:t xml:space="preserve"> </w:t>
      </w:r>
      <w:r w:rsidR="00171E27" w:rsidRPr="00AC57EA">
        <w:rPr>
          <w:rFonts w:cstheme="minorBidi"/>
          <w:sz w:val="20"/>
          <w:szCs w:val="20"/>
          <w:lang w:val="en-US" w:eastAsia="en-US"/>
        </w:rPr>
        <w:t>para.</w:t>
      </w:r>
      <w:r w:rsidR="00DA704D" w:rsidRPr="00AC57EA">
        <w:rPr>
          <w:rFonts w:cstheme="minorBidi"/>
          <w:sz w:val="20"/>
          <w:szCs w:val="20"/>
          <w:lang w:val="en-US" w:eastAsia="en-US"/>
        </w:rPr>
        <w:t xml:space="preserve"> 60</w:t>
      </w:r>
      <w:r w:rsidR="00A2086D" w:rsidRPr="00AC57EA">
        <w:rPr>
          <w:rFonts w:cstheme="minorBidi"/>
          <w:sz w:val="20"/>
          <w:szCs w:val="20"/>
          <w:lang w:val="en-US" w:eastAsia="en-US"/>
        </w:rPr>
        <w:t>).</w:t>
      </w:r>
    </w:p>
    <w:p w14:paraId="158562BC" w14:textId="04456886" w:rsidR="00270756" w:rsidRPr="00AC57EA" w:rsidRDefault="00270756" w:rsidP="003B445C">
      <w:pPr>
        <w:keepNext/>
        <w:keepLines/>
        <w:tabs>
          <w:tab w:val="left" w:pos="1134"/>
        </w:tabs>
        <w:spacing w:line="240" w:lineRule="auto"/>
        <w:ind w:left="567" w:firstLine="1"/>
        <w:outlineLvl w:val="1"/>
        <w:rPr>
          <w:rFonts w:eastAsia="MS Mincho"/>
          <w:b/>
          <w:bCs/>
          <w:i/>
          <w:sz w:val="20"/>
          <w:szCs w:val="20"/>
          <w:lang w:val="en-US"/>
        </w:rPr>
      </w:pPr>
      <w:bookmarkStart w:id="63" w:name="_Toc470180043"/>
      <w:bookmarkStart w:id="64" w:name="_Toc514172603"/>
      <w:r w:rsidRPr="00AC57EA">
        <w:rPr>
          <w:rFonts w:eastAsia="MS Mincho"/>
          <w:b/>
          <w:bCs/>
          <w:i/>
          <w:sz w:val="20"/>
          <w:szCs w:val="20"/>
          <w:lang w:val="en-US"/>
        </w:rPr>
        <w:lastRenderedPageBreak/>
        <w:t>A.</w:t>
      </w:r>
      <w:r w:rsidRPr="00AC57EA">
        <w:rPr>
          <w:rFonts w:eastAsia="MS Mincho"/>
          <w:b/>
          <w:bCs/>
          <w:i/>
          <w:sz w:val="20"/>
          <w:szCs w:val="20"/>
          <w:lang w:val="en-US"/>
        </w:rPr>
        <w:tab/>
      </w:r>
      <w:r w:rsidR="005A2722" w:rsidRPr="00AC57EA">
        <w:rPr>
          <w:rFonts w:eastAsia="MS Mincho"/>
          <w:b/>
          <w:bCs/>
          <w:i/>
          <w:sz w:val="20"/>
          <w:szCs w:val="20"/>
          <w:lang w:val="en-US"/>
        </w:rPr>
        <w:t>Determination</w:t>
      </w:r>
      <w:r w:rsidR="00171E27" w:rsidRPr="00AC57EA">
        <w:rPr>
          <w:rFonts w:eastAsia="MS Mincho"/>
          <w:b/>
          <w:bCs/>
          <w:i/>
          <w:sz w:val="20"/>
          <w:szCs w:val="20"/>
          <w:lang w:val="en-US"/>
        </w:rPr>
        <w:t xml:space="preserve"> of the presumed victims</w:t>
      </w:r>
      <w:bookmarkEnd w:id="63"/>
      <w:bookmarkEnd w:id="64"/>
    </w:p>
    <w:p w14:paraId="39298576" w14:textId="77777777" w:rsidR="00270756" w:rsidRPr="00AC57EA" w:rsidRDefault="00270756" w:rsidP="00270756">
      <w:pPr>
        <w:widowControl/>
        <w:adjustRightInd/>
        <w:spacing w:line="240" w:lineRule="auto"/>
        <w:textAlignment w:val="auto"/>
        <w:rPr>
          <w:rFonts w:eastAsiaTheme="minorHAnsi" w:cstheme="minorBidi"/>
          <w:b/>
          <w:bCs/>
          <w:i/>
          <w:sz w:val="20"/>
          <w:szCs w:val="20"/>
          <w:lang w:val="en-US" w:eastAsia="en-US"/>
        </w:rPr>
      </w:pPr>
    </w:p>
    <w:p w14:paraId="08F1DE6E" w14:textId="2B412D29" w:rsidR="007A37EF" w:rsidRPr="00AC57EA" w:rsidRDefault="007A37EF" w:rsidP="007A37EF">
      <w:pPr>
        <w:pStyle w:val="Ttulo2"/>
        <w:tabs>
          <w:tab w:val="left" w:pos="1843"/>
        </w:tabs>
        <w:spacing w:before="0" w:line="240" w:lineRule="auto"/>
        <w:ind w:left="1134"/>
        <w:rPr>
          <w:rFonts w:ascii="Verdana" w:hAnsi="Verdana"/>
          <w:b w:val="0"/>
          <w:i/>
          <w:color w:val="auto"/>
          <w:sz w:val="20"/>
          <w:szCs w:val="20"/>
          <w:lang w:val="en-US"/>
        </w:rPr>
      </w:pPr>
      <w:bookmarkStart w:id="65" w:name="_Toc514172604"/>
      <w:r w:rsidRPr="00AC57EA">
        <w:rPr>
          <w:rFonts w:ascii="Verdana" w:hAnsi="Verdana"/>
          <w:b w:val="0"/>
          <w:i/>
          <w:color w:val="auto"/>
          <w:sz w:val="20"/>
          <w:szCs w:val="20"/>
          <w:lang w:val="en-US"/>
        </w:rPr>
        <w:t xml:space="preserve">A.1 </w:t>
      </w:r>
      <w:r w:rsidRPr="00AC57EA">
        <w:rPr>
          <w:rFonts w:ascii="Verdana" w:hAnsi="Verdana"/>
          <w:b w:val="0"/>
          <w:i/>
          <w:color w:val="auto"/>
          <w:sz w:val="20"/>
          <w:szCs w:val="20"/>
          <w:lang w:val="en-US"/>
        </w:rPr>
        <w:tab/>
      </w:r>
      <w:r w:rsidR="009E569E" w:rsidRPr="00AC57EA">
        <w:rPr>
          <w:rFonts w:ascii="Verdana" w:hAnsi="Verdana"/>
          <w:b w:val="0"/>
          <w:i/>
          <w:color w:val="auto"/>
          <w:sz w:val="20"/>
          <w:szCs w:val="20"/>
          <w:lang w:val="en-US"/>
        </w:rPr>
        <w:t>Arguments</w:t>
      </w:r>
      <w:r w:rsidR="00EC52D7" w:rsidRPr="00AC57EA">
        <w:rPr>
          <w:rFonts w:ascii="Verdana" w:hAnsi="Verdana"/>
          <w:b w:val="0"/>
          <w:i/>
          <w:color w:val="auto"/>
          <w:sz w:val="20"/>
          <w:szCs w:val="20"/>
          <w:lang w:val="en-US"/>
        </w:rPr>
        <w:t xml:space="preserve"> of the State</w:t>
      </w:r>
      <w:r w:rsidR="00171E27" w:rsidRPr="00AC57EA">
        <w:rPr>
          <w:rFonts w:ascii="Verdana" w:hAnsi="Verdana"/>
          <w:b w:val="0"/>
          <w:i/>
          <w:color w:val="auto"/>
          <w:sz w:val="20"/>
          <w:szCs w:val="20"/>
          <w:lang w:val="en-US"/>
        </w:rPr>
        <w:t xml:space="preserve"> and </w:t>
      </w:r>
      <w:r w:rsidR="009E569E" w:rsidRPr="00AC57EA">
        <w:rPr>
          <w:rFonts w:ascii="Verdana" w:hAnsi="Verdana"/>
          <w:b w:val="0"/>
          <w:i/>
          <w:color w:val="auto"/>
          <w:sz w:val="20"/>
          <w:szCs w:val="20"/>
          <w:lang w:val="en-US"/>
        </w:rPr>
        <w:t>observations</w:t>
      </w:r>
      <w:r w:rsidR="00B7258C" w:rsidRPr="00AC57EA">
        <w:rPr>
          <w:rFonts w:ascii="Verdana" w:hAnsi="Verdana"/>
          <w:b w:val="0"/>
          <w:i/>
          <w:color w:val="auto"/>
          <w:sz w:val="20"/>
          <w:szCs w:val="20"/>
          <w:lang w:val="en-US"/>
        </w:rPr>
        <w:t xml:space="preserve"> of the Commission</w:t>
      </w:r>
      <w:r w:rsidR="00171E27" w:rsidRPr="00AC57EA">
        <w:rPr>
          <w:rFonts w:ascii="Verdana" w:hAnsi="Verdana"/>
          <w:b w:val="0"/>
          <w:i/>
          <w:color w:val="auto"/>
          <w:sz w:val="20"/>
          <w:szCs w:val="20"/>
          <w:lang w:val="en-US"/>
        </w:rPr>
        <w:t xml:space="preserve"> and the representatives</w:t>
      </w:r>
      <w:bookmarkEnd w:id="65"/>
    </w:p>
    <w:p w14:paraId="41EEDE47" w14:textId="77777777" w:rsidR="007A37EF" w:rsidRPr="00AC57EA" w:rsidRDefault="007A37EF" w:rsidP="00270756">
      <w:pPr>
        <w:widowControl/>
        <w:adjustRightInd/>
        <w:spacing w:line="240" w:lineRule="auto"/>
        <w:textAlignment w:val="auto"/>
        <w:rPr>
          <w:rFonts w:eastAsiaTheme="minorHAnsi" w:cstheme="minorBidi"/>
          <w:b/>
          <w:bCs/>
          <w:i/>
          <w:sz w:val="20"/>
          <w:szCs w:val="20"/>
          <w:lang w:val="en-US" w:eastAsia="en-US"/>
        </w:rPr>
      </w:pPr>
    </w:p>
    <w:p w14:paraId="03D22C1A" w14:textId="682ED772" w:rsidR="00270756" w:rsidRPr="00AC57EA" w:rsidRDefault="00EC52D7" w:rsidP="00D14A1F">
      <w:pPr>
        <w:numPr>
          <w:ilvl w:val="0"/>
          <w:numId w:val="2"/>
        </w:numPr>
        <w:tabs>
          <w:tab w:val="left" w:pos="567"/>
          <w:tab w:val="left" w:pos="1530"/>
          <w:tab w:val="num" w:pos="12305"/>
        </w:tabs>
        <w:spacing w:line="240" w:lineRule="auto"/>
        <w:ind w:left="0" w:firstLine="0"/>
        <w:rPr>
          <w:rFonts w:cstheme="minorBidi"/>
          <w:b/>
          <w:i/>
          <w:sz w:val="20"/>
          <w:szCs w:val="20"/>
          <w:lang w:val="en-US" w:eastAsia="en-US"/>
        </w:rPr>
      </w:pPr>
      <w:r w:rsidRPr="00AC57EA">
        <w:rPr>
          <w:rFonts w:cstheme="minorBidi"/>
          <w:sz w:val="20"/>
          <w:szCs w:val="20"/>
          <w:lang w:val="en-US" w:eastAsia="en-US"/>
        </w:rPr>
        <w:t xml:space="preserve">The </w:t>
      </w:r>
      <w:r w:rsidRPr="00AC57EA">
        <w:rPr>
          <w:rFonts w:cstheme="minorBidi"/>
          <w:b/>
          <w:bCs/>
          <w:i/>
          <w:iCs/>
          <w:sz w:val="20"/>
          <w:szCs w:val="20"/>
          <w:lang w:val="en-US" w:eastAsia="en-US"/>
        </w:rPr>
        <w:t>State</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argued that</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Court</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did not have competence to examine the alleged violations of the rights of N</w:t>
      </w:r>
      <w:r w:rsidR="00762232" w:rsidRPr="00AC57EA">
        <w:rPr>
          <w:rFonts w:cstheme="minorBidi"/>
          <w:sz w:val="20"/>
          <w:szCs w:val="20"/>
          <w:lang w:val="en-US" w:eastAsia="en-US"/>
        </w:rPr>
        <w:t xml:space="preserve">.R.P., </w:t>
      </w:r>
      <w:r w:rsidR="00270756" w:rsidRPr="00AC57EA">
        <w:rPr>
          <w:rFonts w:cstheme="minorBidi"/>
          <w:sz w:val="20"/>
          <w:szCs w:val="20"/>
          <w:lang w:val="en-US" w:eastAsia="en-US"/>
        </w:rPr>
        <w:t>H.J.R.P.</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 xml:space="preserve">V.A.R.P., </w:t>
      </w:r>
      <w:r w:rsidR="005A2722" w:rsidRPr="00AC57EA">
        <w:rPr>
          <w:rFonts w:cstheme="minorBidi"/>
          <w:sz w:val="20"/>
          <w:szCs w:val="20"/>
          <w:lang w:val="en-US" w:eastAsia="en-US"/>
        </w:rPr>
        <w:t>because</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Commission</w:t>
      </w:r>
      <w:r w:rsidR="005A2722" w:rsidRPr="00AC57EA">
        <w:rPr>
          <w:rFonts w:cstheme="minorBidi"/>
          <w:sz w:val="20"/>
          <w:szCs w:val="20"/>
          <w:lang w:val="en-US" w:eastAsia="en-US"/>
        </w:rPr>
        <w:t xml:space="preserve"> had not included them as presumed victims in its</w:t>
      </w:r>
      <w:r w:rsidR="00270756" w:rsidRPr="00AC57EA">
        <w:rPr>
          <w:rFonts w:cstheme="minorBidi"/>
          <w:sz w:val="20"/>
          <w:szCs w:val="20"/>
          <w:lang w:val="en-US" w:eastAsia="en-US"/>
        </w:rPr>
        <w:t xml:space="preserve"> </w:t>
      </w:r>
      <w:r w:rsidRPr="00AC57EA">
        <w:rPr>
          <w:rFonts w:cstheme="minorBidi"/>
          <w:sz w:val="20"/>
          <w:szCs w:val="20"/>
          <w:lang w:val="en-US" w:eastAsia="en-US"/>
        </w:rPr>
        <w:t>Merits Report</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T</w:t>
      </w:r>
      <w:r w:rsidRPr="00AC57EA">
        <w:rPr>
          <w:rFonts w:cstheme="minorBidi"/>
          <w:sz w:val="20"/>
          <w:szCs w:val="20"/>
          <w:lang w:val="en-US" w:eastAsia="en-US"/>
        </w:rPr>
        <w:t>he State</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asserted that,</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in</w:t>
      </w:r>
      <w:r w:rsidR="00270756" w:rsidRPr="00AC57EA">
        <w:rPr>
          <w:rFonts w:cstheme="minorBidi"/>
          <w:sz w:val="20"/>
          <w:szCs w:val="20"/>
          <w:lang w:val="en-US" w:eastAsia="en-US"/>
        </w:rPr>
        <w:t xml:space="preserve"> </w:t>
      </w:r>
      <w:r w:rsidRPr="00AC57EA">
        <w:rPr>
          <w:rFonts w:cstheme="minorBidi"/>
          <w:sz w:val="20"/>
          <w:szCs w:val="20"/>
          <w:lang w:val="en-US" w:eastAsia="en-US"/>
        </w:rPr>
        <w:t>Admissibility Report</w:t>
      </w:r>
      <w:r w:rsidR="00270756" w:rsidRPr="00AC57EA">
        <w:rPr>
          <w:rFonts w:cstheme="minorBidi"/>
          <w:sz w:val="20"/>
          <w:szCs w:val="20"/>
          <w:lang w:val="en-US" w:eastAsia="en-US"/>
        </w:rPr>
        <w:t xml:space="preserve"> </w:t>
      </w:r>
      <w:r w:rsidR="00A513AB" w:rsidRPr="00AC57EA">
        <w:rPr>
          <w:rFonts w:cstheme="minorBidi"/>
          <w:sz w:val="20"/>
          <w:szCs w:val="20"/>
          <w:lang w:val="en-US" w:eastAsia="en-US"/>
        </w:rPr>
        <w:t xml:space="preserve">No. </w:t>
      </w:r>
      <w:r w:rsidR="00270756" w:rsidRPr="00AC57EA">
        <w:rPr>
          <w:rFonts w:cstheme="minorBidi"/>
          <w:sz w:val="20"/>
          <w:szCs w:val="20"/>
          <w:lang w:val="en-US" w:eastAsia="en-US"/>
        </w:rPr>
        <w:t>3/09</w:t>
      </w:r>
      <w:r w:rsidR="005A2722" w:rsidRPr="00AC57EA">
        <w:rPr>
          <w:rFonts w:cstheme="minorBidi"/>
          <w:sz w:val="20"/>
          <w:szCs w:val="20"/>
          <w:lang w:val="en-US" w:eastAsia="en-US"/>
        </w:rPr>
        <w:t xml:space="preserve">, the Commission had established a limit with regard to those who were </w:t>
      </w:r>
      <w:r w:rsidR="00171E27" w:rsidRPr="00AC57EA">
        <w:rPr>
          <w:rFonts w:cstheme="minorBidi"/>
          <w:sz w:val="20"/>
          <w:szCs w:val="20"/>
          <w:lang w:val="en-US" w:eastAsia="en-US"/>
        </w:rPr>
        <w:t>the presumed victims</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 xml:space="preserve">in this matter. Also, in </w:t>
      </w:r>
      <w:r w:rsidRPr="00AC57EA">
        <w:rPr>
          <w:rFonts w:cstheme="minorBidi"/>
          <w:sz w:val="20"/>
          <w:szCs w:val="20"/>
          <w:lang w:val="en-US" w:eastAsia="en-US"/>
        </w:rPr>
        <w:t>Report</w:t>
      </w:r>
      <w:r w:rsidR="00D566C9" w:rsidRPr="00AC57EA">
        <w:rPr>
          <w:rFonts w:eastAsia="Verdana" w:cs="Verdana"/>
          <w:sz w:val="20"/>
          <w:szCs w:val="20"/>
          <w:lang w:val="en-US"/>
        </w:rPr>
        <w:t xml:space="preserve"> No. 4/16</w:t>
      </w:r>
      <w:r w:rsidR="005A2722" w:rsidRPr="00AC57EA">
        <w:rPr>
          <w:rFonts w:eastAsia="Verdana" w:cs="Verdana"/>
          <w:sz w:val="20"/>
          <w:szCs w:val="20"/>
          <w:lang w:val="en-US"/>
        </w:rPr>
        <w:t xml:space="preserve">, it had determined that the victims in this case were </w:t>
      </w:r>
      <w:r w:rsidR="00270756" w:rsidRPr="00AC57EA">
        <w:rPr>
          <w:rFonts w:cstheme="minorBidi"/>
          <w:sz w:val="20"/>
          <w:szCs w:val="20"/>
          <w:lang w:val="en-US" w:eastAsia="en-US"/>
        </w:rPr>
        <w:t>V.R.P.</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 xml:space="preserve">V.P.C. </w:t>
      </w:r>
      <w:r w:rsidR="005A2722" w:rsidRPr="00AC57EA">
        <w:rPr>
          <w:rFonts w:cstheme="minorBidi"/>
          <w:sz w:val="20"/>
          <w:szCs w:val="20"/>
          <w:lang w:val="en-US" w:eastAsia="en-US"/>
        </w:rPr>
        <w:t>However</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the representatives</w:t>
      </w:r>
      <w:r w:rsidR="005A2722" w:rsidRPr="00AC57EA">
        <w:rPr>
          <w:rFonts w:cstheme="minorBidi"/>
          <w:sz w:val="20"/>
          <w:szCs w:val="20"/>
          <w:lang w:val="en-US" w:eastAsia="en-US"/>
        </w:rPr>
        <w:t xml:space="preserve">, in the section of their </w:t>
      </w:r>
      <w:r w:rsidR="00171E27" w:rsidRPr="00AC57EA">
        <w:rPr>
          <w:rFonts w:cstheme="minorBidi"/>
          <w:sz w:val="20"/>
          <w:szCs w:val="20"/>
          <w:lang w:val="en-US" w:eastAsia="en-US"/>
        </w:rPr>
        <w:t>pleadings and motions brief</w:t>
      </w:r>
      <w:r w:rsidR="005A2722" w:rsidRPr="00AC57EA">
        <w:rPr>
          <w:rFonts w:cstheme="minorBidi"/>
          <w:sz w:val="20"/>
          <w:szCs w:val="20"/>
          <w:lang w:val="en-US" w:eastAsia="en-US"/>
        </w:rPr>
        <w:t xml:space="preserve"> on reparations, </w:t>
      </w:r>
      <w:r w:rsidR="0053723F" w:rsidRPr="00AC57EA">
        <w:rPr>
          <w:rFonts w:cstheme="minorBidi"/>
          <w:sz w:val="20"/>
          <w:szCs w:val="20"/>
          <w:lang w:val="en-US" w:eastAsia="en-US"/>
        </w:rPr>
        <w:t xml:space="preserve">had </w:t>
      </w:r>
      <w:r w:rsidR="005A2722" w:rsidRPr="00AC57EA">
        <w:rPr>
          <w:rFonts w:cstheme="minorBidi"/>
          <w:sz w:val="20"/>
          <w:szCs w:val="20"/>
          <w:lang w:val="en-US" w:eastAsia="en-US"/>
        </w:rPr>
        <w:t>incorporate</w:t>
      </w:r>
      <w:r w:rsidR="0053723F" w:rsidRPr="00AC57EA">
        <w:rPr>
          <w:rFonts w:cstheme="minorBidi"/>
          <w:sz w:val="20"/>
          <w:szCs w:val="20"/>
          <w:lang w:val="en-US" w:eastAsia="en-US"/>
        </w:rPr>
        <w:t>d</w:t>
      </w:r>
      <w:r w:rsidR="005A2722" w:rsidRPr="00AC57EA">
        <w:rPr>
          <w:rFonts w:cstheme="minorBidi"/>
          <w:sz w:val="20"/>
          <w:szCs w:val="20"/>
          <w:lang w:val="en-US" w:eastAsia="en-US"/>
        </w:rPr>
        <w:t xml:space="preserve"> a request to the Court to recognize the petitioner’s other children as beneficiaries</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Therefore</w:t>
      </w:r>
      <w:r w:rsidR="00270756" w:rsidRPr="00AC57EA">
        <w:rPr>
          <w:rFonts w:cstheme="minorBidi"/>
          <w:sz w:val="20"/>
          <w:szCs w:val="20"/>
          <w:lang w:val="en-US" w:eastAsia="en-US"/>
        </w:rPr>
        <w:t xml:space="preserve">, </w:t>
      </w:r>
      <w:r w:rsidRPr="00AC57EA">
        <w:rPr>
          <w:rFonts w:cstheme="minorBidi"/>
          <w:sz w:val="20"/>
          <w:szCs w:val="20"/>
          <w:lang w:val="en-US" w:eastAsia="en-US"/>
        </w:rPr>
        <w:t>the State</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 xml:space="preserve">asked </w:t>
      </w:r>
      <w:r w:rsidR="00B7258C" w:rsidRPr="00AC57EA">
        <w:rPr>
          <w:rFonts w:cstheme="minorBidi"/>
          <w:sz w:val="20"/>
          <w:szCs w:val="20"/>
          <w:lang w:val="en-US" w:eastAsia="en-US"/>
        </w:rPr>
        <w:t>the Court</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 xml:space="preserve">to declare itself incompetent to examine the reparations claimed in favor of </w:t>
      </w:r>
      <w:r w:rsidR="00762232" w:rsidRPr="00AC57EA">
        <w:rPr>
          <w:rFonts w:cstheme="minorBidi"/>
          <w:sz w:val="20"/>
          <w:szCs w:val="20"/>
          <w:lang w:val="en-US" w:eastAsia="en-US"/>
        </w:rPr>
        <w:t xml:space="preserve">N.R.P., </w:t>
      </w:r>
      <w:r w:rsidR="00270756" w:rsidRPr="00AC57EA">
        <w:rPr>
          <w:rFonts w:cstheme="minorBidi"/>
          <w:sz w:val="20"/>
          <w:szCs w:val="20"/>
          <w:lang w:val="en-US" w:eastAsia="en-US"/>
        </w:rPr>
        <w:t>H.J.R.P.</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 xml:space="preserve">V.A.R.P., </w:t>
      </w:r>
      <w:r w:rsidR="005A2722" w:rsidRPr="00AC57EA">
        <w:rPr>
          <w:rFonts w:cstheme="minorBidi"/>
          <w:sz w:val="20"/>
          <w:szCs w:val="20"/>
          <w:lang w:val="en-US" w:eastAsia="en-US"/>
        </w:rPr>
        <w:t xml:space="preserve">because the possible victims and beneficiaries of an eventual reparation can only be the persons identified by the Commission in its </w:t>
      </w:r>
      <w:r w:rsidRPr="00AC57EA">
        <w:rPr>
          <w:rFonts w:cstheme="minorBidi"/>
          <w:sz w:val="20"/>
          <w:szCs w:val="20"/>
          <w:lang w:val="en-US" w:eastAsia="en-US"/>
        </w:rPr>
        <w:t>Merits Report</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In its final</w:t>
      </w:r>
      <w:r w:rsidR="00F92515" w:rsidRPr="00AC57EA">
        <w:rPr>
          <w:rFonts w:cstheme="minorBidi"/>
          <w:sz w:val="20"/>
          <w:szCs w:val="20"/>
          <w:lang w:val="en-US" w:eastAsia="en-US"/>
        </w:rPr>
        <w:t xml:space="preserve"> </w:t>
      </w:r>
      <w:r w:rsidR="009E569E" w:rsidRPr="00AC57EA">
        <w:rPr>
          <w:rFonts w:cstheme="minorBidi"/>
          <w:sz w:val="20"/>
          <w:szCs w:val="20"/>
          <w:lang w:val="en-US" w:eastAsia="en-US"/>
        </w:rPr>
        <w:t>arguments</w:t>
      </w:r>
      <w:r w:rsidR="00F92515" w:rsidRPr="00AC57EA">
        <w:rPr>
          <w:rFonts w:cstheme="minorBidi"/>
          <w:sz w:val="20"/>
          <w:szCs w:val="20"/>
          <w:lang w:val="en-US" w:eastAsia="en-US"/>
        </w:rPr>
        <w:t xml:space="preserve">, </w:t>
      </w:r>
      <w:r w:rsidRPr="00AC57EA">
        <w:rPr>
          <w:rFonts w:cstheme="minorBidi"/>
          <w:sz w:val="20"/>
          <w:szCs w:val="20"/>
          <w:lang w:val="en-US" w:eastAsia="en-US"/>
        </w:rPr>
        <w:t>the State</w:t>
      </w:r>
      <w:r w:rsidR="00F92515" w:rsidRPr="00AC57EA">
        <w:rPr>
          <w:rFonts w:cstheme="minorBidi"/>
          <w:sz w:val="20"/>
          <w:szCs w:val="20"/>
          <w:lang w:val="en-US" w:eastAsia="en-US"/>
        </w:rPr>
        <w:t xml:space="preserve"> </w:t>
      </w:r>
      <w:r w:rsidR="005A2722" w:rsidRPr="00AC57EA">
        <w:rPr>
          <w:rFonts w:cstheme="minorBidi"/>
          <w:sz w:val="20"/>
          <w:szCs w:val="20"/>
          <w:lang w:val="en-US" w:eastAsia="en-US"/>
        </w:rPr>
        <w:t xml:space="preserve">affirmed that neither in this report, even in paragraph </w:t>
      </w:r>
      <w:r w:rsidR="00F92515" w:rsidRPr="00AC57EA">
        <w:rPr>
          <w:rFonts w:cstheme="minorBidi"/>
          <w:sz w:val="20"/>
          <w:szCs w:val="20"/>
          <w:lang w:val="en-US" w:eastAsia="en-US"/>
        </w:rPr>
        <w:t xml:space="preserve">153, </w:t>
      </w:r>
      <w:r w:rsidR="004932BF" w:rsidRPr="00AC57EA">
        <w:rPr>
          <w:rFonts w:cstheme="minorBidi"/>
          <w:sz w:val="20"/>
          <w:szCs w:val="20"/>
          <w:lang w:val="en-US" w:eastAsia="en-US"/>
        </w:rPr>
        <w:t>n</w:t>
      </w:r>
      <w:r w:rsidR="005A2722" w:rsidRPr="00AC57EA">
        <w:rPr>
          <w:rFonts w:cstheme="minorBidi"/>
          <w:sz w:val="20"/>
          <w:szCs w:val="20"/>
          <w:lang w:val="en-US" w:eastAsia="en-US"/>
        </w:rPr>
        <w:t>or in the letter submitting the case to the Court, had the Commission referred to a</w:t>
      </w:r>
      <w:r w:rsidR="00B7258C" w:rsidRPr="00AC57EA">
        <w:rPr>
          <w:rFonts w:cstheme="minorBidi"/>
          <w:sz w:val="20"/>
          <w:szCs w:val="20"/>
          <w:lang w:val="en-US" w:eastAsia="en-US"/>
        </w:rPr>
        <w:t>rticles of the Convention</w:t>
      </w:r>
      <w:r w:rsidR="00F92515" w:rsidRPr="00AC57EA">
        <w:rPr>
          <w:rFonts w:cstheme="minorBidi"/>
          <w:sz w:val="20"/>
          <w:szCs w:val="20"/>
          <w:lang w:val="en-US" w:eastAsia="en-US"/>
        </w:rPr>
        <w:t xml:space="preserve"> </w:t>
      </w:r>
      <w:r w:rsidR="005A2722" w:rsidRPr="00AC57EA">
        <w:rPr>
          <w:rFonts w:cstheme="minorBidi"/>
          <w:sz w:val="20"/>
          <w:szCs w:val="20"/>
          <w:lang w:val="en-US" w:eastAsia="en-US"/>
        </w:rPr>
        <w:t xml:space="preserve">that were supposedly violated in the case of </w:t>
      </w:r>
      <w:r w:rsidR="0053723F" w:rsidRPr="00AC57EA">
        <w:rPr>
          <w:rFonts w:cstheme="minorBidi"/>
          <w:sz w:val="20"/>
          <w:szCs w:val="20"/>
          <w:lang w:val="en-US" w:eastAsia="en-US"/>
        </w:rPr>
        <w:t>V.P.C.’s</w:t>
      </w:r>
      <w:r w:rsidR="005A2722" w:rsidRPr="00AC57EA">
        <w:rPr>
          <w:rFonts w:cstheme="minorBidi"/>
          <w:sz w:val="20"/>
          <w:szCs w:val="20"/>
          <w:lang w:val="en-US" w:eastAsia="en-US"/>
        </w:rPr>
        <w:t xml:space="preserve"> other children</w:t>
      </w:r>
      <w:r w:rsidR="0053723F" w:rsidRPr="00AC57EA">
        <w:rPr>
          <w:rFonts w:cstheme="minorBidi"/>
          <w:sz w:val="20"/>
          <w:szCs w:val="20"/>
          <w:lang w:val="en-US" w:eastAsia="en-US"/>
        </w:rPr>
        <w:t>.</w:t>
      </w:r>
    </w:p>
    <w:p w14:paraId="30F2A0E9" w14:textId="77777777" w:rsidR="00270756" w:rsidRPr="00AC57EA" w:rsidRDefault="00270756" w:rsidP="001C7E37">
      <w:pPr>
        <w:widowControl/>
        <w:tabs>
          <w:tab w:val="left" w:pos="567"/>
        </w:tabs>
        <w:adjustRightInd/>
        <w:spacing w:line="240" w:lineRule="auto"/>
        <w:textAlignment w:val="auto"/>
        <w:rPr>
          <w:rFonts w:cstheme="minorBidi"/>
          <w:b/>
          <w:i/>
          <w:sz w:val="20"/>
          <w:szCs w:val="20"/>
          <w:lang w:val="en-US" w:eastAsia="en-US"/>
        </w:rPr>
      </w:pPr>
    </w:p>
    <w:p w14:paraId="6713DEB6" w14:textId="5C44B4BD" w:rsidR="00270756" w:rsidRPr="00AC57EA" w:rsidRDefault="00171E27" w:rsidP="00C8070B">
      <w:pPr>
        <w:numPr>
          <w:ilvl w:val="0"/>
          <w:numId w:val="2"/>
        </w:numPr>
        <w:tabs>
          <w:tab w:val="left" w:pos="567"/>
          <w:tab w:val="num" w:pos="12305"/>
        </w:tabs>
        <w:spacing w:line="240" w:lineRule="auto"/>
        <w:ind w:left="0" w:firstLine="0"/>
        <w:rPr>
          <w:rFonts w:cstheme="minorBidi"/>
          <w:b/>
          <w:i/>
          <w:sz w:val="20"/>
          <w:szCs w:val="20"/>
          <w:lang w:val="en-US" w:eastAsia="en-US"/>
        </w:rPr>
      </w:pPr>
      <w:r w:rsidRPr="00AC57EA">
        <w:rPr>
          <w:rFonts w:cstheme="minorBidi"/>
          <w:sz w:val="20"/>
          <w:szCs w:val="20"/>
          <w:lang w:val="en-US" w:eastAsia="en-US"/>
        </w:rPr>
        <w:t xml:space="preserve">The </w:t>
      </w:r>
      <w:r w:rsidRPr="00AC57EA">
        <w:rPr>
          <w:rFonts w:cstheme="minorBidi"/>
          <w:b/>
          <w:bCs/>
          <w:i/>
          <w:iCs/>
          <w:sz w:val="20"/>
          <w:szCs w:val="20"/>
          <w:lang w:val="en-US" w:eastAsia="en-US"/>
        </w:rPr>
        <w:t>representatives</w:t>
      </w:r>
      <w:r w:rsidR="00270756" w:rsidRPr="00AC57EA">
        <w:rPr>
          <w:rFonts w:cstheme="minorBidi"/>
          <w:b/>
          <w:i/>
          <w:sz w:val="20"/>
          <w:szCs w:val="20"/>
          <w:lang w:val="en-US" w:eastAsia="en-US"/>
        </w:rPr>
        <w:t xml:space="preserve"> </w:t>
      </w:r>
      <w:r w:rsidR="005A2722" w:rsidRPr="00AC57EA">
        <w:rPr>
          <w:rFonts w:cstheme="minorBidi"/>
          <w:sz w:val="20"/>
          <w:szCs w:val="20"/>
          <w:lang w:val="en-US" w:eastAsia="en-US"/>
        </w:rPr>
        <w:t xml:space="preserve">argued that, although it corresponded to </w:t>
      </w:r>
      <w:r w:rsidR="00B7258C" w:rsidRPr="00AC57EA">
        <w:rPr>
          <w:rFonts w:cstheme="minorBidi"/>
          <w:sz w:val="20"/>
          <w:szCs w:val="20"/>
          <w:lang w:val="en-US" w:eastAsia="en-US"/>
        </w:rPr>
        <w:t>the Commission</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 xml:space="preserve">to determine </w:t>
      </w:r>
      <w:r w:rsidRPr="00AC57EA">
        <w:rPr>
          <w:rFonts w:cstheme="minorBidi"/>
          <w:sz w:val="20"/>
          <w:szCs w:val="20"/>
          <w:lang w:val="en-US" w:eastAsia="en-US"/>
        </w:rPr>
        <w:t>the presumed victims</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 xml:space="preserve">it was inaccurate to consider that the Commission had not referred to the </w:t>
      </w:r>
      <w:r w:rsidR="00C45946" w:rsidRPr="00AC57EA">
        <w:rPr>
          <w:rFonts w:cstheme="minorBidi"/>
          <w:sz w:val="20"/>
          <w:szCs w:val="20"/>
          <w:lang w:val="en-US" w:eastAsia="en-US"/>
        </w:rPr>
        <w:t xml:space="preserve">V.R.P.’s </w:t>
      </w:r>
      <w:r w:rsidR="005A2722" w:rsidRPr="00AC57EA">
        <w:rPr>
          <w:rFonts w:cstheme="minorBidi"/>
          <w:sz w:val="20"/>
          <w:szCs w:val="20"/>
          <w:lang w:val="en-US" w:eastAsia="en-US"/>
        </w:rPr>
        <w:t>siblings as victims in this case, as revealed by paragraphs</w:t>
      </w:r>
      <w:r w:rsidR="003B4210" w:rsidRPr="00AC57EA">
        <w:rPr>
          <w:rFonts w:cstheme="minorBidi"/>
          <w:sz w:val="20"/>
          <w:szCs w:val="20"/>
          <w:lang w:val="en-US" w:eastAsia="en-US"/>
        </w:rPr>
        <w:t xml:space="preserve"> 1</w:t>
      </w:r>
      <w:r w:rsidR="00270756" w:rsidRPr="00AC57EA">
        <w:rPr>
          <w:rFonts w:cstheme="minorBidi"/>
          <w:sz w:val="20"/>
          <w:szCs w:val="20"/>
          <w:lang w:val="en-US" w:eastAsia="en-US"/>
        </w:rPr>
        <w:t>53</w:t>
      </w:r>
      <w:r w:rsidRPr="00AC57EA">
        <w:rPr>
          <w:rFonts w:cstheme="minorBidi"/>
          <w:sz w:val="20"/>
          <w:szCs w:val="20"/>
          <w:lang w:val="en-US" w:eastAsia="en-US"/>
        </w:rPr>
        <w:t xml:space="preserve"> and </w:t>
      </w:r>
      <w:r w:rsidR="003B4210" w:rsidRPr="00AC57EA">
        <w:rPr>
          <w:rFonts w:cstheme="minorBidi"/>
          <w:sz w:val="20"/>
          <w:szCs w:val="20"/>
          <w:lang w:val="en-US" w:eastAsia="en-US"/>
        </w:rPr>
        <w:t xml:space="preserve">154 </w:t>
      </w:r>
      <w:r w:rsidR="005A2722" w:rsidRPr="00AC57EA">
        <w:rPr>
          <w:rFonts w:cstheme="minorBidi"/>
          <w:sz w:val="20"/>
          <w:szCs w:val="20"/>
          <w:lang w:val="en-US" w:eastAsia="en-US"/>
        </w:rPr>
        <w:t xml:space="preserve">of the </w:t>
      </w:r>
      <w:r w:rsidR="00EC52D7" w:rsidRPr="00AC57EA">
        <w:rPr>
          <w:rFonts w:cstheme="minorBidi"/>
          <w:sz w:val="20"/>
          <w:szCs w:val="20"/>
          <w:lang w:val="en-US" w:eastAsia="en-US"/>
        </w:rPr>
        <w:t>Merits Report</w:t>
      </w:r>
      <w:r w:rsidR="00B7258C" w:rsidRPr="00AC57EA">
        <w:rPr>
          <w:rFonts w:cstheme="minorBidi"/>
          <w:sz w:val="20"/>
          <w:szCs w:val="20"/>
          <w:lang w:val="en-US" w:eastAsia="en-US"/>
        </w:rPr>
        <w:t xml:space="preserve"> of the Commission</w:t>
      </w:r>
      <w:r w:rsidR="003B4210" w:rsidRPr="00AC57EA">
        <w:rPr>
          <w:rFonts w:cstheme="minorBidi"/>
          <w:sz w:val="20"/>
          <w:szCs w:val="20"/>
          <w:lang w:val="en-US" w:eastAsia="en-US"/>
        </w:rPr>
        <w:t xml:space="preserve">. </w:t>
      </w:r>
      <w:r w:rsidR="005A2722" w:rsidRPr="00AC57EA">
        <w:rPr>
          <w:rFonts w:cstheme="minorBidi"/>
          <w:sz w:val="20"/>
          <w:szCs w:val="20"/>
          <w:lang w:val="en-US" w:eastAsia="en-US"/>
        </w:rPr>
        <w:t xml:space="preserve">Therefore, </w:t>
      </w:r>
      <w:r w:rsidRPr="00AC57EA">
        <w:rPr>
          <w:rFonts w:cstheme="minorBidi"/>
          <w:sz w:val="20"/>
          <w:szCs w:val="20"/>
          <w:lang w:val="en-US" w:eastAsia="en-US"/>
        </w:rPr>
        <w:t>the representatives</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asked</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Court</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 xml:space="preserve">to declare as presumed victims </w:t>
      </w:r>
      <w:r w:rsidR="002E1EE5" w:rsidRPr="00AC57EA">
        <w:rPr>
          <w:rFonts w:cstheme="minorBidi"/>
          <w:sz w:val="20"/>
          <w:szCs w:val="20"/>
          <w:lang w:val="en-US" w:eastAsia="en-US"/>
        </w:rPr>
        <w:t xml:space="preserve">N.R.P., </w:t>
      </w:r>
      <w:r w:rsidR="00270756" w:rsidRPr="00AC57EA">
        <w:rPr>
          <w:rFonts w:cstheme="minorBidi"/>
          <w:sz w:val="20"/>
          <w:szCs w:val="20"/>
          <w:lang w:val="en-US" w:eastAsia="en-US"/>
        </w:rPr>
        <w:t>H.</w:t>
      </w:r>
      <w:r w:rsidR="00343716" w:rsidRPr="00AC57EA">
        <w:rPr>
          <w:rFonts w:cstheme="minorBidi"/>
          <w:sz w:val="20"/>
          <w:szCs w:val="20"/>
          <w:lang w:val="en-US" w:eastAsia="en-US"/>
        </w:rPr>
        <w:t>J.</w:t>
      </w:r>
      <w:r w:rsidR="00270756" w:rsidRPr="00AC57EA">
        <w:rPr>
          <w:rFonts w:cstheme="minorBidi"/>
          <w:sz w:val="20"/>
          <w:szCs w:val="20"/>
          <w:lang w:val="en-US" w:eastAsia="en-US"/>
        </w:rPr>
        <w:t>R.P</w:t>
      </w:r>
      <w:r w:rsidR="003B4210" w:rsidRPr="00AC57EA">
        <w:rPr>
          <w:rFonts w:cstheme="minorBidi"/>
          <w:sz w:val="20"/>
          <w:szCs w:val="20"/>
          <w:lang w:val="en-US" w:eastAsia="en-US"/>
        </w:rPr>
        <w:t>.</w:t>
      </w:r>
      <w:r w:rsidR="00C45946" w:rsidRPr="00AC57EA">
        <w:rPr>
          <w:rFonts w:cstheme="minorBidi"/>
          <w:sz w:val="20"/>
          <w:szCs w:val="20"/>
          <w:lang w:val="en-US" w:eastAsia="en-US"/>
        </w:rPr>
        <w:t xml:space="preserve"> and</w:t>
      </w:r>
      <w:r w:rsidR="00270756" w:rsidRPr="00AC57EA">
        <w:rPr>
          <w:rFonts w:cstheme="minorBidi"/>
          <w:sz w:val="20"/>
          <w:szCs w:val="20"/>
          <w:lang w:val="en-US" w:eastAsia="en-US"/>
        </w:rPr>
        <w:t xml:space="preserve"> V.</w:t>
      </w:r>
      <w:r w:rsidR="00343716" w:rsidRPr="00AC57EA">
        <w:rPr>
          <w:rFonts w:cstheme="minorBidi"/>
          <w:sz w:val="20"/>
          <w:szCs w:val="20"/>
          <w:lang w:val="en-US" w:eastAsia="en-US"/>
        </w:rPr>
        <w:t>A.</w:t>
      </w:r>
      <w:r w:rsidR="00270756" w:rsidRPr="00AC57EA">
        <w:rPr>
          <w:rFonts w:cstheme="minorBidi"/>
          <w:sz w:val="20"/>
          <w:szCs w:val="20"/>
          <w:lang w:val="en-US" w:eastAsia="en-US"/>
        </w:rPr>
        <w:t>R.P</w:t>
      </w:r>
      <w:r w:rsidR="00343716" w:rsidRPr="00AC57EA">
        <w:rPr>
          <w:rFonts w:cstheme="minorBidi"/>
          <w:sz w:val="20"/>
          <w:szCs w:val="20"/>
          <w:lang w:val="en-US" w:eastAsia="en-US"/>
        </w:rPr>
        <w:t>.</w:t>
      </w:r>
      <w:r w:rsidR="005A2722" w:rsidRPr="00AC57EA">
        <w:rPr>
          <w:rFonts w:cstheme="minorBidi"/>
          <w:sz w:val="20"/>
          <w:szCs w:val="20"/>
          <w:lang w:val="en-US" w:eastAsia="en-US"/>
        </w:rPr>
        <w:t xml:space="preserve">, siblings </w:t>
      </w:r>
      <w:r w:rsidRPr="00AC57EA">
        <w:rPr>
          <w:rFonts w:cstheme="minorBidi"/>
          <w:sz w:val="20"/>
          <w:szCs w:val="20"/>
          <w:lang w:val="en-US" w:eastAsia="en-US"/>
        </w:rPr>
        <w:t xml:space="preserve">of </w:t>
      </w:r>
      <w:r w:rsidR="00EC52D7" w:rsidRPr="00AC57EA">
        <w:rPr>
          <w:rFonts w:cstheme="minorBidi"/>
          <w:sz w:val="20"/>
          <w:szCs w:val="20"/>
          <w:lang w:val="en-US" w:eastAsia="en-US"/>
        </w:rPr>
        <w:t>presumed victim</w:t>
      </w:r>
      <w:r w:rsidR="00270756" w:rsidRPr="00AC57EA">
        <w:rPr>
          <w:rFonts w:cstheme="minorBidi"/>
          <w:sz w:val="20"/>
          <w:szCs w:val="20"/>
          <w:lang w:val="en-US" w:eastAsia="en-US"/>
        </w:rPr>
        <w:t xml:space="preserve"> V.R.P</w:t>
      </w:r>
      <w:r w:rsidR="00343716" w:rsidRPr="00AC57EA">
        <w:rPr>
          <w:rFonts w:cstheme="minorBidi"/>
          <w:sz w:val="20"/>
          <w:szCs w:val="20"/>
          <w:lang w:val="en-US" w:eastAsia="en-US"/>
        </w:rPr>
        <w:t>.</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and children of</w:t>
      </w:r>
      <w:r w:rsidRPr="00AC57EA">
        <w:rPr>
          <w:rFonts w:cstheme="minorBidi"/>
          <w:sz w:val="20"/>
          <w:szCs w:val="20"/>
          <w:lang w:val="en-US" w:eastAsia="en-US"/>
        </w:rPr>
        <w:t xml:space="preserve"> the </w:t>
      </w:r>
      <w:r w:rsidR="00EC52D7" w:rsidRPr="00AC57EA">
        <w:rPr>
          <w:rFonts w:cstheme="minorBidi"/>
          <w:sz w:val="20"/>
          <w:szCs w:val="20"/>
          <w:lang w:val="en-US" w:eastAsia="en-US"/>
        </w:rPr>
        <w:t>petitioner</w:t>
      </w:r>
      <w:r w:rsidRPr="00AC57EA">
        <w:rPr>
          <w:rFonts w:cstheme="minorBidi"/>
          <w:sz w:val="20"/>
          <w:szCs w:val="20"/>
          <w:lang w:val="en-US" w:eastAsia="en-US"/>
        </w:rPr>
        <w:t xml:space="preserve"> and </w:t>
      </w:r>
      <w:r w:rsidR="00EC52D7" w:rsidRPr="00AC57EA">
        <w:rPr>
          <w:rFonts w:cstheme="minorBidi"/>
          <w:sz w:val="20"/>
          <w:szCs w:val="20"/>
          <w:lang w:val="en-US" w:eastAsia="en-US"/>
        </w:rPr>
        <w:t>presumed victim</w:t>
      </w:r>
      <w:r w:rsidR="00270756" w:rsidRPr="00AC57EA">
        <w:rPr>
          <w:rFonts w:cstheme="minorBidi"/>
          <w:sz w:val="20"/>
          <w:szCs w:val="20"/>
          <w:lang w:val="en-US" w:eastAsia="en-US"/>
        </w:rPr>
        <w:t xml:space="preserve"> V.P.C.</w:t>
      </w:r>
      <w:r w:rsidR="005A2722" w:rsidRPr="00AC57EA">
        <w:rPr>
          <w:rFonts w:cstheme="minorBidi"/>
          <w:sz w:val="20"/>
          <w:szCs w:val="20"/>
          <w:lang w:val="en-US" w:eastAsia="en-US"/>
        </w:rPr>
        <w:t xml:space="preserve"> </w:t>
      </w:r>
    </w:p>
    <w:p w14:paraId="0053E4AE" w14:textId="77777777" w:rsidR="00270756" w:rsidRPr="00AC57EA" w:rsidRDefault="00270756" w:rsidP="001C7E37">
      <w:pPr>
        <w:widowControl/>
        <w:tabs>
          <w:tab w:val="left" w:pos="567"/>
        </w:tabs>
        <w:adjustRightInd/>
        <w:spacing w:line="240" w:lineRule="auto"/>
        <w:textAlignment w:val="auto"/>
        <w:rPr>
          <w:rFonts w:cstheme="minorBidi"/>
          <w:b/>
          <w:i/>
          <w:sz w:val="20"/>
          <w:szCs w:val="20"/>
          <w:lang w:val="en-US" w:eastAsia="en-US"/>
        </w:rPr>
      </w:pPr>
    </w:p>
    <w:p w14:paraId="2D78A4A7" w14:textId="3F9A09C2" w:rsidR="00270756" w:rsidRPr="00AC57EA" w:rsidRDefault="00B7258C" w:rsidP="00C8070B">
      <w:pPr>
        <w:numPr>
          <w:ilvl w:val="0"/>
          <w:numId w:val="2"/>
        </w:numPr>
        <w:tabs>
          <w:tab w:val="left" w:pos="567"/>
          <w:tab w:val="num" w:pos="12305"/>
        </w:tabs>
        <w:spacing w:line="240" w:lineRule="auto"/>
        <w:ind w:left="0" w:firstLine="0"/>
        <w:rPr>
          <w:rFonts w:cstheme="minorBidi"/>
          <w:b/>
          <w:i/>
          <w:sz w:val="20"/>
          <w:szCs w:val="20"/>
          <w:lang w:val="en-US" w:eastAsia="en-US"/>
        </w:rPr>
      </w:pPr>
      <w:r w:rsidRPr="00AC57EA">
        <w:rPr>
          <w:rFonts w:cstheme="minorBidi"/>
          <w:sz w:val="20"/>
          <w:szCs w:val="20"/>
          <w:lang w:val="en-US" w:eastAsia="en-US"/>
        </w:rPr>
        <w:t xml:space="preserve">The </w:t>
      </w:r>
      <w:r w:rsidRPr="00AC57EA">
        <w:rPr>
          <w:rFonts w:cstheme="minorBidi"/>
          <w:b/>
          <w:bCs/>
          <w:i/>
          <w:iCs/>
          <w:sz w:val="20"/>
          <w:szCs w:val="20"/>
          <w:lang w:val="en-US" w:eastAsia="en-US"/>
        </w:rPr>
        <w:t>Commission</w:t>
      </w:r>
      <w:r w:rsidR="00270756" w:rsidRPr="00AC57EA">
        <w:rPr>
          <w:rFonts w:cstheme="minorBidi"/>
          <w:sz w:val="20"/>
          <w:szCs w:val="20"/>
          <w:lang w:val="en-US" w:eastAsia="en-US"/>
        </w:rPr>
        <w:t xml:space="preserve"> </w:t>
      </w:r>
      <w:r w:rsidR="005A2722" w:rsidRPr="00AC57EA">
        <w:rPr>
          <w:rFonts w:cstheme="minorBidi"/>
          <w:sz w:val="20"/>
          <w:szCs w:val="20"/>
          <w:lang w:val="en-US" w:eastAsia="en-US"/>
        </w:rPr>
        <w:t>indicated that paragraph</w:t>
      </w:r>
      <w:r w:rsidR="00446DDA" w:rsidRPr="00AC57EA">
        <w:rPr>
          <w:rFonts w:cstheme="minorBidi"/>
          <w:sz w:val="20"/>
          <w:szCs w:val="20"/>
          <w:lang w:val="en-US" w:eastAsia="en-US"/>
        </w:rPr>
        <w:t xml:space="preserve"> 154 </w:t>
      </w:r>
      <w:r w:rsidR="005A2722" w:rsidRPr="00AC57EA">
        <w:rPr>
          <w:rFonts w:cstheme="minorBidi"/>
          <w:sz w:val="20"/>
          <w:szCs w:val="20"/>
          <w:lang w:val="en-US" w:eastAsia="en-US"/>
        </w:rPr>
        <w:t>of the</w:t>
      </w:r>
      <w:r w:rsidR="00446DDA" w:rsidRPr="00AC57EA">
        <w:rPr>
          <w:rFonts w:cstheme="minorBidi"/>
          <w:sz w:val="20"/>
          <w:szCs w:val="20"/>
          <w:lang w:val="en-US" w:eastAsia="en-US"/>
        </w:rPr>
        <w:t xml:space="preserve"> </w:t>
      </w:r>
      <w:r w:rsidR="00EC52D7" w:rsidRPr="00AC57EA">
        <w:rPr>
          <w:rFonts w:cstheme="minorBidi"/>
          <w:sz w:val="20"/>
          <w:szCs w:val="20"/>
          <w:lang w:val="en-US" w:eastAsia="en-US"/>
        </w:rPr>
        <w:t>Merits Report</w:t>
      </w:r>
      <w:r w:rsidR="00446DDA" w:rsidRPr="00AC57EA">
        <w:rPr>
          <w:rFonts w:cstheme="minorBidi"/>
          <w:sz w:val="20"/>
          <w:szCs w:val="20"/>
          <w:lang w:val="en-US" w:eastAsia="en-US"/>
        </w:rPr>
        <w:t xml:space="preserve"> establ</w:t>
      </w:r>
      <w:r w:rsidR="005A2722" w:rsidRPr="00AC57EA">
        <w:rPr>
          <w:rFonts w:cstheme="minorBidi"/>
          <w:sz w:val="20"/>
          <w:szCs w:val="20"/>
          <w:lang w:val="en-US" w:eastAsia="en-US"/>
        </w:rPr>
        <w:t xml:space="preserve">ished violations in relation to the whole direct family of </w:t>
      </w:r>
      <w:r w:rsidR="00446DDA" w:rsidRPr="00AC57EA">
        <w:rPr>
          <w:rFonts w:cstheme="minorBidi"/>
          <w:sz w:val="20"/>
          <w:szCs w:val="20"/>
          <w:lang w:val="en-US" w:eastAsia="en-US"/>
        </w:rPr>
        <w:t xml:space="preserve">V.R.P. </w:t>
      </w:r>
      <w:r w:rsidR="005A2722" w:rsidRPr="00AC57EA">
        <w:rPr>
          <w:rFonts w:cstheme="minorBidi"/>
          <w:sz w:val="20"/>
          <w:szCs w:val="20"/>
          <w:lang w:val="en-US" w:eastAsia="en-US"/>
        </w:rPr>
        <w:t xml:space="preserve">In this regard, it clarified that the omission from paragraph 4 of the </w:t>
      </w:r>
      <w:r w:rsidR="00EC52D7" w:rsidRPr="00AC57EA">
        <w:rPr>
          <w:rFonts w:cstheme="minorBidi"/>
          <w:sz w:val="20"/>
          <w:szCs w:val="20"/>
          <w:lang w:val="en-US" w:eastAsia="en-US"/>
        </w:rPr>
        <w:t>Merits Report</w:t>
      </w:r>
      <w:r w:rsidR="00446DDA" w:rsidRPr="00AC57EA">
        <w:rPr>
          <w:rFonts w:cstheme="minorBidi"/>
          <w:sz w:val="20"/>
          <w:szCs w:val="20"/>
          <w:lang w:val="en-US" w:eastAsia="en-US"/>
        </w:rPr>
        <w:t xml:space="preserve"> “</w:t>
      </w:r>
      <w:r w:rsidR="005A2722" w:rsidRPr="00AC57EA">
        <w:rPr>
          <w:rFonts w:cstheme="minorBidi"/>
          <w:sz w:val="20"/>
          <w:szCs w:val="20"/>
          <w:lang w:val="en-US" w:eastAsia="en-US"/>
        </w:rPr>
        <w:t>was an involuntary factual error that did not invalidate th</w:t>
      </w:r>
      <w:r w:rsidR="00C45946" w:rsidRPr="00AC57EA">
        <w:rPr>
          <w:rFonts w:cstheme="minorBidi"/>
          <w:sz w:val="20"/>
          <w:szCs w:val="20"/>
          <w:lang w:val="en-US" w:eastAsia="en-US"/>
        </w:rPr>
        <w:t>e said</w:t>
      </w:r>
      <w:r w:rsidR="005A2722" w:rsidRPr="00AC57EA">
        <w:rPr>
          <w:rFonts w:cstheme="minorBidi"/>
          <w:sz w:val="20"/>
          <w:szCs w:val="20"/>
          <w:lang w:val="en-US" w:eastAsia="en-US"/>
        </w:rPr>
        <w:t xml:space="preserve"> determination.</w:t>
      </w:r>
      <w:r w:rsidR="00446DDA" w:rsidRPr="00AC57EA">
        <w:rPr>
          <w:rFonts w:cstheme="minorBidi"/>
          <w:sz w:val="20"/>
          <w:szCs w:val="20"/>
          <w:lang w:val="en-US" w:eastAsia="en-US"/>
        </w:rPr>
        <w:t>”</w:t>
      </w:r>
    </w:p>
    <w:p w14:paraId="0851726A" w14:textId="77777777" w:rsidR="00270756" w:rsidRPr="00AC57EA" w:rsidRDefault="00270756" w:rsidP="001C7E37">
      <w:pPr>
        <w:widowControl/>
        <w:tabs>
          <w:tab w:val="left" w:pos="567"/>
        </w:tabs>
        <w:adjustRightInd/>
        <w:spacing w:line="240" w:lineRule="auto"/>
        <w:textAlignment w:val="auto"/>
        <w:rPr>
          <w:rFonts w:cstheme="minorBidi"/>
          <w:b/>
          <w:i/>
          <w:sz w:val="20"/>
          <w:szCs w:val="20"/>
          <w:lang w:val="en-US" w:eastAsia="en-US"/>
        </w:rPr>
      </w:pPr>
    </w:p>
    <w:p w14:paraId="379F02E8" w14:textId="62931696" w:rsidR="007A37EF" w:rsidRPr="00AC57EA" w:rsidRDefault="007A37EF" w:rsidP="007A37EF">
      <w:pPr>
        <w:pStyle w:val="Ttulo2"/>
        <w:tabs>
          <w:tab w:val="left" w:pos="1843"/>
        </w:tabs>
        <w:spacing w:before="0" w:line="240" w:lineRule="auto"/>
        <w:ind w:left="1134"/>
        <w:rPr>
          <w:rFonts w:ascii="Verdana" w:hAnsi="Verdana"/>
          <w:b w:val="0"/>
          <w:i/>
          <w:color w:val="auto"/>
          <w:sz w:val="20"/>
          <w:szCs w:val="20"/>
          <w:lang w:val="en-US"/>
        </w:rPr>
      </w:pPr>
      <w:bookmarkStart w:id="66" w:name="_Toc514172605"/>
      <w:r w:rsidRPr="00AC57EA">
        <w:rPr>
          <w:rFonts w:ascii="Verdana" w:hAnsi="Verdana"/>
          <w:b w:val="0"/>
          <w:i/>
          <w:color w:val="auto"/>
          <w:sz w:val="20"/>
          <w:szCs w:val="20"/>
          <w:lang w:val="en-US"/>
        </w:rPr>
        <w:t xml:space="preserve">A.2 </w:t>
      </w:r>
      <w:r w:rsidRPr="00AC57EA">
        <w:rPr>
          <w:rFonts w:ascii="Verdana" w:hAnsi="Verdana"/>
          <w:b w:val="0"/>
          <w:i/>
          <w:color w:val="auto"/>
          <w:sz w:val="20"/>
          <w:szCs w:val="20"/>
          <w:lang w:val="en-US"/>
        </w:rPr>
        <w:tab/>
      </w:r>
      <w:r w:rsidR="002223C8" w:rsidRPr="00AC57EA">
        <w:rPr>
          <w:rFonts w:ascii="Verdana" w:hAnsi="Verdana"/>
          <w:b w:val="0"/>
          <w:i/>
          <w:color w:val="auto"/>
          <w:sz w:val="20"/>
          <w:szCs w:val="20"/>
          <w:lang w:val="en-US"/>
        </w:rPr>
        <w:t>Considerations</w:t>
      </w:r>
      <w:r w:rsidR="00B7258C" w:rsidRPr="00AC57EA">
        <w:rPr>
          <w:rFonts w:ascii="Verdana" w:hAnsi="Verdana"/>
          <w:b w:val="0"/>
          <w:i/>
          <w:color w:val="auto"/>
          <w:sz w:val="20"/>
          <w:szCs w:val="20"/>
          <w:lang w:val="en-US"/>
        </w:rPr>
        <w:t xml:space="preserve"> of the Court</w:t>
      </w:r>
      <w:bookmarkEnd w:id="66"/>
    </w:p>
    <w:p w14:paraId="6A3F532C" w14:textId="77777777" w:rsidR="007A37EF" w:rsidRPr="00AC57EA" w:rsidRDefault="007A37EF" w:rsidP="001C7E37">
      <w:pPr>
        <w:widowControl/>
        <w:tabs>
          <w:tab w:val="left" w:pos="567"/>
        </w:tabs>
        <w:adjustRightInd/>
        <w:spacing w:line="240" w:lineRule="auto"/>
        <w:textAlignment w:val="auto"/>
        <w:rPr>
          <w:rFonts w:cstheme="minorBidi"/>
          <w:b/>
          <w:i/>
          <w:sz w:val="20"/>
          <w:szCs w:val="20"/>
          <w:lang w:val="en-US" w:eastAsia="en-US"/>
        </w:rPr>
      </w:pPr>
    </w:p>
    <w:p w14:paraId="1A66B779" w14:textId="13A9FCEB" w:rsidR="00270756" w:rsidRPr="00AC57EA" w:rsidRDefault="007831E8" w:rsidP="00C8070B">
      <w:pPr>
        <w:numPr>
          <w:ilvl w:val="0"/>
          <w:numId w:val="2"/>
        </w:numPr>
        <w:tabs>
          <w:tab w:val="left" w:pos="567"/>
          <w:tab w:val="num" w:pos="12305"/>
        </w:tabs>
        <w:spacing w:line="240" w:lineRule="auto"/>
        <w:ind w:left="0" w:firstLine="0"/>
        <w:rPr>
          <w:rFonts w:eastAsia="Batang"/>
          <w:sz w:val="20"/>
          <w:szCs w:val="20"/>
          <w:lang w:val="en-US" w:eastAsia="es-MX"/>
        </w:rPr>
      </w:pPr>
      <w:r w:rsidRPr="00AC57EA">
        <w:rPr>
          <w:rFonts w:eastAsia="Batang"/>
          <w:sz w:val="20"/>
          <w:szCs w:val="20"/>
          <w:lang w:val="en-US" w:eastAsia="es-MX"/>
        </w:rPr>
        <w:t>This Court recalls that</w:t>
      </w:r>
      <w:r w:rsidR="00270756" w:rsidRPr="00AC57EA">
        <w:rPr>
          <w:rFonts w:eastAsia="Batang"/>
          <w:sz w:val="20"/>
          <w:szCs w:val="20"/>
          <w:lang w:val="en-US" w:eastAsia="es-MX"/>
        </w:rPr>
        <w:t xml:space="preserve"> </w:t>
      </w:r>
      <w:r w:rsidR="00171E27" w:rsidRPr="00AC57EA">
        <w:rPr>
          <w:rFonts w:eastAsia="Batang"/>
          <w:sz w:val="20"/>
          <w:szCs w:val="20"/>
          <w:lang w:val="en-US" w:eastAsia="es-MX"/>
        </w:rPr>
        <w:t>the presumed victims</w:t>
      </w:r>
      <w:r w:rsidR="00270756" w:rsidRPr="00AC57EA">
        <w:rPr>
          <w:rFonts w:eastAsia="Batang"/>
          <w:sz w:val="20"/>
          <w:szCs w:val="20"/>
          <w:lang w:val="en-US" w:eastAsia="es-MX"/>
        </w:rPr>
        <w:t xml:space="preserve"> </w:t>
      </w:r>
      <w:r w:rsidRPr="00AC57EA">
        <w:rPr>
          <w:rFonts w:eastAsia="Batang"/>
          <w:sz w:val="20"/>
          <w:szCs w:val="20"/>
          <w:lang w:val="en-US" w:eastAsia="es-MX"/>
        </w:rPr>
        <w:t>should be indicated in the Commission’s</w:t>
      </w:r>
      <w:r w:rsidR="00270756" w:rsidRPr="00AC57EA">
        <w:rPr>
          <w:rFonts w:eastAsia="Batang"/>
          <w:sz w:val="20"/>
          <w:szCs w:val="20"/>
          <w:lang w:val="en-US" w:eastAsia="es-MX"/>
        </w:rPr>
        <w:t xml:space="preserve"> </w:t>
      </w:r>
      <w:r w:rsidR="00EC52D7" w:rsidRPr="00AC57EA">
        <w:rPr>
          <w:rFonts w:eastAsia="Batang"/>
          <w:sz w:val="20"/>
          <w:szCs w:val="20"/>
          <w:lang w:val="en-US" w:eastAsia="es-MX"/>
        </w:rPr>
        <w:t>Merits Report</w:t>
      </w:r>
      <w:r w:rsidR="00B7258C" w:rsidRPr="00AC57EA">
        <w:rPr>
          <w:rFonts w:eastAsia="Batang"/>
          <w:sz w:val="20"/>
          <w:szCs w:val="20"/>
          <w:lang w:val="en-US" w:eastAsia="es-MX"/>
        </w:rPr>
        <w:t xml:space="preserve"> </w:t>
      </w:r>
      <w:r w:rsidRPr="00AC57EA">
        <w:rPr>
          <w:rFonts w:eastAsia="Batang"/>
          <w:sz w:val="20"/>
          <w:szCs w:val="20"/>
          <w:lang w:val="en-US" w:eastAsia="es-MX"/>
        </w:rPr>
        <w:t xml:space="preserve">issued under </w:t>
      </w:r>
      <w:r w:rsidR="00B7258C" w:rsidRPr="00AC57EA">
        <w:rPr>
          <w:rFonts w:eastAsia="Batang"/>
          <w:sz w:val="20"/>
          <w:szCs w:val="20"/>
          <w:lang w:val="en-US" w:eastAsia="es-MX"/>
        </w:rPr>
        <w:t>Article</w:t>
      </w:r>
      <w:r w:rsidR="00270756" w:rsidRPr="00AC57EA">
        <w:rPr>
          <w:rFonts w:eastAsia="Batang"/>
          <w:sz w:val="20"/>
          <w:szCs w:val="20"/>
          <w:lang w:val="en-US" w:eastAsia="es-MX"/>
        </w:rPr>
        <w:t xml:space="preserve"> 50</w:t>
      </w:r>
      <w:r w:rsidR="00B7258C" w:rsidRPr="00AC57EA">
        <w:rPr>
          <w:rFonts w:eastAsia="Batang"/>
          <w:sz w:val="20"/>
          <w:szCs w:val="20"/>
          <w:lang w:val="en-US" w:eastAsia="es-MX"/>
        </w:rPr>
        <w:t xml:space="preserve"> of the Con</w:t>
      </w:r>
      <w:r w:rsidR="005A2722" w:rsidRPr="00AC57EA">
        <w:rPr>
          <w:rFonts w:eastAsia="Batang"/>
          <w:sz w:val="20"/>
          <w:szCs w:val="20"/>
          <w:lang w:val="en-US" w:eastAsia="es-MX"/>
        </w:rPr>
        <w:t>v</w:t>
      </w:r>
      <w:r w:rsidR="00B7258C" w:rsidRPr="00AC57EA">
        <w:rPr>
          <w:rFonts w:eastAsia="Batang"/>
          <w:sz w:val="20"/>
          <w:szCs w:val="20"/>
          <w:lang w:val="en-US" w:eastAsia="es-MX"/>
        </w:rPr>
        <w:t>ention</w:t>
      </w:r>
      <w:r w:rsidR="00270756" w:rsidRPr="00AC57EA">
        <w:rPr>
          <w:rFonts w:eastAsia="Batang"/>
          <w:sz w:val="20"/>
          <w:szCs w:val="20"/>
          <w:lang w:val="en-US" w:eastAsia="es-MX"/>
        </w:rPr>
        <w:t xml:space="preserve">. </w:t>
      </w:r>
      <w:r w:rsidR="00B7258C" w:rsidRPr="00AC57EA">
        <w:rPr>
          <w:rFonts w:eastAsia="Batang"/>
          <w:sz w:val="20"/>
          <w:szCs w:val="20"/>
          <w:lang w:val="en-US" w:eastAsia="es-MX"/>
        </w:rPr>
        <w:t>Article</w:t>
      </w:r>
      <w:r w:rsidR="00270756" w:rsidRPr="00AC57EA">
        <w:rPr>
          <w:rFonts w:eastAsia="Batang"/>
          <w:sz w:val="20"/>
          <w:szCs w:val="20"/>
          <w:lang w:val="en-US" w:eastAsia="es-MX"/>
        </w:rPr>
        <w:t xml:space="preserve"> 3</w:t>
      </w:r>
      <w:r w:rsidR="00171E27" w:rsidRPr="00AC57EA">
        <w:rPr>
          <w:rFonts w:eastAsia="Batang"/>
          <w:sz w:val="20"/>
          <w:szCs w:val="20"/>
          <w:lang w:val="en-US" w:eastAsia="es-MX"/>
        </w:rPr>
        <w:t>5(1)</w:t>
      </w:r>
      <w:r w:rsidR="00B7258C" w:rsidRPr="00AC57EA">
        <w:rPr>
          <w:rFonts w:eastAsia="Batang"/>
          <w:sz w:val="20"/>
          <w:szCs w:val="20"/>
          <w:lang w:val="en-US" w:eastAsia="es-MX"/>
        </w:rPr>
        <w:t xml:space="preserve"> of the</w:t>
      </w:r>
      <w:r w:rsidRPr="00AC57EA">
        <w:rPr>
          <w:rFonts w:eastAsia="Batang"/>
          <w:sz w:val="20"/>
          <w:szCs w:val="20"/>
          <w:lang w:val="en-US" w:eastAsia="es-MX"/>
        </w:rPr>
        <w:t xml:space="preserve"> Court’s</w:t>
      </w:r>
      <w:r w:rsidR="00B7258C" w:rsidRPr="00AC57EA">
        <w:rPr>
          <w:rFonts w:eastAsia="Batang"/>
          <w:sz w:val="20"/>
          <w:szCs w:val="20"/>
          <w:lang w:val="en-US" w:eastAsia="es-MX"/>
        </w:rPr>
        <w:t xml:space="preserve"> Rules of Procedure</w:t>
      </w:r>
      <w:r w:rsidR="00270756" w:rsidRPr="00AC57EA">
        <w:rPr>
          <w:rFonts w:eastAsia="Batang"/>
          <w:sz w:val="20"/>
          <w:szCs w:val="20"/>
          <w:lang w:val="en-US" w:eastAsia="es-MX"/>
        </w:rPr>
        <w:t xml:space="preserve"> </w:t>
      </w:r>
      <w:r w:rsidRPr="00AC57EA">
        <w:rPr>
          <w:rFonts w:eastAsia="Batang"/>
          <w:sz w:val="20"/>
          <w:szCs w:val="20"/>
          <w:lang w:val="en-US" w:eastAsia="es-MX"/>
        </w:rPr>
        <w:t xml:space="preserve">establishes that the case will be submitted to the Court by the presentation of this report, which must contain “the identification </w:t>
      </w:r>
      <w:r w:rsidR="00171E27" w:rsidRPr="00AC57EA">
        <w:rPr>
          <w:rFonts w:eastAsia="Batang"/>
          <w:sz w:val="20"/>
          <w:szCs w:val="20"/>
          <w:lang w:val="en-US" w:eastAsia="es-MX"/>
        </w:rPr>
        <w:t>of the presumed victims</w:t>
      </w:r>
      <w:r w:rsidRPr="00AC57EA">
        <w:rPr>
          <w:rFonts w:eastAsia="Batang"/>
          <w:sz w:val="20"/>
          <w:szCs w:val="20"/>
          <w:lang w:val="en-US" w:eastAsia="es-MX"/>
        </w:rPr>
        <w:t>.</w:t>
      </w:r>
      <w:r w:rsidR="00270756" w:rsidRPr="00AC57EA">
        <w:rPr>
          <w:rFonts w:eastAsia="Batang"/>
          <w:sz w:val="20"/>
          <w:szCs w:val="20"/>
          <w:lang w:val="en-US" w:eastAsia="es-MX"/>
        </w:rPr>
        <w:t>”</w:t>
      </w:r>
      <w:r w:rsidRPr="00AC57EA">
        <w:rPr>
          <w:rFonts w:eastAsia="Batang"/>
          <w:sz w:val="20"/>
          <w:szCs w:val="20"/>
          <w:lang w:val="en-US" w:eastAsia="es-MX"/>
        </w:rPr>
        <w:t xml:space="preserve"> On this basis, it is for the Commission, and not th</w:t>
      </w:r>
      <w:r w:rsidR="00C45946" w:rsidRPr="00AC57EA">
        <w:rPr>
          <w:rFonts w:eastAsia="Batang"/>
          <w:sz w:val="20"/>
          <w:szCs w:val="20"/>
          <w:lang w:val="en-US" w:eastAsia="es-MX"/>
        </w:rPr>
        <w:t>e</w:t>
      </w:r>
      <w:r w:rsidRPr="00AC57EA">
        <w:rPr>
          <w:rFonts w:eastAsia="Batang"/>
          <w:sz w:val="20"/>
          <w:szCs w:val="20"/>
          <w:lang w:val="en-US" w:eastAsia="es-MX"/>
        </w:rPr>
        <w:t xml:space="preserve"> Court, to identify the presumed victims in a case before the Court precisely and at the proper procedural opportunity.</w:t>
      </w:r>
      <w:r w:rsidR="00270756" w:rsidRPr="00AC57EA">
        <w:rPr>
          <w:rFonts w:eastAsia="Batang"/>
          <w:sz w:val="20"/>
          <w:szCs w:val="20"/>
          <w:vertAlign w:val="superscript"/>
          <w:lang w:val="en-US" w:eastAsia="es-MX"/>
        </w:rPr>
        <w:footnoteReference w:id="34"/>
      </w:r>
      <w:r w:rsidR="00270756" w:rsidRPr="00AC57EA">
        <w:rPr>
          <w:rFonts w:eastAsia="Batang"/>
          <w:sz w:val="20"/>
          <w:szCs w:val="20"/>
          <w:lang w:val="en-US" w:eastAsia="es-MX"/>
        </w:rPr>
        <w:t xml:space="preserve"> </w:t>
      </w:r>
      <w:r w:rsidRPr="00AC57EA">
        <w:rPr>
          <w:rFonts w:eastAsia="Batang"/>
          <w:sz w:val="20"/>
          <w:szCs w:val="20"/>
          <w:lang w:val="en-US" w:eastAsia="es-MX"/>
        </w:rPr>
        <w:t xml:space="preserve">Legal certainty requires, as a general rule, that all </w:t>
      </w:r>
      <w:r w:rsidR="00171E27" w:rsidRPr="00AC57EA">
        <w:rPr>
          <w:rFonts w:eastAsia="Batang"/>
          <w:sz w:val="20"/>
          <w:szCs w:val="20"/>
          <w:lang w:val="en-US" w:eastAsia="es-MX"/>
        </w:rPr>
        <w:t>the presumed victims</w:t>
      </w:r>
      <w:r w:rsidR="00270756" w:rsidRPr="00AC57EA">
        <w:rPr>
          <w:rFonts w:eastAsia="Batang"/>
          <w:sz w:val="20"/>
          <w:szCs w:val="20"/>
          <w:lang w:val="en-US" w:eastAsia="es-MX"/>
        </w:rPr>
        <w:t xml:space="preserve"> </w:t>
      </w:r>
      <w:r w:rsidRPr="00AC57EA">
        <w:rPr>
          <w:rFonts w:eastAsia="Batang"/>
          <w:sz w:val="20"/>
          <w:szCs w:val="20"/>
          <w:lang w:val="en-US" w:eastAsia="es-MX"/>
        </w:rPr>
        <w:t xml:space="preserve">are fully identified in the </w:t>
      </w:r>
      <w:r w:rsidR="00EC52D7" w:rsidRPr="00AC57EA">
        <w:rPr>
          <w:rFonts w:eastAsia="Batang"/>
          <w:sz w:val="20"/>
          <w:szCs w:val="20"/>
          <w:lang w:val="en-US" w:eastAsia="es-MX"/>
        </w:rPr>
        <w:t>Merits Report</w:t>
      </w:r>
      <w:r w:rsidR="00270756" w:rsidRPr="00AC57EA">
        <w:rPr>
          <w:rFonts w:eastAsia="Batang"/>
          <w:sz w:val="20"/>
          <w:szCs w:val="20"/>
          <w:lang w:val="en-US" w:eastAsia="es-MX"/>
        </w:rPr>
        <w:t>,</w:t>
      </w:r>
      <w:r w:rsidRPr="00AC57EA">
        <w:rPr>
          <w:rFonts w:eastAsia="Batang"/>
          <w:sz w:val="20"/>
          <w:szCs w:val="20"/>
          <w:lang w:val="en-US" w:eastAsia="es-MX"/>
        </w:rPr>
        <w:t xml:space="preserve"> and it is not possible to add new presumed victims subsequently, save in the exceptional circumstance</w:t>
      </w:r>
      <w:r w:rsidR="00C45946" w:rsidRPr="00AC57EA">
        <w:rPr>
          <w:rFonts w:eastAsia="Batang"/>
          <w:sz w:val="20"/>
          <w:szCs w:val="20"/>
          <w:lang w:val="en-US" w:eastAsia="es-MX"/>
        </w:rPr>
        <w:t>s</w:t>
      </w:r>
      <w:r w:rsidRPr="00AC57EA">
        <w:rPr>
          <w:rFonts w:eastAsia="Batang"/>
          <w:sz w:val="20"/>
          <w:szCs w:val="20"/>
          <w:lang w:val="en-US" w:eastAsia="es-MX"/>
        </w:rPr>
        <w:t xml:space="preserve"> established in </w:t>
      </w:r>
      <w:r w:rsidR="00B7258C" w:rsidRPr="00AC57EA">
        <w:rPr>
          <w:rFonts w:eastAsia="Batang"/>
          <w:sz w:val="20"/>
          <w:szCs w:val="20"/>
          <w:lang w:val="en-US" w:eastAsia="es-MX"/>
        </w:rPr>
        <w:t>Article</w:t>
      </w:r>
      <w:r w:rsidR="00270756" w:rsidRPr="00AC57EA">
        <w:rPr>
          <w:rFonts w:eastAsia="Batang"/>
          <w:sz w:val="20"/>
          <w:szCs w:val="20"/>
          <w:lang w:val="en-US" w:eastAsia="es-MX"/>
        </w:rPr>
        <w:t xml:space="preserve"> 35</w:t>
      </w:r>
      <w:r w:rsidRPr="00AC57EA">
        <w:rPr>
          <w:rFonts w:eastAsia="Batang"/>
          <w:sz w:val="20"/>
          <w:szCs w:val="20"/>
          <w:lang w:val="en-US" w:eastAsia="es-MX"/>
        </w:rPr>
        <w:t>(</w:t>
      </w:r>
      <w:r w:rsidR="00270756" w:rsidRPr="00AC57EA">
        <w:rPr>
          <w:rFonts w:eastAsia="Batang"/>
          <w:sz w:val="20"/>
          <w:szCs w:val="20"/>
          <w:lang w:val="en-US" w:eastAsia="es-MX"/>
        </w:rPr>
        <w:t>2</w:t>
      </w:r>
      <w:r w:rsidRPr="00AC57EA">
        <w:rPr>
          <w:rFonts w:eastAsia="Batang"/>
          <w:sz w:val="20"/>
          <w:szCs w:val="20"/>
          <w:lang w:val="en-US" w:eastAsia="es-MX"/>
        </w:rPr>
        <w:t>)</w:t>
      </w:r>
      <w:r w:rsidR="00B7258C" w:rsidRPr="00AC57EA">
        <w:rPr>
          <w:rFonts w:eastAsia="Batang"/>
          <w:sz w:val="20"/>
          <w:szCs w:val="20"/>
          <w:lang w:val="en-US" w:eastAsia="es-MX"/>
        </w:rPr>
        <w:t xml:space="preserve"> of the </w:t>
      </w:r>
      <w:r w:rsidRPr="00AC57EA">
        <w:rPr>
          <w:rFonts w:eastAsia="Batang"/>
          <w:sz w:val="20"/>
          <w:szCs w:val="20"/>
          <w:lang w:val="en-US" w:eastAsia="es-MX"/>
        </w:rPr>
        <w:t xml:space="preserve">Court’s </w:t>
      </w:r>
      <w:r w:rsidR="00B7258C" w:rsidRPr="00AC57EA">
        <w:rPr>
          <w:rFonts w:eastAsia="Batang"/>
          <w:sz w:val="20"/>
          <w:szCs w:val="20"/>
          <w:lang w:val="en-US" w:eastAsia="es-MX"/>
        </w:rPr>
        <w:t>Rules of Procedure</w:t>
      </w:r>
      <w:r w:rsidRPr="00AC57EA">
        <w:rPr>
          <w:rFonts w:eastAsia="Batang"/>
          <w:sz w:val="20"/>
          <w:szCs w:val="20"/>
          <w:lang w:val="en-US" w:eastAsia="es-MX"/>
        </w:rPr>
        <w:t xml:space="preserve">, which </w:t>
      </w:r>
      <w:r w:rsidR="00C45946" w:rsidRPr="00AC57EA">
        <w:rPr>
          <w:rFonts w:eastAsia="Batang"/>
          <w:sz w:val="20"/>
          <w:szCs w:val="20"/>
          <w:lang w:val="en-US" w:eastAsia="es-MX"/>
        </w:rPr>
        <w:t>are</w:t>
      </w:r>
      <w:r w:rsidRPr="00AC57EA">
        <w:rPr>
          <w:rFonts w:eastAsia="Batang"/>
          <w:sz w:val="20"/>
          <w:szCs w:val="20"/>
          <w:lang w:val="en-US" w:eastAsia="es-MX"/>
        </w:rPr>
        <w:t xml:space="preserve"> not</w:t>
      </w:r>
      <w:r w:rsidR="00B7258C" w:rsidRPr="00AC57EA">
        <w:rPr>
          <w:rFonts w:eastAsia="Batang"/>
          <w:sz w:val="20"/>
          <w:szCs w:val="20"/>
          <w:lang w:val="en-US" w:eastAsia="es-MX"/>
        </w:rPr>
        <w:t xml:space="preserve"> </w:t>
      </w:r>
      <w:r w:rsidRPr="00AC57EA">
        <w:rPr>
          <w:rFonts w:eastAsia="Batang"/>
          <w:sz w:val="20"/>
          <w:szCs w:val="20"/>
          <w:lang w:val="en-US" w:eastAsia="es-MX"/>
        </w:rPr>
        <w:t>applicable in this case.</w:t>
      </w:r>
    </w:p>
    <w:p w14:paraId="17BC69AD" w14:textId="77777777" w:rsidR="007831E8" w:rsidRPr="00AC57EA" w:rsidRDefault="007831E8" w:rsidP="007831E8">
      <w:pPr>
        <w:tabs>
          <w:tab w:val="left" w:pos="567"/>
        </w:tabs>
        <w:spacing w:line="240" w:lineRule="auto"/>
        <w:rPr>
          <w:rFonts w:eastAsia="Batang"/>
          <w:sz w:val="20"/>
          <w:szCs w:val="20"/>
          <w:lang w:val="en-US" w:eastAsia="es-MX"/>
        </w:rPr>
      </w:pPr>
    </w:p>
    <w:p w14:paraId="22227ED3" w14:textId="1005178F" w:rsidR="00270756" w:rsidRPr="00AC57EA" w:rsidRDefault="00B7258C" w:rsidP="003611FD">
      <w:pPr>
        <w:numPr>
          <w:ilvl w:val="0"/>
          <w:numId w:val="2"/>
        </w:numPr>
        <w:tabs>
          <w:tab w:val="left" w:pos="567"/>
          <w:tab w:val="num" w:pos="12305"/>
        </w:tabs>
        <w:spacing w:line="240" w:lineRule="auto"/>
        <w:ind w:left="0" w:firstLine="0"/>
        <w:rPr>
          <w:rFonts w:eastAsia="Batang"/>
          <w:sz w:val="20"/>
          <w:szCs w:val="20"/>
          <w:lang w:val="en-US" w:eastAsia="es-MX"/>
        </w:rPr>
      </w:pPr>
      <w:r w:rsidRPr="00AC57EA">
        <w:rPr>
          <w:rFonts w:cstheme="minorBidi"/>
          <w:sz w:val="20"/>
          <w:szCs w:val="20"/>
          <w:lang w:val="en-US"/>
        </w:rPr>
        <w:t>The Court</w:t>
      </w:r>
      <w:r w:rsidR="003A58AF" w:rsidRPr="00AC57EA">
        <w:rPr>
          <w:rFonts w:cstheme="minorBidi"/>
          <w:sz w:val="20"/>
          <w:szCs w:val="20"/>
          <w:lang w:val="en-US"/>
        </w:rPr>
        <w:t xml:space="preserve"> </w:t>
      </w:r>
      <w:r w:rsidR="007831E8" w:rsidRPr="00AC57EA">
        <w:rPr>
          <w:rFonts w:cstheme="minorBidi"/>
          <w:sz w:val="20"/>
          <w:szCs w:val="20"/>
          <w:lang w:val="en-US"/>
        </w:rPr>
        <w:t>notes that, in Merits Report No. 4/16,</w:t>
      </w:r>
      <w:r w:rsidR="000A3F33" w:rsidRPr="00AC57EA">
        <w:rPr>
          <w:rFonts w:cstheme="minorBidi"/>
          <w:sz w:val="20"/>
          <w:szCs w:val="20"/>
          <w:lang w:val="en-US"/>
        </w:rPr>
        <w:t xml:space="preserve"> </w:t>
      </w:r>
      <w:r w:rsidRPr="00AC57EA">
        <w:rPr>
          <w:rFonts w:cstheme="minorBidi"/>
          <w:sz w:val="20"/>
          <w:szCs w:val="20"/>
          <w:lang w:val="en-US"/>
        </w:rPr>
        <w:t>the Commission</w:t>
      </w:r>
      <w:r w:rsidR="000A3F33" w:rsidRPr="00AC57EA">
        <w:rPr>
          <w:rFonts w:cstheme="minorBidi"/>
          <w:sz w:val="20"/>
          <w:szCs w:val="20"/>
          <w:lang w:val="en-US"/>
        </w:rPr>
        <w:t xml:space="preserve"> </w:t>
      </w:r>
      <w:r w:rsidR="007831E8" w:rsidRPr="00AC57EA">
        <w:rPr>
          <w:rFonts w:cstheme="minorBidi"/>
          <w:sz w:val="20"/>
          <w:szCs w:val="20"/>
          <w:lang w:val="en-US"/>
        </w:rPr>
        <w:t xml:space="preserve">did not include a specific paragraph listing </w:t>
      </w:r>
      <w:r w:rsidR="00171E27" w:rsidRPr="00AC57EA">
        <w:rPr>
          <w:rFonts w:cstheme="minorBidi"/>
          <w:sz w:val="20"/>
          <w:szCs w:val="20"/>
          <w:lang w:val="en-US"/>
        </w:rPr>
        <w:t>the presumed victims</w:t>
      </w:r>
      <w:r w:rsidR="00A55B91" w:rsidRPr="00AC57EA">
        <w:rPr>
          <w:rFonts w:cstheme="minorBidi"/>
          <w:sz w:val="20"/>
          <w:szCs w:val="20"/>
          <w:lang w:val="en-US"/>
        </w:rPr>
        <w:t xml:space="preserve"> </w:t>
      </w:r>
      <w:r w:rsidR="007831E8" w:rsidRPr="00AC57EA">
        <w:rPr>
          <w:rFonts w:cstheme="minorBidi"/>
          <w:sz w:val="20"/>
          <w:szCs w:val="20"/>
          <w:lang w:val="en-US"/>
        </w:rPr>
        <w:t>in this case. However, it decided that “</w:t>
      </w:r>
      <w:r w:rsidR="007831E8" w:rsidRPr="00AC57EA">
        <w:rPr>
          <w:sz w:val="20"/>
          <w:szCs w:val="20"/>
          <w:lang w:val="en-US"/>
        </w:rPr>
        <w:t xml:space="preserve">there is sufficient evidence to conclude that the rape suffered by V.R.P., its consequences, and the impunity – attributable to the State –  in which the case remains has caused emotional suffering </w:t>
      </w:r>
      <w:r w:rsidR="00C45946" w:rsidRPr="00AC57EA">
        <w:rPr>
          <w:sz w:val="20"/>
          <w:szCs w:val="20"/>
          <w:lang w:val="en-US"/>
        </w:rPr>
        <w:t>to</w:t>
      </w:r>
      <w:r w:rsidR="007831E8" w:rsidRPr="00AC57EA">
        <w:rPr>
          <w:sz w:val="20"/>
          <w:szCs w:val="20"/>
          <w:lang w:val="en-US"/>
        </w:rPr>
        <w:t xml:space="preserve"> V.P.C. and her children </w:t>
      </w:r>
      <w:r w:rsidR="007831E8" w:rsidRPr="00AC57EA">
        <w:rPr>
          <w:rFonts w:cstheme="minorBidi"/>
          <w:sz w:val="20"/>
          <w:szCs w:val="20"/>
          <w:lang w:val="en-US" w:eastAsia="en-US"/>
        </w:rPr>
        <w:t>H.J.R.P., V.A.R.P. and N.R.P</w:t>
      </w:r>
      <w:r w:rsidR="007831E8" w:rsidRPr="00AC57EA">
        <w:rPr>
          <w:sz w:val="20"/>
          <w:szCs w:val="20"/>
          <w:lang w:val="en-US"/>
        </w:rPr>
        <w:t xml:space="preserve">, in violation of the right </w:t>
      </w:r>
      <w:r w:rsidR="00C45946" w:rsidRPr="00AC57EA">
        <w:rPr>
          <w:sz w:val="20"/>
          <w:szCs w:val="20"/>
          <w:lang w:val="en-US"/>
        </w:rPr>
        <w:t>recognized</w:t>
      </w:r>
      <w:r w:rsidR="007831E8" w:rsidRPr="00AC57EA">
        <w:rPr>
          <w:sz w:val="20"/>
          <w:szCs w:val="20"/>
          <w:lang w:val="en-US"/>
        </w:rPr>
        <w:t xml:space="preserve"> in Article 5(1) of the </w:t>
      </w:r>
      <w:r w:rsidR="007831E8" w:rsidRPr="00AC57EA">
        <w:rPr>
          <w:sz w:val="20"/>
          <w:szCs w:val="20"/>
          <w:lang w:val="en-US"/>
        </w:rPr>
        <w:lastRenderedPageBreak/>
        <w:t>American Convention in relation to Article 1(1) of this instrument.</w:t>
      </w:r>
      <w:r w:rsidR="00270756" w:rsidRPr="00AC57EA">
        <w:rPr>
          <w:rFonts w:cstheme="minorBidi"/>
          <w:sz w:val="20"/>
          <w:szCs w:val="20"/>
          <w:lang w:val="en-US" w:eastAsia="en-US"/>
        </w:rPr>
        <w:t>”</w:t>
      </w:r>
      <w:r w:rsidR="00270756" w:rsidRPr="00AC57EA">
        <w:rPr>
          <w:rFonts w:cstheme="minorBidi"/>
          <w:sz w:val="20"/>
          <w:szCs w:val="20"/>
          <w:vertAlign w:val="superscript"/>
          <w:lang w:val="en-US" w:eastAsia="en-US"/>
        </w:rPr>
        <w:footnoteReference w:id="35"/>
      </w:r>
      <w:r w:rsidR="000A3F33" w:rsidRPr="00AC57EA">
        <w:rPr>
          <w:rFonts w:cstheme="minorBidi"/>
          <w:b/>
          <w:sz w:val="16"/>
          <w:szCs w:val="16"/>
          <w:lang w:val="en-US" w:eastAsia="en-US"/>
        </w:rPr>
        <w:t xml:space="preserve"> </w:t>
      </w:r>
      <w:r w:rsidR="003611FD" w:rsidRPr="00AC57EA">
        <w:rPr>
          <w:rFonts w:cstheme="minorBidi"/>
          <w:sz w:val="20"/>
          <w:szCs w:val="20"/>
          <w:lang w:val="en-US" w:eastAsia="en-US"/>
        </w:rPr>
        <w:t xml:space="preserve">Also, in the conclusions contained in </w:t>
      </w:r>
      <w:r w:rsidR="005A2722" w:rsidRPr="00AC57EA">
        <w:rPr>
          <w:rFonts w:cstheme="minorBidi"/>
          <w:sz w:val="20"/>
          <w:szCs w:val="20"/>
          <w:lang w:val="en-US" w:eastAsia="en-US"/>
        </w:rPr>
        <w:t>paragraph</w:t>
      </w:r>
      <w:r w:rsidR="00270756" w:rsidRPr="00AC57EA">
        <w:rPr>
          <w:rFonts w:cstheme="minorBidi"/>
          <w:sz w:val="20"/>
          <w:szCs w:val="20"/>
          <w:lang w:val="en-US" w:eastAsia="en-US"/>
        </w:rPr>
        <w:t xml:space="preserve"> 154</w:t>
      </w:r>
      <w:r w:rsidR="003611FD" w:rsidRPr="00AC57EA">
        <w:rPr>
          <w:rFonts w:cstheme="minorBidi"/>
          <w:sz w:val="20"/>
          <w:szCs w:val="20"/>
          <w:lang w:val="en-US" w:eastAsia="en-US"/>
        </w:rPr>
        <w:t xml:space="preserve">, </w:t>
      </w:r>
      <w:r w:rsidR="00C45946" w:rsidRPr="00AC57EA">
        <w:rPr>
          <w:rFonts w:cstheme="minorBidi"/>
          <w:sz w:val="20"/>
          <w:szCs w:val="20"/>
          <w:lang w:val="en-US" w:eastAsia="en-US"/>
        </w:rPr>
        <w:t>the Commission</w:t>
      </w:r>
      <w:r w:rsidR="003611FD" w:rsidRPr="00AC57EA">
        <w:rPr>
          <w:rFonts w:cstheme="minorBidi"/>
          <w:sz w:val="20"/>
          <w:szCs w:val="20"/>
          <w:lang w:val="en-US" w:eastAsia="en-US"/>
        </w:rPr>
        <w:t xml:space="preserve"> indicated that the violations of the rights</w:t>
      </w:r>
      <w:r w:rsidRPr="00AC57EA">
        <w:rPr>
          <w:rFonts w:cstheme="minorBidi"/>
          <w:sz w:val="20"/>
          <w:szCs w:val="20"/>
          <w:lang w:val="en-US" w:eastAsia="en-US"/>
        </w:rPr>
        <w:t xml:space="preserve"> of the Convention</w:t>
      </w:r>
      <w:r w:rsidR="00270756" w:rsidRPr="00AC57EA">
        <w:rPr>
          <w:rFonts w:cstheme="minorBidi"/>
          <w:sz w:val="20"/>
          <w:szCs w:val="20"/>
          <w:lang w:val="en-US" w:eastAsia="en-US"/>
        </w:rPr>
        <w:t xml:space="preserve"> </w:t>
      </w:r>
      <w:r w:rsidR="003611FD" w:rsidRPr="00AC57EA">
        <w:rPr>
          <w:rFonts w:cstheme="minorBidi"/>
          <w:sz w:val="20"/>
          <w:szCs w:val="20"/>
          <w:lang w:val="en-US" w:eastAsia="en-US"/>
        </w:rPr>
        <w:t>were established “to the detriment of the persons indicated in each section of the [said] report.</w:t>
      </w:r>
      <w:r w:rsidR="00270756" w:rsidRPr="00AC57EA">
        <w:rPr>
          <w:rFonts w:cstheme="minorBidi"/>
          <w:sz w:val="20"/>
          <w:szCs w:val="20"/>
          <w:lang w:val="en-US" w:eastAsia="en-US"/>
        </w:rPr>
        <w:t>”</w:t>
      </w:r>
      <w:r w:rsidR="00270756" w:rsidRPr="00AC57EA">
        <w:rPr>
          <w:rFonts w:cstheme="minorBidi"/>
          <w:sz w:val="20"/>
          <w:szCs w:val="20"/>
          <w:vertAlign w:val="superscript"/>
          <w:lang w:val="en-US" w:eastAsia="en-US"/>
        </w:rPr>
        <w:footnoteReference w:id="36"/>
      </w:r>
      <w:r w:rsidR="003611FD" w:rsidRPr="00AC57EA">
        <w:rPr>
          <w:rFonts w:cstheme="minorBidi"/>
          <w:sz w:val="20"/>
          <w:szCs w:val="20"/>
          <w:lang w:val="en-US" w:eastAsia="en-US"/>
        </w:rPr>
        <w:t xml:space="preserve"> </w:t>
      </w:r>
      <w:r w:rsidR="00C45946" w:rsidRPr="00AC57EA">
        <w:rPr>
          <w:rFonts w:cstheme="minorBidi"/>
          <w:sz w:val="20"/>
          <w:szCs w:val="20"/>
          <w:lang w:val="en-US" w:eastAsia="en-US"/>
        </w:rPr>
        <w:t>It</w:t>
      </w:r>
      <w:r w:rsidR="003611FD" w:rsidRPr="00AC57EA">
        <w:rPr>
          <w:rFonts w:cstheme="minorBidi"/>
          <w:sz w:val="20"/>
          <w:szCs w:val="20"/>
          <w:lang w:val="en-US" w:eastAsia="en-US"/>
        </w:rPr>
        <w:t xml:space="preserve"> is true</w:t>
      </w:r>
      <w:r w:rsidR="00C45946" w:rsidRPr="00AC57EA">
        <w:rPr>
          <w:rFonts w:cstheme="minorBidi"/>
          <w:sz w:val="20"/>
          <w:szCs w:val="20"/>
          <w:lang w:val="en-US" w:eastAsia="en-US"/>
        </w:rPr>
        <w:t>, however,</w:t>
      </w:r>
      <w:r w:rsidR="003611FD" w:rsidRPr="00AC57EA">
        <w:rPr>
          <w:rFonts w:cstheme="minorBidi"/>
          <w:sz w:val="20"/>
          <w:szCs w:val="20"/>
          <w:lang w:val="en-US" w:eastAsia="en-US"/>
        </w:rPr>
        <w:t xml:space="preserve"> that the Commission failed to include the conclusion </w:t>
      </w:r>
      <w:r w:rsidR="00C45946" w:rsidRPr="00AC57EA">
        <w:rPr>
          <w:rFonts w:cstheme="minorBidi"/>
          <w:sz w:val="20"/>
          <w:szCs w:val="20"/>
          <w:lang w:val="en-US" w:eastAsia="en-US"/>
        </w:rPr>
        <w:t xml:space="preserve">with </w:t>
      </w:r>
      <w:r w:rsidR="003611FD" w:rsidRPr="00AC57EA">
        <w:rPr>
          <w:rFonts w:cstheme="minorBidi"/>
          <w:sz w:val="20"/>
          <w:szCs w:val="20"/>
          <w:lang w:val="en-US" w:eastAsia="en-US"/>
        </w:rPr>
        <w:t>regard</w:t>
      </w:r>
      <w:r w:rsidR="00C45946" w:rsidRPr="00AC57EA">
        <w:rPr>
          <w:rFonts w:cstheme="minorBidi"/>
          <w:sz w:val="20"/>
          <w:szCs w:val="20"/>
          <w:lang w:val="en-US" w:eastAsia="en-US"/>
        </w:rPr>
        <w:t xml:space="preserve"> to</w:t>
      </w:r>
      <w:r w:rsidR="003611FD" w:rsidRPr="00AC57EA">
        <w:rPr>
          <w:rFonts w:cstheme="minorBidi"/>
          <w:sz w:val="20"/>
          <w:szCs w:val="20"/>
          <w:lang w:val="en-US" w:eastAsia="en-US"/>
        </w:rPr>
        <w:t xml:space="preserve"> the analysis made of the violation of Article 5(1) of the Convention to the detriment of V.R.P.</w:t>
      </w:r>
      <w:r w:rsidR="00C45946" w:rsidRPr="00AC57EA">
        <w:rPr>
          <w:rFonts w:cstheme="minorBidi"/>
          <w:sz w:val="20"/>
          <w:szCs w:val="20"/>
          <w:lang w:val="en-US" w:eastAsia="en-US"/>
        </w:rPr>
        <w:t>’s siblings</w:t>
      </w:r>
      <w:r w:rsidR="003611FD" w:rsidRPr="00AC57EA">
        <w:rPr>
          <w:rFonts w:cstheme="minorBidi"/>
          <w:sz w:val="20"/>
          <w:szCs w:val="20"/>
          <w:lang w:val="en-US" w:eastAsia="en-US"/>
        </w:rPr>
        <w:t xml:space="preserve"> in paragraph 4 of the Merits Report, and in the note submitting the case. However, the Court considers that this lack of precision cannot be understood to </w:t>
      </w:r>
      <w:r w:rsidR="00C45946" w:rsidRPr="00AC57EA">
        <w:rPr>
          <w:rFonts w:cstheme="minorBidi"/>
          <w:sz w:val="20"/>
          <w:szCs w:val="20"/>
          <w:lang w:val="en-US" w:eastAsia="en-US"/>
        </w:rPr>
        <w:t xml:space="preserve">undermine </w:t>
      </w:r>
      <w:r w:rsidR="003611FD" w:rsidRPr="00AC57EA">
        <w:rPr>
          <w:rFonts w:cstheme="minorBidi"/>
          <w:sz w:val="20"/>
          <w:szCs w:val="20"/>
          <w:lang w:val="en-US" w:eastAsia="en-US"/>
        </w:rPr>
        <w:t xml:space="preserve">the examination </w:t>
      </w:r>
      <w:r w:rsidR="009D45B3" w:rsidRPr="00AC57EA">
        <w:rPr>
          <w:rFonts w:cstheme="minorBidi"/>
          <w:sz w:val="20"/>
          <w:szCs w:val="20"/>
          <w:lang w:val="en-US" w:eastAsia="en-US"/>
        </w:rPr>
        <w:t xml:space="preserve">made in the corresponding section and the express conclusion contained in </w:t>
      </w:r>
      <w:r w:rsidR="005A2722" w:rsidRPr="00AC57EA">
        <w:rPr>
          <w:rFonts w:cstheme="minorBidi"/>
          <w:sz w:val="20"/>
          <w:szCs w:val="20"/>
          <w:lang w:val="en-US" w:eastAsia="en-US"/>
        </w:rPr>
        <w:t>paragraphs</w:t>
      </w:r>
      <w:r w:rsidR="003A58AF" w:rsidRPr="00AC57EA">
        <w:rPr>
          <w:rFonts w:cstheme="minorBidi"/>
          <w:sz w:val="20"/>
          <w:szCs w:val="20"/>
          <w:lang w:val="en-US" w:eastAsia="en-US"/>
        </w:rPr>
        <w:t xml:space="preserve"> 153</w:t>
      </w:r>
      <w:r w:rsidR="00171E27" w:rsidRPr="00AC57EA">
        <w:rPr>
          <w:rFonts w:cstheme="minorBidi"/>
          <w:sz w:val="20"/>
          <w:szCs w:val="20"/>
          <w:lang w:val="en-US" w:eastAsia="en-US"/>
        </w:rPr>
        <w:t xml:space="preserve"> and </w:t>
      </w:r>
      <w:r w:rsidR="003A58AF" w:rsidRPr="00AC57EA">
        <w:rPr>
          <w:rFonts w:cstheme="minorBidi"/>
          <w:sz w:val="20"/>
          <w:szCs w:val="20"/>
          <w:lang w:val="en-US" w:eastAsia="en-US"/>
        </w:rPr>
        <w:t>154</w:t>
      </w:r>
      <w:r w:rsidR="008610E9" w:rsidRPr="00AC57EA">
        <w:rPr>
          <w:rFonts w:cstheme="minorBidi"/>
          <w:sz w:val="20"/>
          <w:szCs w:val="20"/>
          <w:lang w:val="en-US" w:eastAsia="en-US"/>
        </w:rPr>
        <w:t xml:space="preserve">, </w:t>
      </w:r>
      <w:r w:rsidR="009D45B3" w:rsidRPr="00AC57EA">
        <w:rPr>
          <w:rFonts w:cstheme="minorBidi"/>
          <w:sz w:val="20"/>
          <w:szCs w:val="20"/>
          <w:lang w:val="en-US" w:eastAsia="en-US"/>
        </w:rPr>
        <w:t xml:space="preserve">because the brief submitting the case and the </w:t>
      </w:r>
      <w:r w:rsidR="00EC52D7" w:rsidRPr="00AC57EA">
        <w:rPr>
          <w:rFonts w:cstheme="minorBidi"/>
          <w:sz w:val="20"/>
          <w:szCs w:val="20"/>
          <w:lang w:val="en-US" w:eastAsia="en-US"/>
        </w:rPr>
        <w:t>Merits Report</w:t>
      </w:r>
      <w:r w:rsidR="00185D43" w:rsidRPr="00AC57EA">
        <w:rPr>
          <w:rFonts w:cstheme="minorBidi"/>
          <w:sz w:val="20"/>
          <w:szCs w:val="20"/>
          <w:lang w:val="en-US" w:eastAsia="en-US"/>
        </w:rPr>
        <w:t xml:space="preserve"> </w:t>
      </w:r>
      <w:r w:rsidR="009D45B3" w:rsidRPr="00AC57EA">
        <w:rPr>
          <w:rFonts w:cstheme="minorBidi"/>
          <w:sz w:val="20"/>
          <w:szCs w:val="20"/>
          <w:lang w:val="en-US" w:eastAsia="en-US"/>
        </w:rPr>
        <w:t xml:space="preserve">should be read and understood as a whole. On this basis, the Court concludes that, in the circumstances of this case, </w:t>
      </w:r>
      <w:r w:rsidR="00EC52D7" w:rsidRPr="00AC57EA">
        <w:rPr>
          <w:rFonts w:cstheme="minorBidi"/>
          <w:sz w:val="20"/>
          <w:szCs w:val="20"/>
          <w:lang w:val="en-US" w:eastAsia="en-US"/>
        </w:rPr>
        <w:t>Merits Report</w:t>
      </w:r>
      <w:r w:rsidR="00270756" w:rsidRPr="00AC57EA">
        <w:rPr>
          <w:rFonts w:cstheme="minorBidi"/>
          <w:sz w:val="20"/>
          <w:szCs w:val="20"/>
          <w:lang w:val="en-US" w:eastAsia="en-US"/>
        </w:rPr>
        <w:t xml:space="preserve"> </w:t>
      </w:r>
      <w:r w:rsidR="00A84F03" w:rsidRPr="00AC57EA">
        <w:rPr>
          <w:rFonts w:eastAsia="Verdana" w:cs="Verdana"/>
          <w:sz w:val="20"/>
          <w:szCs w:val="20"/>
          <w:lang w:val="en-US"/>
        </w:rPr>
        <w:t xml:space="preserve">No. 4/16 </w:t>
      </w:r>
      <w:r w:rsidR="00154484" w:rsidRPr="00AC57EA">
        <w:rPr>
          <w:rFonts w:cstheme="minorBidi"/>
          <w:sz w:val="20"/>
          <w:szCs w:val="20"/>
          <w:lang w:val="en-US" w:eastAsia="en-US"/>
        </w:rPr>
        <w:t>individualiz</w:t>
      </w:r>
      <w:r w:rsidR="009D45B3" w:rsidRPr="00AC57EA">
        <w:rPr>
          <w:rFonts w:cstheme="minorBidi"/>
          <w:sz w:val="20"/>
          <w:szCs w:val="20"/>
          <w:lang w:val="en-US" w:eastAsia="en-US"/>
        </w:rPr>
        <w:t xml:space="preserve">es N.R.P., H.J.R.P. and V.A.R.P. as presumed victims in a way that is sufficiently precise, and alleges the presumed violation </w:t>
      </w:r>
      <w:r w:rsidR="00171E27" w:rsidRPr="00AC57EA">
        <w:rPr>
          <w:rFonts w:cstheme="minorBidi"/>
          <w:sz w:val="20"/>
          <w:szCs w:val="20"/>
          <w:lang w:val="en-US" w:eastAsia="en-US"/>
        </w:rPr>
        <w:t>of Article</w:t>
      </w:r>
      <w:r w:rsidR="00736402" w:rsidRPr="00AC57EA">
        <w:rPr>
          <w:rFonts w:cstheme="minorBidi"/>
          <w:sz w:val="20"/>
          <w:szCs w:val="20"/>
          <w:lang w:val="en-US" w:eastAsia="en-US"/>
        </w:rPr>
        <w:t xml:space="preserve"> </w:t>
      </w:r>
      <w:r w:rsidR="00171E27" w:rsidRPr="00AC57EA">
        <w:rPr>
          <w:rFonts w:cstheme="minorBidi"/>
          <w:sz w:val="20"/>
          <w:szCs w:val="20"/>
          <w:lang w:val="en-US" w:eastAsia="en-US"/>
        </w:rPr>
        <w:t>5(1)</w:t>
      </w:r>
      <w:r w:rsidRPr="00AC57EA">
        <w:rPr>
          <w:rFonts w:cstheme="minorBidi"/>
          <w:sz w:val="20"/>
          <w:szCs w:val="20"/>
          <w:lang w:val="en-US" w:eastAsia="en-US"/>
        </w:rPr>
        <w:t xml:space="preserve"> of the Convention</w:t>
      </w:r>
      <w:r w:rsidR="009D45B3" w:rsidRPr="00AC57EA">
        <w:rPr>
          <w:rFonts w:cstheme="minorBidi"/>
          <w:sz w:val="20"/>
          <w:szCs w:val="20"/>
          <w:lang w:val="en-US" w:eastAsia="en-US"/>
        </w:rPr>
        <w:t xml:space="preserve"> to their detriment.</w:t>
      </w:r>
    </w:p>
    <w:p w14:paraId="206832CE" w14:textId="77777777" w:rsidR="00270756" w:rsidRPr="00AC57EA" w:rsidRDefault="00270756" w:rsidP="001C7E37">
      <w:pPr>
        <w:widowControl/>
        <w:tabs>
          <w:tab w:val="left" w:pos="567"/>
        </w:tabs>
        <w:adjustRightInd/>
        <w:spacing w:line="240" w:lineRule="auto"/>
        <w:textAlignment w:val="auto"/>
        <w:rPr>
          <w:rFonts w:cstheme="minorBidi"/>
          <w:b/>
          <w:i/>
          <w:sz w:val="20"/>
          <w:szCs w:val="20"/>
          <w:lang w:val="en-US" w:eastAsia="en-US"/>
        </w:rPr>
      </w:pPr>
    </w:p>
    <w:p w14:paraId="5871CD9E" w14:textId="0D13F1E4" w:rsidR="00270756" w:rsidRPr="00AC57EA" w:rsidRDefault="009D45B3" w:rsidP="00C8070B">
      <w:pPr>
        <w:numPr>
          <w:ilvl w:val="0"/>
          <w:numId w:val="2"/>
        </w:numPr>
        <w:tabs>
          <w:tab w:val="left" w:pos="567"/>
          <w:tab w:val="num" w:pos="12305"/>
        </w:tabs>
        <w:spacing w:line="240" w:lineRule="auto"/>
        <w:ind w:left="0" w:firstLine="0"/>
        <w:rPr>
          <w:rFonts w:cstheme="minorBidi"/>
          <w:b/>
          <w:i/>
          <w:sz w:val="20"/>
          <w:szCs w:val="20"/>
          <w:lang w:val="en-US" w:eastAsia="en-US"/>
        </w:rPr>
      </w:pPr>
      <w:r w:rsidRPr="00AC57EA">
        <w:rPr>
          <w:rFonts w:cstheme="minorBidi"/>
          <w:sz w:val="20"/>
          <w:szCs w:val="20"/>
          <w:lang w:val="en-US" w:eastAsia="en-US"/>
        </w:rPr>
        <w:t>Consequently</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Court</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will consider as presumed victims in this case those persons identified and individualized by </w:t>
      </w:r>
      <w:r w:rsidR="00B7258C" w:rsidRPr="00AC57EA">
        <w:rPr>
          <w:sz w:val="20"/>
          <w:szCs w:val="20"/>
          <w:lang w:val="en-US"/>
        </w:rPr>
        <w:t>the Commission</w:t>
      </w:r>
      <w:r w:rsidRPr="00AC57EA">
        <w:rPr>
          <w:sz w:val="20"/>
          <w:szCs w:val="20"/>
          <w:lang w:val="en-US"/>
        </w:rPr>
        <w:t xml:space="preserve">, namely: </w:t>
      </w:r>
      <w:r w:rsidR="00270756" w:rsidRPr="00AC57EA">
        <w:rPr>
          <w:rFonts w:cstheme="minorBidi"/>
          <w:sz w:val="20"/>
          <w:szCs w:val="20"/>
          <w:lang w:val="en-US" w:eastAsia="en-US"/>
        </w:rPr>
        <w:t>V.R.P</w:t>
      </w:r>
      <w:r w:rsidR="00AE5370" w:rsidRPr="00AC57EA">
        <w:rPr>
          <w:rFonts w:cstheme="minorBidi"/>
          <w:sz w:val="20"/>
          <w:szCs w:val="20"/>
          <w:lang w:val="en-US" w:eastAsia="en-US"/>
        </w:rPr>
        <w:t>.</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V.P.C</w:t>
      </w:r>
      <w:r w:rsidR="00AE5370" w:rsidRPr="00AC57EA">
        <w:rPr>
          <w:rFonts w:cstheme="minorBidi"/>
          <w:sz w:val="20"/>
          <w:szCs w:val="20"/>
          <w:lang w:val="en-US" w:eastAsia="en-US"/>
        </w:rPr>
        <w:t>.</w:t>
      </w:r>
      <w:r w:rsidR="00270756" w:rsidRPr="00AC57EA">
        <w:rPr>
          <w:rFonts w:cstheme="minorBidi"/>
          <w:sz w:val="20"/>
          <w:szCs w:val="20"/>
          <w:lang w:val="en-US" w:eastAsia="en-US"/>
        </w:rPr>
        <w:t xml:space="preserve">, </w:t>
      </w:r>
      <w:r w:rsidRPr="00AC57EA">
        <w:rPr>
          <w:rFonts w:cstheme="minorBidi"/>
          <w:sz w:val="20"/>
          <w:szCs w:val="20"/>
          <w:lang w:val="en-US" w:eastAsia="en-US"/>
        </w:rPr>
        <w:t>and also</w:t>
      </w:r>
      <w:r w:rsidR="00270756" w:rsidRPr="00AC57EA">
        <w:rPr>
          <w:rFonts w:cstheme="minorBidi"/>
          <w:sz w:val="20"/>
          <w:szCs w:val="20"/>
          <w:lang w:val="en-US" w:eastAsia="en-US"/>
        </w:rPr>
        <w:t xml:space="preserve"> </w:t>
      </w:r>
      <w:r w:rsidR="002E1EE5" w:rsidRPr="00AC57EA">
        <w:rPr>
          <w:rFonts w:cstheme="minorBidi"/>
          <w:sz w:val="20"/>
          <w:szCs w:val="20"/>
          <w:lang w:val="en-US" w:eastAsia="en-US"/>
        </w:rPr>
        <w:t xml:space="preserve">N.R.P., </w:t>
      </w:r>
      <w:r w:rsidR="00270756" w:rsidRPr="00AC57EA">
        <w:rPr>
          <w:rFonts w:cstheme="minorBidi"/>
          <w:sz w:val="20"/>
          <w:szCs w:val="20"/>
          <w:lang w:val="en-US" w:eastAsia="en-US"/>
        </w:rPr>
        <w:t>H.</w:t>
      </w:r>
      <w:r w:rsidR="00AE5370" w:rsidRPr="00AC57EA">
        <w:rPr>
          <w:rFonts w:cstheme="minorBidi"/>
          <w:sz w:val="20"/>
          <w:szCs w:val="20"/>
          <w:lang w:val="en-US" w:eastAsia="en-US"/>
        </w:rPr>
        <w:t>J.</w:t>
      </w:r>
      <w:r w:rsidR="00270756" w:rsidRPr="00AC57EA">
        <w:rPr>
          <w:rFonts w:cstheme="minorBidi"/>
          <w:sz w:val="20"/>
          <w:szCs w:val="20"/>
          <w:lang w:val="en-US" w:eastAsia="en-US"/>
        </w:rPr>
        <w:t>R.P</w:t>
      </w:r>
      <w:r w:rsidR="00AE5370" w:rsidRPr="00AC57EA">
        <w:rPr>
          <w:rFonts w:cstheme="minorBidi"/>
          <w:sz w:val="20"/>
          <w:szCs w:val="20"/>
          <w:lang w:val="en-US" w:eastAsia="en-US"/>
        </w:rPr>
        <w:t>.</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V.</w:t>
      </w:r>
      <w:r w:rsidR="00AE5370" w:rsidRPr="00AC57EA">
        <w:rPr>
          <w:rFonts w:cstheme="minorBidi"/>
          <w:sz w:val="20"/>
          <w:szCs w:val="20"/>
          <w:lang w:val="en-US" w:eastAsia="en-US"/>
        </w:rPr>
        <w:t>A.</w:t>
      </w:r>
      <w:r w:rsidR="00270756" w:rsidRPr="00AC57EA">
        <w:rPr>
          <w:rFonts w:cstheme="minorBidi"/>
          <w:sz w:val="20"/>
          <w:szCs w:val="20"/>
          <w:lang w:val="en-US" w:eastAsia="en-US"/>
        </w:rPr>
        <w:t>R.P</w:t>
      </w:r>
      <w:r w:rsidR="00AE5370" w:rsidRPr="00AC57EA">
        <w:rPr>
          <w:rFonts w:cstheme="minorBidi"/>
          <w:sz w:val="20"/>
          <w:szCs w:val="20"/>
          <w:lang w:val="en-US" w:eastAsia="en-US"/>
        </w:rPr>
        <w:t>.</w:t>
      </w:r>
    </w:p>
    <w:p w14:paraId="20EA1CDD" w14:textId="77777777" w:rsidR="00270756" w:rsidRPr="00AC57EA" w:rsidRDefault="00270756" w:rsidP="001C7E37">
      <w:pPr>
        <w:widowControl/>
        <w:tabs>
          <w:tab w:val="left" w:pos="567"/>
        </w:tabs>
        <w:adjustRightInd/>
        <w:spacing w:line="240" w:lineRule="auto"/>
        <w:textAlignment w:val="auto"/>
        <w:rPr>
          <w:rFonts w:cstheme="minorBidi"/>
          <w:b/>
          <w:i/>
          <w:sz w:val="20"/>
          <w:szCs w:val="20"/>
          <w:lang w:val="en-US" w:eastAsia="en-US"/>
        </w:rPr>
      </w:pPr>
    </w:p>
    <w:p w14:paraId="5062046E" w14:textId="6CD6206F" w:rsidR="00270756" w:rsidRPr="00AC57EA" w:rsidRDefault="00270756" w:rsidP="003B445C">
      <w:pPr>
        <w:keepNext/>
        <w:keepLines/>
        <w:tabs>
          <w:tab w:val="left" w:pos="1134"/>
        </w:tabs>
        <w:spacing w:line="240" w:lineRule="auto"/>
        <w:ind w:left="567" w:firstLine="1"/>
        <w:outlineLvl w:val="1"/>
        <w:rPr>
          <w:rFonts w:eastAsia="MS Mincho"/>
          <w:b/>
          <w:bCs/>
          <w:i/>
          <w:sz w:val="20"/>
          <w:szCs w:val="20"/>
          <w:lang w:val="en-US"/>
        </w:rPr>
      </w:pPr>
      <w:bookmarkStart w:id="67" w:name="_Toc514172606"/>
      <w:r w:rsidRPr="00AC57EA">
        <w:rPr>
          <w:rFonts w:eastAsia="MS Mincho"/>
          <w:b/>
          <w:bCs/>
          <w:i/>
          <w:sz w:val="20"/>
          <w:szCs w:val="20"/>
          <w:lang w:val="en-US"/>
        </w:rPr>
        <w:t>B.</w:t>
      </w:r>
      <w:r w:rsidRPr="00AC57EA">
        <w:rPr>
          <w:rFonts w:eastAsia="MS Mincho"/>
          <w:b/>
          <w:bCs/>
          <w:i/>
          <w:sz w:val="20"/>
          <w:szCs w:val="20"/>
          <w:lang w:val="en-US"/>
        </w:rPr>
        <w:tab/>
      </w:r>
      <w:r w:rsidR="009D45B3" w:rsidRPr="00AC57EA">
        <w:rPr>
          <w:rFonts w:eastAsia="MS Mincho"/>
          <w:b/>
          <w:bCs/>
          <w:i/>
          <w:sz w:val="20"/>
          <w:szCs w:val="20"/>
          <w:lang w:val="en-US"/>
        </w:rPr>
        <w:t>Other human rights violations alleged by</w:t>
      </w:r>
      <w:r w:rsidRPr="00AC57EA">
        <w:rPr>
          <w:rFonts w:eastAsia="MS Mincho"/>
          <w:b/>
          <w:bCs/>
          <w:i/>
          <w:sz w:val="20"/>
          <w:szCs w:val="20"/>
          <w:lang w:val="en-US"/>
        </w:rPr>
        <w:t xml:space="preserve"> </w:t>
      </w:r>
      <w:r w:rsidR="00171E27" w:rsidRPr="00AC57EA">
        <w:rPr>
          <w:rFonts w:eastAsia="MS Mincho"/>
          <w:b/>
          <w:bCs/>
          <w:i/>
          <w:sz w:val="20"/>
          <w:szCs w:val="20"/>
          <w:lang w:val="en-US"/>
        </w:rPr>
        <w:t>the representatives</w:t>
      </w:r>
      <w:bookmarkEnd w:id="67"/>
    </w:p>
    <w:p w14:paraId="5B50C800" w14:textId="77777777" w:rsidR="00397EF6" w:rsidRPr="00AC57EA" w:rsidRDefault="00397EF6" w:rsidP="001C7E37">
      <w:pPr>
        <w:widowControl/>
        <w:adjustRightInd/>
        <w:spacing w:line="240" w:lineRule="auto"/>
        <w:textAlignment w:val="auto"/>
        <w:rPr>
          <w:rFonts w:eastAsiaTheme="minorHAnsi" w:cstheme="minorBidi"/>
          <w:sz w:val="20"/>
          <w:szCs w:val="20"/>
          <w:lang w:val="en-US" w:eastAsia="en-US"/>
        </w:rPr>
      </w:pPr>
    </w:p>
    <w:p w14:paraId="45159240" w14:textId="5C122FF9" w:rsidR="007A37EF" w:rsidRPr="00AC57EA" w:rsidRDefault="007A37EF" w:rsidP="007A37EF">
      <w:pPr>
        <w:pStyle w:val="Ttulo2"/>
        <w:tabs>
          <w:tab w:val="left" w:pos="1843"/>
        </w:tabs>
        <w:spacing w:before="0" w:line="240" w:lineRule="auto"/>
        <w:ind w:left="1134"/>
        <w:rPr>
          <w:rFonts w:ascii="Verdana" w:hAnsi="Verdana"/>
          <w:b w:val="0"/>
          <w:i/>
          <w:color w:val="auto"/>
          <w:sz w:val="20"/>
          <w:szCs w:val="20"/>
          <w:lang w:val="en-US"/>
        </w:rPr>
      </w:pPr>
      <w:bookmarkStart w:id="68" w:name="_Toc514172607"/>
      <w:r w:rsidRPr="00AC57EA">
        <w:rPr>
          <w:rFonts w:ascii="Verdana" w:hAnsi="Verdana"/>
          <w:b w:val="0"/>
          <w:i/>
          <w:color w:val="auto"/>
          <w:sz w:val="20"/>
          <w:szCs w:val="20"/>
          <w:lang w:val="en-US"/>
        </w:rPr>
        <w:t xml:space="preserve">B.1 </w:t>
      </w:r>
      <w:r w:rsidRPr="00AC57EA">
        <w:rPr>
          <w:rFonts w:ascii="Verdana" w:hAnsi="Verdana"/>
          <w:b w:val="0"/>
          <w:i/>
          <w:color w:val="auto"/>
          <w:sz w:val="20"/>
          <w:szCs w:val="20"/>
          <w:lang w:val="en-US"/>
        </w:rPr>
        <w:tab/>
      </w:r>
      <w:r w:rsidR="009E569E" w:rsidRPr="00AC57EA">
        <w:rPr>
          <w:rFonts w:ascii="Verdana" w:hAnsi="Verdana"/>
          <w:b w:val="0"/>
          <w:i/>
          <w:color w:val="auto"/>
          <w:sz w:val="20"/>
          <w:szCs w:val="20"/>
          <w:lang w:val="en-US"/>
        </w:rPr>
        <w:t>Arguments</w:t>
      </w:r>
      <w:r w:rsidR="00EC52D7" w:rsidRPr="00AC57EA">
        <w:rPr>
          <w:rFonts w:ascii="Verdana" w:hAnsi="Verdana"/>
          <w:b w:val="0"/>
          <w:i/>
          <w:color w:val="auto"/>
          <w:sz w:val="20"/>
          <w:szCs w:val="20"/>
          <w:lang w:val="en-US"/>
        </w:rPr>
        <w:t xml:space="preserve"> of the State</w:t>
      </w:r>
      <w:r w:rsidR="00171E27" w:rsidRPr="00AC57EA">
        <w:rPr>
          <w:rFonts w:ascii="Verdana" w:hAnsi="Verdana"/>
          <w:b w:val="0"/>
          <w:i/>
          <w:color w:val="auto"/>
          <w:sz w:val="20"/>
          <w:szCs w:val="20"/>
          <w:lang w:val="en-US"/>
        </w:rPr>
        <w:t xml:space="preserve"> and </w:t>
      </w:r>
      <w:r w:rsidR="009E569E" w:rsidRPr="00AC57EA">
        <w:rPr>
          <w:rFonts w:ascii="Verdana" w:hAnsi="Verdana"/>
          <w:b w:val="0"/>
          <w:i/>
          <w:color w:val="auto"/>
          <w:sz w:val="20"/>
          <w:szCs w:val="20"/>
          <w:lang w:val="en-US"/>
        </w:rPr>
        <w:t>observations</w:t>
      </w:r>
      <w:r w:rsidR="00B7258C" w:rsidRPr="00AC57EA">
        <w:rPr>
          <w:rFonts w:ascii="Verdana" w:hAnsi="Verdana"/>
          <w:b w:val="0"/>
          <w:i/>
          <w:color w:val="auto"/>
          <w:sz w:val="20"/>
          <w:szCs w:val="20"/>
          <w:lang w:val="en-US"/>
        </w:rPr>
        <w:t xml:space="preserve"> of the Commission</w:t>
      </w:r>
      <w:r w:rsidR="00171E27" w:rsidRPr="00AC57EA">
        <w:rPr>
          <w:rFonts w:ascii="Verdana" w:hAnsi="Verdana"/>
          <w:b w:val="0"/>
          <w:i/>
          <w:color w:val="auto"/>
          <w:sz w:val="20"/>
          <w:szCs w:val="20"/>
          <w:lang w:val="en-US"/>
        </w:rPr>
        <w:t xml:space="preserve"> and the representatives</w:t>
      </w:r>
      <w:bookmarkEnd w:id="68"/>
    </w:p>
    <w:p w14:paraId="67986A74" w14:textId="77777777" w:rsidR="007A37EF" w:rsidRPr="00AC57EA" w:rsidRDefault="007A37EF" w:rsidP="001C7E37">
      <w:pPr>
        <w:widowControl/>
        <w:adjustRightInd/>
        <w:spacing w:line="240" w:lineRule="auto"/>
        <w:textAlignment w:val="auto"/>
        <w:rPr>
          <w:rFonts w:eastAsiaTheme="minorHAnsi" w:cstheme="minorBidi"/>
          <w:sz w:val="20"/>
          <w:szCs w:val="20"/>
          <w:lang w:val="en-US" w:eastAsia="en-US"/>
        </w:rPr>
      </w:pPr>
    </w:p>
    <w:p w14:paraId="5D38CFBC" w14:textId="33EDA2CF" w:rsidR="00270756" w:rsidRPr="00AC57EA" w:rsidRDefault="00EC52D7" w:rsidP="00C8070B">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The </w:t>
      </w:r>
      <w:r w:rsidRPr="00AC57EA">
        <w:rPr>
          <w:rFonts w:cstheme="minorBidi"/>
          <w:b/>
          <w:bCs/>
          <w:i/>
          <w:iCs/>
          <w:sz w:val="20"/>
          <w:szCs w:val="20"/>
          <w:lang w:val="en-US" w:eastAsia="en-US"/>
        </w:rPr>
        <w:t>State</w:t>
      </w:r>
      <w:r w:rsidR="00270756" w:rsidRPr="00AC57EA">
        <w:rPr>
          <w:rFonts w:cstheme="minorBidi"/>
          <w:sz w:val="20"/>
          <w:szCs w:val="20"/>
          <w:lang w:val="en-US" w:eastAsia="en-US"/>
        </w:rPr>
        <w:t xml:space="preserve"> dis</w:t>
      </w:r>
      <w:r w:rsidR="009D45B3" w:rsidRPr="00AC57EA">
        <w:rPr>
          <w:rFonts w:cstheme="minorBidi"/>
          <w:sz w:val="20"/>
          <w:szCs w:val="20"/>
          <w:lang w:val="en-US" w:eastAsia="en-US"/>
        </w:rPr>
        <w:t xml:space="preserve">agreed with the arguments presented by </w:t>
      </w:r>
      <w:r w:rsidR="00171E27" w:rsidRPr="00AC57EA">
        <w:rPr>
          <w:rFonts w:cstheme="minorBidi"/>
          <w:sz w:val="20"/>
          <w:szCs w:val="20"/>
          <w:lang w:val="en-US" w:eastAsia="en-US"/>
        </w:rPr>
        <w:t>the representatives</w:t>
      </w:r>
      <w:r w:rsidR="00E9481C" w:rsidRPr="00AC57EA">
        <w:rPr>
          <w:rFonts w:cstheme="minorBidi"/>
          <w:sz w:val="20"/>
          <w:szCs w:val="20"/>
          <w:lang w:val="en-US" w:eastAsia="en-US"/>
        </w:rPr>
        <w:t xml:space="preserve"> </w:t>
      </w:r>
      <w:r w:rsidR="009D45B3" w:rsidRPr="00AC57EA">
        <w:rPr>
          <w:rFonts w:cstheme="minorBidi"/>
          <w:sz w:val="20"/>
          <w:szCs w:val="20"/>
          <w:lang w:val="en-US" w:eastAsia="en-US"/>
        </w:rPr>
        <w:t>with regard to th</w:t>
      </w:r>
      <w:r w:rsidR="00CF5B77" w:rsidRPr="00AC57EA">
        <w:rPr>
          <w:rFonts w:cstheme="minorBidi"/>
          <w:sz w:val="20"/>
          <w:szCs w:val="20"/>
          <w:lang w:val="en-US" w:eastAsia="en-US"/>
        </w:rPr>
        <w:t>e</w:t>
      </w:r>
      <w:r w:rsidR="009D45B3" w:rsidRPr="00AC57EA">
        <w:rPr>
          <w:rFonts w:cstheme="minorBidi"/>
          <w:sz w:val="20"/>
          <w:szCs w:val="20"/>
          <w:lang w:val="en-US" w:eastAsia="en-US"/>
        </w:rPr>
        <w:t xml:space="preserve"> violation of human rights that the Commission had not included. It argued that the principle of procedural good faith had been violated because, </w:t>
      </w:r>
      <w:r w:rsidR="00C45946" w:rsidRPr="00AC57EA">
        <w:rPr>
          <w:rFonts w:cstheme="minorBidi"/>
          <w:sz w:val="20"/>
          <w:szCs w:val="20"/>
          <w:lang w:val="en-US" w:eastAsia="en-US"/>
        </w:rPr>
        <w:t>in the case of</w:t>
      </w:r>
      <w:r w:rsidR="009D45B3" w:rsidRPr="00AC57EA">
        <w:rPr>
          <w:rFonts w:cstheme="minorBidi"/>
          <w:sz w:val="20"/>
          <w:szCs w:val="20"/>
          <w:lang w:val="en-US" w:eastAsia="en-US"/>
        </w:rPr>
        <w:t xml:space="preserve"> the presumed victim V.R.P., the</w:t>
      </w:r>
      <w:r w:rsidR="00C45946" w:rsidRPr="00AC57EA">
        <w:rPr>
          <w:rFonts w:cstheme="minorBidi"/>
          <w:sz w:val="20"/>
          <w:szCs w:val="20"/>
          <w:lang w:val="en-US" w:eastAsia="en-US"/>
        </w:rPr>
        <w:t xml:space="preserve"> representatives</w:t>
      </w:r>
      <w:r w:rsidR="009D45B3" w:rsidRPr="00AC57EA">
        <w:rPr>
          <w:rFonts w:cstheme="minorBidi"/>
          <w:sz w:val="20"/>
          <w:szCs w:val="20"/>
          <w:lang w:val="en-US" w:eastAsia="en-US"/>
        </w:rPr>
        <w:t xml:space="preserve"> had alleged violations of </w:t>
      </w:r>
      <w:r w:rsidR="00171E27" w:rsidRPr="00AC57EA">
        <w:rPr>
          <w:rFonts w:cstheme="minorBidi"/>
          <w:sz w:val="20"/>
          <w:szCs w:val="20"/>
          <w:lang w:val="en-US" w:eastAsia="en-US"/>
        </w:rPr>
        <w:t>Articles 1(1)</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8(1)</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17(1)</w:t>
      </w:r>
      <w:r w:rsidR="00270756" w:rsidRPr="00AC57EA">
        <w:rPr>
          <w:rFonts w:cstheme="minorBidi"/>
          <w:sz w:val="20"/>
          <w:szCs w:val="20"/>
          <w:lang w:val="en-US" w:eastAsia="en-US"/>
        </w:rPr>
        <w:t>, 2</w:t>
      </w:r>
      <w:r w:rsidR="00171E27" w:rsidRPr="00AC57EA">
        <w:rPr>
          <w:rFonts w:cstheme="minorBidi"/>
          <w:sz w:val="20"/>
          <w:szCs w:val="20"/>
          <w:lang w:val="en-US" w:eastAsia="en-US"/>
        </w:rPr>
        <w:t xml:space="preserve">2(1) and </w:t>
      </w:r>
      <w:r w:rsidR="00270756" w:rsidRPr="00AC57EA">
        <w:rPr>
          <w:rFonts w:cstheme="minorBidi"/>
          <w:sz w:val="20"/>
          <w:szCs w:val="20"/>
          <w:lang w:val="en-US" w:eastAsia="en-US"/>
        </w:rPr>
        <w:t>2</w:t>
      </w:r>
      <w:r w:rsidR="00171E27" w:rsidRPr="00AC57EA">
        <w:rPr>
          <w:rFonts w:cstheme="minorBidi"/>
          <w:sz w:val="20"/>
          <w:szCs w:val="20"/>
          <w:lang w:val="en-US" w:eastAsia="en-US"/>
        </w:rPr>
        <w:t>5(1)</w:t>
      </w:r>
      <w:r w:rsidR="00B7258C" w:rsidRPr="00AC57EA">
        <w:rPr>
          <w:rFonts w:cstheme="minorBidi"/>
          <w:sz w:val="20"/>
          <w:szCs w:val="20"/>
          <w:lang w:val="en-US" w:eastAsia="en-US"/>
        </w:rPr>
        <w:t xml:space="preserve"> of the American Convention</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1, 2, 4</w:t>
      </w:r>
      <w:r w:rsidR="009D45B3" w:rsidRPr="00AC57EA">
        <w:rPr>
          <w:rFonts w:cstheme="minorBidi"/>
          <w:sz w:val="20"/>
          <w:szCs w:val="20"/>
          <w:lang w:val="en-US" w:eastAsia="en-US"/>
        </w:rPr>
        <w:t>(</w:t>
      </w:r>
      <w:r w:rsidR="00270756" w:rsidRPr="00AC57EA">
        <w:rPr>
          <w:rFonts w:cstheme="minorBidi"/>
          <w:sz w:val="20"/>
          <w:szCs w:val="20"/>
          <w:lang w:val="en-US" w:eastAsia="en-US"/>
        </w:rPr>
        <w:t>b</w:t>
      </w:r>
      <w:r w:rsidR="009D45B3" w:rsidRPr="00AC57EA">
        <w:rPr>
          <w:rFonts w:cstheme="minorBidi"/>
          <w:sz w:val="20"/>
          <w:szCs w:val="20"/>
          <w:lang w:val="en-US" w:eastAsia="en-US"/>
        </w:rPr>
        <w:t>)</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4</w:t>
      </w:r>
      <w:r w:rsidR="009D45B3" w:rsidRPr="00AC57EA">
        <w:rPr>
          <w:rFonts w:cstheme="minorBidi"/>
          <w:sz w:val="20"/>
          <w:szCs w:val="20"/>
          <w:lang w:val="en-US" w:eastAsia="en-US"/>
        </w:rPr>
        <w:t>(</w:t>
      </w:r>
      <w:r w:rsidR="00270756" w:rsidRPr="00AC57EA">
        <w:rPr>
          <w:rFonts w:cstheme="minorBidi"/>
          <w:sz w:val="20"/>
          <w:szCs w:val="20"/>
          <w:lang w:val="en-US" w:eastAsia="en-US"/>
        </w:rPr>
        <w:t>g</w:t>
      </w:r>
      <w:r w:rsidR="009D45B3" w:rsidRPr="00AC57EA">
        <w:rPr>
          <w:rFonts w:cstheme="minorBidi"/>
          <w:sz w:val="20"/>
          <w:szCs w:val="20"/>
          <w:lang w:val="en-US" w:eastAsia="en-US"/>
        </w:rPr>
        <w:t>)</w:t>
      </w:r>
      <w:r w:rsidR="00B7258C" w:rsidRPr="00AC57EA">
        <w:rPr>
          <w:rFonts w:cstheme="minorBidi"/>
          <w:sz w:val="20"/>
          <w:szCs w:val="20"/>
          <w:lang w:val="en-US" w:eastAsia="en-US"/>
        </w:rPr>
        <w:t xml:space="preserve"> of the </w:t>
      </w:r>
      <w:r w:rsidR="00171E27" w:rsidRPr="00AC57EA">
        <w:rPr>
          <w:rFonts w:cstheme="minorBidi"/>
          <w:sz w:val="20"/>
          <w:szCs w:val="20"/>
          <w:lang w:val="en-US" w:eastAsia="en-US"/>
        </w:rPr>
        <w:t>Convention of Belém</w:t>
      </w:r>
      <w:r w:rsidR="00270756" w:rsidRPr="00AC57EA">
        <w:rPr>
          <w:rFonts w:cstheme="minorBidi"/>
          <w:sz w:val="20"/>
          <w:szCs w:val="20"/>
          <w:lang w:val="en-US" w:eastAsia="en-US"/>
        </w:rPr>
        <w:t xml:space="preserve"> do Pará</w:t>
      </w:r>
      <w:r w:rsidR="00E9481C" w:rsidRPr="00AC57EA">
        <w:rPr>
          <w:rFonts w:cstheme="minorBidi"/>
          <w:sz w:val="20"/>
          <w:szCs w:val="20"/>
          <w:lang w:val="en-US" w:eastAsia="en-US"/>
        </w:rPr>
        <w:t xml:space="preserve">, </w:t>
      </w:r>
      <w:r w:rsidR="009D45B3" w:rsidRPr="00AC57EA">
        <w:rPr>
          <w:rFonts w:cstheme="minorBidi"/>
          <w:sz w:val="20"/>
          <w:szCs w:val="20"/>
          <w:lang w:val="en-US" w:eastAsia="en-US"/>
        </w:rPr>
        <w:t xml:space="preserve">and also </w:t>
      </w:r>
      <w:r w:rsidR="00A05450" w:rsidRPr="00AC57EA">
        <w:rPr>
          <w:rFonts w:cstheme="minorBidi"/>
          <w:sz w:val="20"/>
          <w:szCs w:val="20"/>
          <w:lang w:val="en-US" w:eastAsia="en-US"/>
        </w:rPr>
        <w:t xml:space="preserve">Articles </w:t>
      </w:r>
      <w:r w:rsidR="00CF5B77" w:rsidRPr="00AC57EA">
        <w:rPr>
          <w:rFonts w:cstheme="minorBidi"/>
          <w:sz w:val="20"/>
          <w:szCs w:val="20"/>
          <w:lang w:val="en-US" w:eastAsia="en-US"/>
        </w:rPr>
        <w:t xml:space="preserve">2(1), 3(1) and (2), 4, 16, </w:t>
      </w:r>
      <w:r w:rsidR="00C45946" w:rsidRPr="00AC57EA">
        <w:rPr>
          <w:rFonts w:cstheme="minorBidi"/>
          <w:sz w:val="20"/>
          <w:szCs w:val="20"/>
          <w:lang w:val="en-US" w:eastAsia="en-US"/>
        </w:rPr>
        <w:t xml:space="preserve">and </w:t>
      </w:r>
      <w:r w:rsidR="00CF5B77" w:rsidRPr="00AC57EA">
        <w:rPr>
          <w:rFonts w:cstheme="minorBidi"/>
          <w:sz w:val="20"/>
          <w:szCs w:val="20"/>
          <w:lang w:val="en-US" w:eastAsia="en-US"/>
        </w:rPr>
        <w:t xml:space="preserve">24(1) and (2) </w:t>
      </w:r>
      <w:r w:rsidR="00B7258C" w:rsidRPr="00AC57EA">
        <w:rPr>
          <w:rFonts w:cstheme="minorBidi"/>
          <w:sz w:val="20"/>
          <w:szCs w:val="20"/>
          <w:lang w:val="en-US" w:eastAsia="en-US"/>
        </w:rPr>
        <w:t xml:space="preserve">of the </w:t>
      </w:r>
      <w:r w:rsidR="00171E27" w:rsidRPr="00AC57EA">
        <w:rPr>
          <w:rFonts w:cstheme="minorBidi"/>
          <w:sz w:val="20"/>
          <w:szCs w:val="20"/>
          <w:lang w:val="en-US" w:eastAsia="en-US"/>
        </w:rPr>
        <w:t>Convention on the Rights of the Child</w:t>
      </w:r>
      <w:r w:rsidR="00E9481C" w:rsidRPr="00AC57EA">
        <w:rPr>
          <w:rFonts w:cstheme="minorBidi"/>
          <w:sz w:val="20"/>
          <w:szCs w:val="20"/>
          <w:lang w:val="en-US" w:eastAsia="en-US"/>
        </w:rPr>
        <w:t>.</w:t>
      </w:r>
      <w:r w:rsidR="00270756" w:rsidRPr="00AC57EA">
        <w:rPr>
          <w:rFonts w:cstheme="minorBidi"/>
          <w:sz w:val="20"/>
          <w:szCs w:val="20"/>
          <w:lang w:val="en-US" w:eastAsia="en-US"/>
        </w:rPr>
        <w:t xml:space="preserve"> </w:t>
      </w:r>
      <w:r w:rsidR="0056222B" w:rsidRPr="00AC57EA">
        <w:rPr>
          <w:rFonts w:cstheme="minorBidi"/>
          <w:sz w:val="20"/>
          <w:szCs w:val="20"/>
          <w:lang w:val="en-US" w:eastAsia="en-US"/>
        </w:rPr>
        <w:t>The State</w:t>
      </w:r>
      <w:r w:rsidR="009D45B3" w:rsidRPr="00AC57EA">
        <w:rPr>
          <w:rFonts w:cstheme="minorBidi"/>
          <w:sz w:val="20"/>
          <w:szCs w:val="20"/>
          <w:lang w:val="en-US" w:eastAsia="en-US"/>
        </w:rPr>
        <w:t xml:space="preserve"> included the same argument in relation to </w:t>
      </w:r>
      <w:r w:rsidR="00E9481C" w:rsidRPr="00AC57EA">
        <w:rPr>
          <w:rFonts w:cstheme="minorBidi"/>
          <w:sz w:val="20"/>
          <w:szCs w:val="20"/>
          <w:lang w:val="en-US" w:eastAsia="en-US"/>
        </w:rPr>
        <w:t xml:space="preserve">V.P.C. </w:t>
      </w:r>
      <w:r w:rsidR="009D45B3" w:rsidRPr="00AC57EA">
        <w:rPr>
          <w:rFonts w:cstheme="minorBidi"/>
          <w:sz w:val="20"/>
          <w:szCs w:val="20"/>
          <w:lang w:val="en-US" w:eastAsia="en-US"/>
        </w:rPr>
        <w:t xml:space="preserve">with regard to the alleged violation of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5(1)</w:t>
      </w:r>
      <w:r w:rsidR="00270756" w:rsidRPr="00AC57EA">
        <w:rPr>
          <w:rFonts w:cstheme="minorBidi"/>
          <w:sz w:val="20"/>
          <w:szCs w:val="20"/>
          <w:lang w:val="en-US" w:eastAsia="en-US"/>
        </w:rPr>
        <w:t>, 8, 11,</w:t>
      </w:r>
      <w:r w:rsidR="00E9481C" w:rsidRPr="00AC57EA">
        <w:rPr>
          <w:rFonts w:cstheme="minorBidi"/>
          <w:sz w:val="20"/>
          <w:szCs w:val="20"/>
          <w:lang w:val="en-US" w:eastAsia="en-US"/>
        </w:rPr>
        <w:t xml:space="preserve"> 1</w:t>
      </w:r>
      <w:r w:rsidR="00171E27" w:rsidRPr="00AC57EA">
        <w:rPr>
          <w:rFonts w:cstheme="minorBidi"/>
          <w:sz w:val="20"/>
          <w:szCs w:val="20"/>
          <w:lang w:val="en-US" w:eastAsia="en-US"/>
        </w:rPr>
        <w:t>2(1)</w:t>
      </w:r>
      <w:r w:rsidR="00E9481C" w:rsidRPr="00AC57EA">
        <w:rPr>
          <w:rFonts w:cstheme="minorBidi"/>
          <w:sz w:val="20"/>
          <w:szCs w:val="20"/>
          <w:lang w:val="en-US" w:eastAsia="en-US"/>
        </w:rPr>
        <w:t>,</w:t>
      </w:r>
      <w:r w:rsidR="00270756" w:rsidRPr="00AC57EA">
        <w:rPr>
          <w:rFonts w:cstheme="minorBidi"/>
          <w:sz w:val="20"/>
          <w:szCs w:val="20"/>
          <w:lang w:val="en-US" w:eastAsia="en-US"/>
        </w:rPr>
        <w:t xml:space="preserve"> 24</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25</w:t>
      </w:r>
      <w:r w:rsidR="00B7258C" w:rsidRPr="00AC57EA">
        <w:rPr>
          <w:rFonts w:cstheme="minorBidi"/>
          <w:sz w:val="20"/>
          <w:szCs w:val="20"/>
          <w:lang w:val="en-US" w:eastAsia="en-US"/>
        </w:rPr>
        <w:t xml:space="preserve"> of the American Convention</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in relation to Article 1(1)</w:t>
      </w:r>
      <w:r w:rsidR="00270756" w:rsidRPr="00AC57EA">
        <w:rPr>
          <w:rFonts w:cstheme="minorBidi"/>
          <w:sz w:val="20"/>
          <w:szCs w:val="20"/>
          <w:lang w:val="en-US" w:eastAsia="en-US"/>
        </w:rPr>
        <w:t xml:space="preserve"> </w:t>
      </w:r>
      <w:r w:rsidR="009D45B3" w:rsidRPr="00AC57EA">
        <w:rPr>
          <w:rFonts w:cstheme="minorBidi"/>
          <w:sz w:val="20"/>
          <w:szCs w:val="20"/>
          <w:lang w:val="en-US" w:eastAsia="en-US"/>
        </w:rPr>
        <w:t>of this instrument</w:t>
      </w:r>
      <w:r w:rsidR="00270756" w:rsidRPr="00AC57EA">
        <w:rPr>
          <w:rFonts w:cstheme="minorBidi"/>
          <w:sz w:val="20"/>
          <w:szCs w:val="20"/>
          <w:lang w:val="en-US" w:eastAsia="en-US"/>
        </w:rPr>
        <w:t>,</w:t>
      </w:r>
      <w:r w:rsidR="00171E27" w:rsidRPr="00AC57EA">
        <w:rPr>
          <w:rFonts w:cstheme="minorBidi"/>
          <w:sz w:val="20"/>
          <w:szCs w:val="20"/>
          <w:lang w:val="en-US" w:eastAsia="en-US"/>
        </w:rPr>
        <w:t xml:space="preserve"> and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 xml:space="preserve">4(g) and </w:t>
      </w:r>
      <w:r w:rsidR="007D5AA2" w:rsidRPr="00AC57EA">
        <w:rPr>
          <w:rFonts w:cstheme="minorBidi"/>
          <w:sz w:val="20"/>
          <w:szCs w:val="20"/>
          <w:lang w:val="en-US" w:eastAsia="en-US"/>
        </w:rPr>
        <w:t>7(b)</w:t>
      </w:r>
      <w:r w:rsidR="00B7258C" w:rsidRPr="00AC57EA">
        <w:rPr>
          <w:rFonts w:cstheme="minorBidi"/>
          <w:sz w:val="20"/>
          <w:szCs w:val="20"/>
          <w:lang w:val="en-US" w:eastAsia="en-US"/>
        </w:rPr>
        <w:t xml:space="preserve"> of the </w:t>
      </w:r>
      <w:r w:rsidR="00171E27" w:rsidRPr="00AC57EA">
        <w:rPr>
          <w:rFonts w:cstheme="minorBidi"/>
          <w:sz w:val="20"/>
          <w:szCs w:val="20"/>
          <w:lang w:val="en-US" w:eastAsia="en-US"/>
        </w:rPr>
        <w:t>Convention of Belém</w:t>
      </w:r>
      <w:r w:rsidR="00270756" w:rsidRPr="00AC57EA">
        <w:rPr>
          <w:rFonts w:cstheme="minorBidi"/>
          <w:sz w:val="20"/>
          <w:szCs w:val="20"/>
          <w:lang w:val="en-US" w:eastAsia="en-US"/>
        </w:rPr>
        <w:t xml:space="preserve"> do Pará;</w:t>
      </w:r>
      <w:r w:rsidR="00E9481C" w:rsidRPr="00AC57EA">
        <w:rPr>
          <w:rFonts w:cstheme="minorBidi"/>
          <w:sz w:val="20"/>
          <w:szCs w:val="20"/>
          <w:lang w:val="en-US" w:eastAsia="en-US"/>
        </w:rPr>
        <w:t xml:space="preserve"> </w:t>
      </w:r>
      <w:r w:rsidR="009D45B3" w:rsidRPr="00AC57EA">
        <w:rPr>
          <w:rFonts w:cstheme="minorBidi"/>
          <w:sz w:val="20"/>
          <w:szCs w:val="20"/>
          <w:lang w:val="en-US" w:eastAsia="en-US"/>
        </w:rPr>
        <w:t xml:space="preserve">and also the violation of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 xml:space="preserve">5(1) and </w:t>
      </w:r>
      <w:r w:rsidR="00270756" w:rsidRPr="00AC57EA">
        <w:rPr>
          <w:rFonts w:cstheme="minorBidi"/>
          <w:sz w:val="20"/>
          <w:szCs w:val="20"/>
          <w:lang w:val="en-US" w:eastAsia="en-US"/>
        </w:rPr>
        <w:t>11</w:t>
      </w:r>
      <w:r w:rsidR="00B7258C" w:rsidRPr="00AC57EA">
        <w:rPr>
          <w:rFonts w:cstheme="minorBidi"/>
          <w:sz w:val="20"/>
          <w:szCs w:val="20"/>
          <w:lang w:val="en-US" w:eastAsia="en-US"/>
        </w:rPr>
        <w:t xml:space="preserve"> of the American Convention</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in relation to Article 1(1)</w:t>
      </w:r>
      <w:r w:rsidR="00270756" w:rsidRPr="00AC57EA">
        <w:rPr>
          <w:rFonts w:cstheme="minorBidi"/>
          <w:sz w:val="20"/>
          <w:szCs w:val="20"/>
          <w:lang w:val="en-US" w:eastAsia="en-US"/>
        </w:rPr>
        <w:t xml:space="preserve"> </w:t>
      </w:r>
      <w:r w:rsidR="009D45B3" w:rsidRPr="00AC57EA">
        <w:rPr>
          <w:rFonts w:cstheme="minorBidi"/>
          <w:sz w:val="20"/>
          <w:szCs w:val="20"/>
          <w:lang w:val="en-US" w:eastAsia="en-US"/>
        </w:rPr>
        <w:t>thereof</w:t>
      </w:r>
      <w:r w:rsidR="0056222B" w:rsidRPr="00AC57EA">
        <w:rPr>
          <w:rFonts w:cstheme="minorBidi"/>
          <w:sz w:val="20"/>
          <w:szCs w:val="20"/>
          <w:lang w:val="en-US" w:eastAsia="en-US"/>
        </w:rPr>
        <w:t xml:space="preserve"> in relation to the presumed victims’ siblings,</w:t>
      </w:r>
      <w:r w:rsidR="009D45B3" w:rsidRPr="00AC57EA">
        <w:rPr>
          <w:rFonts w:cstheme="minorBidi"/>
          <w:sz w:val="20"/>
          <w:szCs w:val="20"/>
          <w:lang w:val="en-US" w:eastAsia="en-US"/>
        </w:rPr>
        <w:t xml:space="preserve"> </w:t>
      </w:r>
      <w:r w:rsidR="0056222B" w:rsidRPr="00AC57EA">
        <w:rPr>
          <w:rFonts w:cstheme="minorBidi"/>
          <w:sz w:val="20"/>
          <w:szCs w:val="20"/>
          <w:lang w:val="en-US" w:eastAsia="en-US"/>
        </w:rPr>
        <w:t>none of which had</w:t>
      </w:r>
      <w:r w:rsidR="009D45B3" w:rsidRPr="00AC57EA">
        <w:rPr>
          <w:rFonts w:cstheme="minorBidi"/>
          <w:sz w:val="20"/>
          <w:szCs w:val="20"/>
          <w:lang w:val="en-US" w:eastAsia="en-US"/>
        </w:rPr>
        <w:t xml:space="preserve"> been alleged during the processing of the case, either before the Commission or before </w:t>
      </w:r>
      <w:r w:rsidR="00B7258C" w:rsidRPr="00AC57EA">
        <w:rPr>
          <w:rFonts w:cstheme="minorBidi"/>
          <w:sz w:val="20"/>
          <w:szCs w:val="20"/>
          <w:lang w:val="en-US" w:eastAsia="en-US"/>
        </w:rPr>
        <w:t>the Court</w:t>
      </w:r>
      <w:r w:rsidR="00270756" w:rsidRPr="00AC57EA">
        <w:rPr>
          <w:rFonts w:cstheme="minorBidi"/>
          <w:sz w:val="20"/>
          <w:szCs w:val="20"/>
          <w:lang w:val="en-US" w:eastAsia="en-US"/>
        </w:rPr>
        <w:t>.</w:t>
      </w:r>
      <w:r w:rsidR="00FB0046" w:rsidRPr="00AC57EA">
        <w:rPr>
          <w:rFonts w:cstheme="minorBidi"/>
          <w:sz w:val="20"/>
          <w:szCs w:val="20"/>
          <w:lang w:val="en-US" w:eastAsia="en-US"/>
        </w:rPr>
        <w:t xml:space="preserve"> </w:t>
      </w:r>
      <w:r w:rsidRPr="00AC57EA">
        <w:rPr>
          <w:rFonts w:cstheme="minorBidi"/>
          <w:sz w:val="20"/>
          <w:szCs w:val="20"/>
          <w:lang w:val="en-US" w:eastAsia="en-US"/>
        </w:rPr>
        <w:t>The State</w:t>
      </w:r>
      <w:r w:rsidR="00270756" w:rsidRPr="00AC57EA">
        <w:rPr>
          <w:rFonts w:cstheme="minorBidi"/>
          <w:sz w:val="20"/>
          <w:szCs w:val="20"/>
          <w:lang w:val="en-US" w:eastAsia="en-US"/>
        </w:rPr>
        <w:t xml:space="preserve"> </w:t>
      </w:r>
      <w:r w:rsidR="009D45B3" w:rsidRPr="00AC57EA">
        <w:rPr>
          <w:rFonts w:cstheme="minorBidi"/>
          <w:sz w:val="20"/>
          <w:szCs w:val="20"/>
          <w:lang w:val="en-US" w:eastAsia="en-US"/>
        </w:rPr>
        <w:t xml:space="preserve">argued that </w:t>
      </w:r>
      <w:r w:rsidR="001C3476" w:rsidRPr="00AC57EA">
        <w:rPr>
          <w:rFonts w:cstheme="minorBidi"/>
          <w:sz w:val="20"/>
          <w:szCs w:val="20"/>
          <w:lang w:val="en-US" w:eastAsia="en-US"/>
        </w:rPr>
        <w:t xml:space="preserve">the citation of the new presumed violations constituted an evident change in the original position </w:t>
      </w:r>
      <w:r w:rsidR="00171E27" w:rsidRPr="00AC57EA">
        <w:rPr>
          <w:rFonts w:cstheme="minorBidi"/>
          <w:sz w:val="20"/>
          <w:szCs w:val="20"/>
          <w:lang w:val="en-US" w:eastAsia="en-US"/>
        </w:rPr>
        <w:t xml:space="preserve">of the </w:t>
      </w:r>
      <w:r w:rsidRPr="00AC57EA">
        <w:rPr>
          <w:rFonts w:cstheme="minorBidi"/>
          <w:sz w:val="20"/>
          <w:szCs w:val="20"/>
          <w:lang w:val="en-US" w:eastAsia="en-US"/>
        </w:rPr>
        <w:t>petitioner</w:t>
      </w:r>
      <w:r w:rsidR="00171E27" w:rsidRPr="00AC57EA">
        <w:rPr>
          <w:rFonts w:cstheme="minorBidi"/>
          <w:sz w:val="20"/>
          <w:szCs w:val="20"/>
          <w:lang w:val="en-US" w:eastAsia="en-US"/>
        </w:rPr>
        <w:t xml:space="preserve"> and </w:t>
      </w:r>
      <w:r w:rsidR="001C3476" w:rsidRPr="00AC57EA">
        <w:rPr>
          <w:rFonts w:cstheme="minorBidi"/>
          <w:sz w:val="20"/>
          <w:szCs w:val="20"/>
          <w:lang w:val="en-US" w:eastAsia="en-US"/>
        </w:rPr>
        <w:t xml:space="preserve">her representatives in relation to the </w:t>
      </w:r>
      <w:r w:rsidR="0056222B" w:rsidRPr="00AC57EA">
        <w:rPr>
          <w:rFonts w:cstheme="minorBidi"/>
          <w:sz w:val="20"/>
          <w:szCs w:val="20"/>
          <w:lang w:val="en-US" w:eastAsia="en-US"/>
        </w:rPr>
        <w:t xml:space="preserve">Commission’s </w:t>
      </w:r>
      <w:r w:rsidRPr="00AC57EA">
        <w:rPr>
          <w:rFonts w:cstheme="minorBidi"/>
          <w:sz w:val="20"/>
          <w:szCs w:val="20"/>
          <w:lang w:val="en-US" w:eastAsia="en-US"/>
        </w:rPr>
        <w:t>Merits Report</w:t>
      </w:r>
      <w:r w:rsidR="00B7258C" w:rsidRPr="00AC57EA">
        <w:rPr>
          <w:rFonts w:cstheme="minorBidi"/>
          <w:sz w:val="20"/>
          <w:szCs w:val="20"/>
          <w:lang w:val="en-US" w:eastAsia="en-US"/>
        </w:rPr>
        <w:t xml:space="preserve"> </w:t>
      </w:r>
      <w:r w:rsidR="001C3476" w:rsidRPr="00AC57EA">
        <w:rPr>
          <w:rFonts w:cstheme="minorBidi"/>
          <w:sz w:val="20"/>
          <w:szCs w:val="20"/>
          <w:lang w:val="en-US" w:eastAsia="en-US"/>
        </w:rPr>
        <w:t>that, in its opinion, “constitute[d] a direct violation of the procedure under the inter-American system, a violation of the right of defense</w:t>
      </w:r>
      <w:r w:rsidR="0056222B" w:rsidRPr="00AC57EA">
        <w:rPr>
          <w:rFonts w:cstheme="minorBidi"/>
          <w:sz w:val="20"/>
          <w:szCs w:val="20"/>
          <w:lang w:val="en-US" w:eastAsia="en-US"/>
        </w:rPr>
        <w:t>,</w:t>
      </w:r>
      <w:r w:rsidR="001C3476" w:rsidRPr="00AC57EA">
        <w:rPr>
          <w:rFonts w:cstheme="minorBidi"/>
          <w:sz w:val="20"/>
          <w:szCs w:val="20"/>
          <w:lang w:val="en-US" w:eastAsia="en-US"/>
        </w:rPr>
        <w:t xml:space="preserve"> and a violation of legal certainty.” Therefore, the State asked the Court not to admit the </w:t>
      </w:r>
      <w:r w:rsidR="000B6728" w:rsidRPr="00AC57EA">
        <w:rPr>
          <w:rFonts w:cstheme="minorBidi"/>
          <w:sz w:val="20"/>
          <w:szCs w:val="20"/>
          <w:lang w:val="en-US" w:eastAsia="en-US"/>
        </w:rPr>
        <w:t>analysis</w:t>
      </w:r>
      <w:r w:rsidR="001C3476" w:rsidRPr="00AC57EA">
        <w:rPr>
          <w:rFonts w:cstheme="minorBidi"/>
          <w:sz w:val="20"/>
          <w:szCs w:val="20"/>
          <w:lang w:val="en-US" w:eastAsia="en-US"/>
        </w:rPr>
        <w:t xml:space="preserve"> of the said provisions in this case.</w:t>
      </w:r>
    </w:p>
    <w:p w14:paraId="67865934" w14:textId="77777777" w:rsidR="00270756" w:rsidRPr="00AC57EA" w:rsidRDefault="00270756" w:rsidP="001C7E37">
      <w:pPr>
        <w:widowControl/>
        <w:tabs>
          <w:tab w:val="left" w:pos="0"/>
          <w:tab w:val="left" w:pos="567"/>
        </w:tabs>
        <w:adjustRightInd/>
        <w:spacing w:line="240" w:lineRule="auto"/>
        <w:textAlignment w:val="auto"/>
        <w:rPr>
          <w:rFonts w:cstheme="minorBidi"/>
          <w:sz w:val="20"/>
          <w:szCs w:val="20"/>
          <w:lang w:val="en-US" w:eastAsia="en-US"/>
        </w:rPr>
      </w:pPr>
    </w:p>
    <w:p w14:paraId="28190E09" w14:textId="5E9C58DD" w:rsidR="00270756" w:rsidRPr="00AC57EA" w:rsidRDefault="00171E27" w:rsidP="001C3476">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The </w:t>
      </w:r>
      <w:r w:rsidRPr="00AC57EA">
        <w:rPr>
          <w:rFonts w:cstheme="minorBidi"/>
          <w:b/>
          <w:bCs/>
          <w:i/>
          <w:iCs/>
          <w:sz w:val="20"/>
          <w:szCs w:val="20"/>
          <w:lang w:val="en-US" w:eastAsia="en-US"/>
        </w:rPr>
        <w:t>representatives</w:t>
      </w:r>
      <w:r w:rsidR="00270756" w:rsidRPr="00AC57EA">
        <w:rPr>
          <w:rFonts w:cstheme="minorBidi"/>
          <w:sz w:val="20"/>
          <w:szCs w:val="20"/>
          <w:lang w:val="en-US" w:eastAsia="en-US"/>
        </w:rPr>
        <w:t xml:space="preserve"> </w:t>
      </w:r>
      <w:r w:rsidR="001C3476" w:rsidRPr="00AC57EA">
        <w:rPr>
          <w:rFonts w:cstheme="minorBidi"/>
          <w:sz w:val="20"/>
          <w:szCs w:val="20"/>
          <w:lang w:val="en-US" w:eastAsia="en-US"/>
        </w:rPr>
        <w:t xml:space="preserve">argued that, based on </w:t>
      </w:r>
      <w:r w:rsidR="00B7258C" w:rsidRPr="00AC57EA">
        <w:rPr>
          <w:rFonts w:cstheme="minorBidi"/>
          <w:sz w:val="20"/>
          <w:szCs w:val="20"/>
          <w:lang w:val="en-US" w:eastAsia="en-US"/>
        </w:rPr>
        <w:t>Article</w:t>
      </w:r>
      <w:r w:rsidR="00270756" w:rsidRPr="00AC57EA">
        <w:rPr>
          <w:rFonts w:cstheme="minorBidi"/>
          <w:sz w:val="20"/>
          <w:szCs w:val="20"/>
          <w:lang w:val="en-US" w:eastAsia="en-US"/>
        </w:rPr>
        <w:t xml:space="preserve"> 40</w:t>
      </w:r>
      <w:r w:rsidR="00B7258C" w:rsidRPr="00AC57EA">
        <w:rPr>
          <w:rFonts w:cstheme="minorBidi"/>
          <w:sz w:val="20"/>
          <w:szCs w:val="20"/>
          <w:lang w:val="en-US" w:eastAsia="en-US"/>
        </w:rPr>
        <w:t xml:space="preserve"> of the</w:t>
      </w:r>
      <w:r w:rsidR="001C3476" w:rsidRPr="00AC57EA">
        <w:rPr>
          <w:rFonts w:cstheme="minorBidi"/>
          <w:sz w:val="20"/>
          <w:szCs w:val="20"/>
          <w:lang w:val="en-US" w:eastAsia="en-US"/>
        </w:rPr>
        <w:t xml:space="preserve"> Court’s</w:t>
      </w:r>
      <w:r w:rsidR="00B7258C" w:rsidRPr="00AC57EA">
        <w:rPr>
          <w:rFonts w:cstheme="minorBidi"/>
          <w:sz w:val="20"/>
          <w:szCs w:val="20"/>
          <w:lang w:val="en-US" w:eastAsia="en-US"/>
        </w:rPr>
        <w:t xml:space="preserve"> Rules of Procedure</w:t>
      </w:r>
      <w:r w:rsidR="00270756" w:rsidRPr="00AC57EA">
        <w:rPr>
          <w:rFonts w:cstheme="minorBidi"/>
          <w:sz w:val="20"/>
          <w:szCs w:val="20"/>
          <w:lang w:val="en-US" w:eastAsia="en-US"/>
        </w:rPr>
        <w:t xml:space="preserve">, </w:t>
      </w:r>
      <w:r w:rsidR="001C3476" w:rsidRPr="00AC57EA">
        <w:rPr>
          <w:rFonts w:cstheme="minorBidi"/>
          <w:sz w:val="20"/>
          <w:szCs w:val="20"/>
          <w:lang w:val="en-US" w:eastAsia="en-US"/>
        </w:rPr>
        <w:t>the</w:t>
      </w:r>
      <w:r w:rsidR="00270756" w:rsidRPr="00AC57EA">
        <w:rPr>
          <w:rFonts w:cstheme="minorBidi"/>
          <w:sz w:val="20"/>
          <w:szCs w:val="20"/>
          <w:lang w:val="en-US" w:eastAsia="en-US"/>
        </w:rPr>
        <w:t xml:space="preserve"> </w:t>
      </w:r>
      <w:r w:rsidR="001C3476" w:rsidRPr="00AC57EA">
        <w:rPr>
          <w:rFonts w:cstheme="minorBidi"/>
          <w:sz w:val="20"/>
          <w:szCs w:val="20"/>
          <w:lang w:val="en-US" w:eastAsia="en-US"/>
        </w:rPr>
        <w:t>b</w:t>
      </w:r>
      <w:r w:rsidRPr="00AC57EA">
        <w:rPr>
          <w:rFonts w:cstheme="minorBidi"/>
          <w:sz w:val="20"/>
          <w:szCs w:val="20"/>
          <w:lang w:val="en-US" w:eastAsia="en-US"/>
        </w:rPr>
        <w:t>rief with pleadings, motions and evidence</w:t>
      </w:r>
      <w:r w:rsidR="00270756" w:rsidRPr="00AC57EA">
        <w:rPr>
          <w:rFonts w:cstheme="minorBidi"/>
          <w:sz w:val="20"/>
          <w:szCs w:val="20"/>
          <w:lang w:val="en-US" w:eastAsia="en-US"/>
        </w:rPr>
        <w:t xml:space="preserve"> </w:t>
      </w:r>
      <w:r w:rsidR="001C3476" w:rsidRPr="00AC57EA">
        <w:rPr>
          <w:rFonts w:cstheme="minorBidi"/>
          <w:sz w:val="20"/>
          <w:szCs w:val="20"/>
          <w:lang w:val="en-US" w:eastAsia="en-US"/>
        </w:rPr>
        <w:t xml:space="preserve">was autonomous and independent </w:t>
      </w:r>
      <w:r w:rsidR="0056222B" w:rsidRPr="00AC57EA">
        <w:rPr>
          <w:rFonts w:cstheme="minorBidi"/>
          <w:sz w:val="20"/>
          <w:szCs w:val="20"/>
          <w:lang w:val="en-US" w:eastAsia="en-US"/>
        </w:rPr>
        <w:t>from</w:t>
      </w:r>
      <w:r w:rsidR="001C3476" w:rsidRPr="00AC57EA">
        <w:rPr>
          <w:rFonts w:cstheme="minorBidi"/>
          <w:sz w:val="20"/>
          <w:szCs w:val="20"/>
          <w:lang w:val="en-US" w:eastAsia="en-US"/>
        </w:rPr>
        <w:t xml:space="preserve"> the allegation</w:t>
      </w:r>
      <w:r w:rsidR="0056222B" w:rsidRPr="00AC57EA">
        <w:rPr>
          <w:rFonts w:cstheme="minorBidi"/>
          <w:sz w:val="20"/>
          <w:szCs w:val="20"/>
          <w:lang w:val="en-US" w:eastAsia="en-US"/>
        </w:rPr>
        <w:t>s</w:t>
      </w:r>
      <w:r w:rsidR="001C3476" w:rsidRPr="00AC57EA">
        <w:rPr>
          <w:rFonts w:cstheme="minorBidi"/>
          <w:sz w:val="20"/>
          <w:szCs w:val="20"/>
          <w:lang w:val="en-US" w:eastAsia="en-US"/>
        </w:rPr>
        <w:t xml:space="preserve"> made in the</w:t>
      </w:r>
      <w:r w:rsidR="00270756" w:rsidRPr="00AC57EA">
        <w:rPr>
          <w:rFonts w:cstheme="minorBidi"/>
          <w:sz w:val="20"/>
          <w:szCs w:val="20"/>
          <w:lang w:val="en-US" w:eastAsia="en-US"/>
        </w:rPr>
        <w:t xml:space="preserve"> </w:t>
      </w:r>
      <w:r w:rsidR="00EC52D7" w:rsidRPr="00AC57EA">
        <w:rPr>
          <w:rFonts w:cstheme="minorBidi"/>
          <w:sz w:val="20"/>
          <w:szCs w:val="20"/>
          <w:lang w:val="en-US" w:eastAsia="en-US"/>
        </w:rPr>
        <w:t>Merits Report</w:t>
      </w:r>
      <w:r w:rsidR="00270756" w:rsidRPr="00AC57EA">
        <w:rPr>
          <w:rFonts w:cstheme="minorBidi"/>
          <w:sz w:val="20"/>
          <w:szCs w:val="20"/>
          <w:lang w:val="en-US" w:eastAsia="en-US"/>
        </w:rPr>
        <w:t xml:space="preserve"> </w:t>
      </w:r>
      <w:r w:rsidR="001C3476" w:rsidRPr="00AC57EA">
        <w:rPr>
          <w:rFonts w:cstheme="minorBidi"/>
          <w:sz w:val="20"/>
          <w:szCs w:val="20"/>
          <w:lang w:val="en-US" w:eastAsia="en-US"/>
        </w:rPr>
        <w:t>submitted by</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Commission</w:t>
      </w:r>
      <w:r w:rsidR="00270756" w:rsidRPr="00AC57EA">
        <w:rPr>
          <w:rFonts w:cstheme="minorBidi"/>
          <w:sz w:val="20"/>
          <w:szCs w:val="20"/>
          <w:lang w:val="en-US" w:eastAsia="en-US"/>
        </w:rPr>
        <w:t xml:space="preserve">, </w:t>
      </w:r>
      <w:r w:rsidR="0056222B" w:rsidRPr="00AC57EA">
        <w:rPr>
          <w:rFonts w:cstheme="minorBidi"/>
          <w:sz w:val="20"/>
          <w:szCs w:val="20"/>
          <w:lang w:val="en-US" w:eastAsia="en-US"/>
        </w:rPr>
        <w:t>and</w:t>
      </w:r>
      <w:r w:rsidR="001C3476" w:rsidRPr="00AC57EA">
        <w:rPr>
          <w:rFonts w:cstheme="minorBidi"/>
          <w:sz w:val="20"/>
          <w:szCs w:val="20"/>
          <w:lang w:val="en-US" w:eastAsia="en-US"/>
        </w:rPr>
        <w:t xml:space="preserve"> new rights violations could be included</w:t>
      </w:r>
      <w:r w:rsidR="0056222B" w:rsidRPr="00AC57EA">
        <w:rPr>
          <w:rFonts w:cstheme="minorBidi"/>
          <w:sz w:val="20"/>
          <w:szCs w:val="20"/>
          <w:lang w:val="en-US" w:eastAsia="en-US"/>
        </w:rPr>
        <w:t xml:space="preserve"> in it</w:t>
      </w:r>
      <w:r w:rsidR="001C3476" w:rsidRPr="00AC57EA">
        <w:rPr>
          <w:rFonts w:cstheme="minorBidi"/>
          <w:sz w:val="20"/>
          <w:szCs w:val="20"/>
          <w:lang w:val="en-US" w:eastAsia="en-US"/>
        </w:rPr>
        <w:t xml:space="preserve">, provided they </w:t>
      </w:r>
      <w:r w:rsidR="0056222B" w:rsidRPr="00AC57EA">
        <w:rPr>
          <w:rFonts w:cstheme="minorBidi"/>
          <w:sz w:val="20"/>
          <w:szCs w:val="20"/>
          <w:lang w:val="en-US" w:eastAsia="en-US"/>
        </w:rPr>
        <w:t>fell</w:t>
      </w:r>
      <w:r w:rsidR="001C3476" w:rsidRPr="00AC57EA">
        <w:rPr>
          <w:rFonts w:cstheme="minorBidi"/>
          <w:sz w:val="20"/>
          <w:szCs w:val="20"/>
          <w:lang w:val="en-US" w:eastAsia="en-US"/>
        </w:rPr>
        <w:t xml:space="preserve"> within the factual framework established by </w:t>
      </w:r>
      <w:r w:rsidR="00B7258C" w:rsidRPr="00AC57EA">
        <w:rPr>
          <w:rFonts w:cstheme="minorBidi"/>
          <w:sz w:val="20"/>
          <w:szCs w:val="20"/>
          <w:lang w:val="en-US" w:eastAsia="en-US"/>
        </w:rPr>
        <w:t>the Commission</w:t>
      </w:r>
      <w:r w:rsidR="00270756" w:rsidRPr="00AC57EA">
        <w:rPr>
          <w:rFonts w:cstheme="minorBidi"/>
          <w:sz w:val="20"/>
          <w:szCs w:val="20"/>
          <w:lang w:val="en-US" w:eastAsia="en-US"/>
        </w:rPr>
        <w:t xml:space="preserve">. </w:t>
      </w:r>
      <w:r w:rsidR="001C3476" w:rsidRPr="00AC57EA">
        <w:rPr>
          <w:rFonts w:cstheme="minorBidi"/>
          <w:sz w:val="20"/>
          <w:szCs w:val="20"/>
          <w:lang w:val="en-US" w:eastAsia="en-US"/>
        </w:rPr>
        <w:t>They added that, in the instant case, all the violations described were included within the factual framework. They understood that, consequently, it was possible to include rights that had not been included in the Merits Report because the violations and abuse suffered by V.P.C. and V.R.P., which were described in the factual framework of the case, had ulterior consequence</w:t>
      </w:r>
      <w:r w:rsidR="004C369E" w:rsidRPr="00AC57EA">
        <w:rPr>
          <w:rFonts w:cstheme="minorBidi"/>
          <w:sz w:val="20"/>
          <w:szCs w:val="20"/>
          <w:lang w:val="en-US" w:eastAsia="en-US"/>
        </w:rPr>
        <w:t>s</w:t>
      </w:r>
      <w:r w:rsidR="001C3476" w:rsidRPr="00AC57EA">
        <w:rPr>
          <w:rFonts w:cstheme="minorBidi"/>
          <w:sz w:val="20"/>
          <w:szCs w:val="20"/>
          <w:lang w:val="en-US" w:eastAsia="en-US"/>
        </w:rPr>
        <w:t>. The representatives concluded that, in this case, they had “</w:t>
      </w:r>
      <w:r w:rsidR="0056222B" w:rsidRPr="00AC57EA">
        <w:rPr>
          <w:rFonts w:cstheme="minorBidi"/>
          <w:sz w:val="20"/>
          <w:szCs w:val="20"/>
          <w:lang w:val="en-US" w:eastAsia="en-US"/>
        </w:rPr>
        <w:t>described</w:t>
      </w:r>
      <w:r w:rsidR="001C3476" w:rsidRPr="00AC57EA">
        <w:rPr>
          <w:rFonts w:cstheme="minorBidi"/>
          <w:sz w:val="20"/>
          <w:szCs w:val="20"/>
          <w:lang w:val="en-US" w:eastAsia="en-US"/>
        </w:rPr>
        <w:t xml:space="preserve"> some violations of the presumed </w:t>
      </w:r>
      <w:r w:rsidR="001C3476" w:rsidRPr="00AC57EA">
        <w:rPr>
          <w:rFonts w:cstheme="minorBidi"/>
          <w:sz w:val="20"/>
          <w:szCs w:val="20"/>
          <w:lang w:val="en-US" w:eastAsia="en-US"/>
        </w:rPr>
        <w:lastRenderedPageBreak/>
        <w:t>victims</w:t>
      </w:r>
      <w:r w:rsidR="0056222B" w:rsidRPr="00AC57EA">
        <w:rPr>
          <w:rFonts w:cstheme="minorBidi"/>
          <w:sz w:val="20"/>
          <w:szCs w:val="20"/>
          <w:lang w:val="en-US" w:eastAsia="en-US"/>
        </w:rPr>
        <w:t>’ rights</w:t>
      </w:r>
      <w:r w:rsidR="001C3476" w:rsidRPr="00AC57EA">
        <w:rPr>
          <w:rFonts w:cstheme="minorBidi"/>
          <w:sz w:val="20"/>
          <w:szCs w:val="20"/>
          <w:lang w:val="en-US" w:eastAsia="en-US"/>
        </w:rPr>
        <w:t xml:space="preserve">, but always within the framework of the facts indicated by </w:t>
      </w:r>
      <w:r w:rsidR="00B7258C" w:rsidRPr="00AC57EA">
        <w:rPr>
          <w:rFonts w:cstheme="minorBidi"/>
          <w:sz w:val="20"/>
          <w:szCs w:val="20"/>
          <w:lang w:val="en-US" w:eastAsia="en-US"/>
        </w:rPr>
        <w:t>the Commission</w:t>
      </w:r>
      <w:r w:rsidR="001C3476" w:rsidRPr="00AC57EA">
        <w:rPr>
          <w:rFonts w:cstheme="minorBidi"/>
          <w:sz w:val="20"/>
          <w:szCs w:val="20"/>
          <w:lang w:val="en-US" w:eastAsia="en-US"/>
        </w:rPr>
        <w:t>.</w:t>
      </w:r>
      <w:r w:rsidR="00270756" w:rsidRPr="00AC57EA">
        <w:rPr>
          <w:rFonts w:cstheme="minorBidi"/>
          <w:sz w:val="20"/>
          <w:szCs w:val="20"/>
          <w:lang w:val="en-US" w:eastAsia="en-US"/>
        </w:rPr>
        <w:t>”</w:t>
      </w:r>
    </w:p>
    <w:p w14:paraId="643C498E" w14:textId="77777777" w:rsidR="00270756" w:rsidRPr="00AC57EA" w:rsidRDefault="00270756" w:rsidP="001C7E37">
      <w:pPr>
        <w:widowControl/>
        <w:tabs>
          <w:tab w:val="left" w:pos="0"/>
          <w:tab w:val="left" w:pos="567"/>
        </w:tabs>
        <w:adjustRightInd/>
        <w:spacing w:line="240" w:lineRule="auto"/>
        <w:textAlignment w:val="auto"/>
        <w:rPr>
          <w:rFonts w:cstheme="minorBidi"/>
          <w:sz w:val="20"/>
          <w:szCs w:val="20"/>
          <w:lang w:val="en-US" w:eastAsia="en-US"/>
        </w:rPr>
      </w:pPr>
    </w:p>
    <w:p w14:paraId="77DEC811" w14:textId="7327B618" w:rsidR="00270756" w:rsidRPr="00AC57EA" w:rsidRDefault="00B7258C" w:rsidP="00C8070B">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The </w:t>
      </w:r>
      <w:r w:rsidRPr="00AC57EA">
        <w:rPr>
          <w:rFonts w:cstheme="minorBidi"/>
          <w:b/>
          <w:bCs/>
          <w:i/>
          <w:iCs/>
          <w:sz w:val="20"/>
          <w:szCs w:val="20"/>
          <w:lang w:val="en-US" w:eastAsia="en-US"/>
        </w:rPr>
        <w:t>Commission</w:t>
      </w:r>
      <w:r w:rsidR="00270756" w:rsidRPr="00AC57EA">
        <w:rPr>
          <w:rFonts w:cstheme="minorBidi"/>
          <w:b/>
          <w:bCs/>
          <w:i/>
          <w:iCs/>
          <w:sz w:val="20"/>
          <w:szCs w:val="20"/>
          <w:lang w:val="en-US" w:eastAsia="en-US"/>
        </w:rPr>
        <w:t xml:space="preserve"> </w:t>
      </w:r>
      <w:r w:rsidR="001C3476" w:rsidRPr="00AC57EA">
        <w:rPr>
          <w:rFonts w:cstheme="minorBidi"/>
          <w:sz w:val="20"/>
          <w:szCs w:val="20"/>
          <w:lang w:val="en-US" w:eastAsia="en-US"/>
        </w:rPr>
        <w:t>made no observations in this regard</w:t>
      </w:r>
      <w:r w:rsidR="00270756" w:rsidRPr="00AC57EA">
        <w:rPr>
          <w:rFonts w:cstheme="minorBidi"/>
          <w:sz w:val="20"/>
          <w:szCs w:val="20"/>
          <w:lang w:val="en-US" w:eastAsia="en-US"/>
        </w:rPr>
        <w:t>.</w:t>
      </w:r>
    </w:p>
    <w:p w14:paraId="38AE1B34" w14:textId="77777777" w:rsidR="00270756" w:rsidRPr="00AC57EA" w:rsidRDefault="00270756" w:rsidP="001C7E37">
      <w:pPr>
        <w:widowControl/>
        <w:tabs>
          <w:tab w:val="left" w:pos="0"/>
          <w:tab w:val="left" w:pos="567"/>
        </w:tabs>
        <w:adjustRightInd/>
        <w:spacing w:line="240" w:lineRule="auto"/>
        <w:textAlignment w:val="auto"/>
        <w:rPr>
          <w:rFonts w:cstheme="minorBidi"/>
          <w:sz w:val="20"/>
          <w:szCs w:val="20"/>
          <w:lang w:val="en-US" w:eastAsia="en-US"/>
        </w:rPr>
      </w:pPr>
    </w:p>
    <w:p w14:paraId="0A566A71" w14:textId="40377680" w:rsidR="007A37EF" w:rsidRPr="00AC57EA" w:rsidRDefault="007A37EF" w:rsidP="007A37EF">
      <w:pPr>
        <w:pStyle w:val="Ttulo2"/>
        <w:tabs>
          <w:tab w:val="left" w:pos="1843"/>
        </w:tabs>
        <w:spacing w:before="0" w:line="240" w:lineRule="auto"/>
        <w:ind w:left="1134"/>
        <w:rPr>
          <w:rFonts w:ascii="Verdana" w:hAnsi="Verdana"/>
          <w:b w:val="0"/>
          <w:i/>
          <w:color w:val="auto"/>
          <w:sz w:val="20"/>
          <w:szCs w:val="20"/>
          <w:lang w:val="en-US"/>
        </w:rPr>
      </w:pPr>
      <w:bookmarkStart w:id="69" w:name="_Toc514172608"/>
      <w:r w:rsidRPr="00AC57EA">
        <w:rPr>
          <w:rFonts w:ascii="Verdana" w:hAnsi="Verdana"/>
          <w:b w:val="0"/>
          <w:i/>
          <w:color w:val="auto"/>
          <w:sz w:val="20"/>
          <w:szCs w:val="20"/>
          <w:lang w:val="en-US"/>
        </w:rPr>
        <w:t xml:space="preserve">B.2 </w:t>
      </w:r>
      <w:r w:rsidRPr="00AC57EA">
        <w:rPr>
          <w:rFonts w:ascii="Verdana" w:hAnsi="Verdana"/>
          <w:b w:val="0"/>
          <w:i/>
          <w:color w:val="auto"/>
          <w:sz w:val="20"/>
          <w:szCs w:val="20"/>
          <w:lang w:val="en-US"/>
        </w:rPr>
        <w:tab/>
      </w:r>
      <w:r w:rsidR="002223C8" w:rsidRPr="00AC57EA">
        <w:rPr>
          <w:rFonts w:ascii="Verdana" w:hAnsi="Verdana"/>
          <w:b w:val="0"/>
          <w:i/>
          <w:color w:val="auto"/>
          <w:sz w:val="20"/>
          <w:szCs w:val="20"/>
          <w:lang w:val="en-US"/>
        </w:rPr>
        <w:t>Considerations</w:t>
      </w:r>
      <w:r w:rsidR="00B7258C" w:rsidRPr="00AC57EA">
        <w:rPr>
          <w:rFonts w:ascii="Verdana" w:hAnsi="Verdana"/>
          <w:b w:val="0"/>
          <w:i/>
          <w:color w:val="auto"/>
          <w:sz w:val="20"/>
          <w:szCs w:val="20"/>
          <w:lang w:val="en-US"/>
        </w:rPr>
        <w:t xml:space="preserve"> of the Court</w:t>
      </w:r>
      <w:bookmarkEnd w:id="69"/>
    </w:p>
    <w:p w14:paraId="303E2EA5" w14:textId="77777777" w:rsidR="007A37EF" w:rsidRPr="00AC57EA" w:rsidRDefault="007A37EF" w:rsidP="001C7E37">
      <w:pPr>
        <w:widowControl/>
        <w:tabs>
          <w:tab w:val="left" w:pos="0"/>
          <w:tab w:val="left" w:pos="567"/>
        </w:tabs>
        <w:adjustRightInd/>
        <w:spacing w:line="240" w:lineRule="auto"/>
        <w:textAlignment w:val="auto"/>
        <w:rPr>
          <w:rFonts w:cstheme="minorBidi"/>
          <w:sz w:val="20"/>
          <w:szCs w:val="20"/>
          <w:lang w:val="en-US" w:eastAsia="en-US"/>
        </w:rPr>
      </w:pPr>
    </w:p>
    <w:p w14:paraId="5C902F41" w14:textId="2707D5B5" w:rsidR="00270756" w:rsidRPr="00AC57EA" w:rsidRDefault="0056222B" w:rsidP="00C8070B">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According to the</w:t>
      </w:r>
      <w:r w:rsidR="00A05450" w:rsidRPr="00AC57EA">
        <w:rPr>
          <w:rFonts w:cstheme="minorBidi"/>
          <w:sz w:val="20"/>
          <w:szCs w:val="20"/>
          <w:lang w:val="en-US" w:eastAsia="en-US"/>
        </w:rPr>
        <w:t xml:space="preserve"> consistent case law of this Court</w:t>
      </w:r>
      <w:r w:rsidRPr="00AC57EA">
        <w:rPr>
          <w:rFonts w:cstheme="minorBidi"/>
          <w:sz w:val="20"/>
          <w:szCs w:val="20"/>
          <w:lang w:val="en-US" w:eastAsia="en-US"/>
        </w:rPr>
        <w:t xml:space="preserve">, </w:t>
      </w:r>
      <w:r w:rsidR="00171E27" w:rsidRPr="00AC57EA">
        <w:rPr>
          <w:rFonts w:cstheme="minorBidi"/>
          <w:sz w:val="20"/>
          <w:szCs w:val="20"/>
          <w:lang w:val="en-US" w:eastAsia="en-US"/>
        </w:rPr>
        <w:t xml:space="preserve">the presumed victims and </w:t>
      </w:r>
      <w:r w:rsidR="00A05450" w:rsidRPr="00AC57EA">
        <w:rPr>
          <w:rFonts w:cstheme="minorBidi"/>
          <w:sz w:val="20"/>
          <w:szCs w:val="20"/>
          <w:lang w:val="en-US" w:eastAsia="en-US"/>
        </w:rPr>
        <w:t>their representatives may cite the violation of rights other than those contain</w:t>
      </w:r>
      <w:r w:rsidRPr="00AC57EA">
        <w:rPr>
          <w:rFonts w:cstheme="minorBidi"/>
          <w:sz w:val="20"/>
          <w:szCs w:val="20"/>
          <w:lang w:val="en-US" w:eastAsia="en-US"/>
        </w:rPr>
        <w:t>ed</w:t>
      </w:r>
      <w:r w:rsidR="00A05450" w:rsidRPr="00AC57EA">
        <w:rPr>
          <w:rFonts w:cstheme="minorBidi"/>
          <w:sz w:val="20"/>
          <w:szCs w:val="20"/>
          <w:lang w:val="en-US" w:eastAsia="en-US"/>
        </w:rPr>
        <w:t xml:space="preserve"> in the Merits Report, provided th</w:t>
      </w:r>
      <w:r w:rsidRPr="00AC57EA">
        <w:rPr>
          <w:rFonts w:cstheme="minorBidi"/>
          <w:sz w:val="20"/>
          <w:szCs w:val="20"/>
          <w:lang w:val="en-US" w:eastAsia="en-US"/>
        </w:rPr>
        <w:t>ose rights</w:t>
      </w:r>
      <w:r w:rsidR="00A05450" w:rsidRPr="00AC57EA">
        <w:rPr>
          <w:rFonts w:cstheme="minorBidi"/>
          <w:sz w:val="20"/>
          <w:szCs w:val="20"/>
          <w:lang w:val="en-US" w:eastAsia="en-US"/>
        </w:rPr>
        <w:t xml:space="preserve"> relate to the facts contained in that document, because the presumed victims are the titleholders of all the rights established in </w:t>
      </w:r>
      <w:r w:rsidR="00B7258C" w:rsidRPr="00AC57EA">
        <w:rPr>
          <w:rFonts w:cstheme="minorBidi"/>
          <w:sz w:val="20"/>
          <w:szCs w:val="20"/>
          <w:lang w:val="en-US" w:eastAsia="en-US"/>
        </w:rPr>
        <w:t>the Convention</w:t>
      </w:r>
      <w:r w:rsidR="00A05450" w:rsidRPr="00AC57EA">
        <w:rPr>
          <w:rFonts w:cstheme="minorBidi"/>
          <w:sz w:val="20"/>
          <w:szCs w:val="20"/>
          <w:lang w:val="en-US" w:eastAsia="en-US"/>
        </w:rPr>
        <w:t>.</w:t>
      </w:r>
      <w:r w:rsidR="00270756" w:rsidRPr="00AC57EA">
        <w:rPr>
          <w:rFonts w:cstheme="minorBidi"/>
          <w:sz w:val="20"/>
          <w:szCs w:val="20"/>
          <w:vertAlign w:val="superscript"/>
          <w:lang w:val="en-US" w:eastAsia="en-US"/>
        </w:rPr>
        <w:footnoteReference w:id="37"/>
      </w:r>
    </w:p>
    <w:p w14:paraId="2271BD1D" w14:textId="77777777" w:rsidR="00270756" w:rsidRPr="00AC57EA" w:rsidRDefault="00270756" w:rsidP="001C7E37">
      <w:pPr>
        <w:widowControl/>
        <w:tabs>
          <w:tab w:val="left" w:pos="0"/>
          <w:tab w:val="left" w:pos="567"/>
        </w:tabs>
        <w:adjustRightInd/>
        <w:spacing w:line="240" w:lineRule="auto"/>
        <w:textAlignment w:val="auto"/>
        <w:rPr>
          <w:rFonts w:cstheme="minorBidi"/>
          <w:sz w:val="20"/>
          <w:szCs w:val="20"/>
          <w:lang w:val="en-US" w:eastAsia="en-US"/>
        </w:rPr>
      </w:pPr>
    </w:p>
    <w:p w14:paraId="0070B59D" w14:textId="0078C034" w:rsidR="00270756" w:rsidRPr="00AC57EA" w:rsidRDefault="00A05450" w:rsidP="00C8070B">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Accordingly, the Court notes that, in </w:t>
      </w:r>
      <w:r w:rsidR="00EC52D7" w:rsidRPr="00AC57EA">
        <w:rPr>
          <w:rFonts w:cstheme="minorBidi"/>
          <w:sz w:val="20"/>
          <w:szCs w:val="20"/>
          <w:lang w:val="en-US" w:eastAsia="en-US"/>
        </w:rPr>
        <w:t>Merits Report</w:t>
      </w:r>
      <w:r w:rsidR="000F2E4C" w:rsidRPr="00AC57EA">
        <w:rPr>
          <w:rFonts w:cstheme="minorBidi"/>
          <w:sz w:val="20"/>
          <w:szCs w:val="20"/>
          <w:lang w:val="en-US" w:eastAsia="en-US"/>
        </w:rPr>
        <w:t xml:space="preserve"> </w:t>
      </w:r>
      <w:r w:rsidR="000F2E4C" w:rsidRPr="00AC57EA">
        <w:rPr>
          <w:rFonts w:eastAsia="Verdana" w:cs="Verdana"/>
          <w:sz w:val="20"/>
          <w:szCs w:val="20"/>
          <w:lang w:val="en-US"/>
        </w:rPr>
        <w:t>No. 4/16</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contrary to the </w:t>
      </w:r>
      <w:r w:rsidR="0056222B" w:rsidRPr="00AC57EA">
        <w:rPr>
          <w:rFonts w:cstheme="minorBidi"/>
          <w:sz w:val="20"/>
          <w:szCs w:val="20"/>
          <w:lang w:val="en-US" w:eastAsia="en-US"/>
        </w:rPr>
        <w:t xml:space="preserve">State’s </w:t>
      </w:r>
      <w:r w:rsidRPr="00AC57EA">
        <w:rPr>
          <w:rFonts w:cstheme="minorBidi"/>
          <w:sz w:val="20"/>
          <w:szCs w:val="20"/>
          <w:lang w:val="en-US" w:eastAsia="en-US"/>
        </w:rPr>
        <w:t xml:space="preserve">arguments, the Commission concluded the violation of the rights contained in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5, 8, 11, 19, 24</w:t>
      </w:r>
      <w:r w:rsidR="00171E27" w:rsidRPr="00AC57EA">
        <w:rPr>
          <w:rFonts w:cstheme="minorBidi"/>
          <w:sz w:val="20"/>
          <w:szCs w:val="20"/>
          <w:lang w:val="en-US" w:eastAsia="en-US"/>
        </w:rPr>
        <w:t xml:space="preserve"> and </w:t>
      </w:r>
      <w:r w:rsidR="00270756" w:rsidRPr="00AC57EA">
        <w:rPr>
          <w:rFonts w:cstheme="minorBidi"/>
          <w:sz w:val="20"/>
          <w:szCs w:val="20"/>
          <w:lang w:val="en-US" w:eastAsia="en-US"/>
        </w:rPr>
        <w:t>25</w:t>
      </w:r>
      <w:r w:rsidR="00B7258C" w:rsidRPr="00AC57EA">
        <w:rPr>
          <w:rFonts w:cstheme="minorBidi"/>
          <w:sz w:val="20"/>
          <w:szCs w:val="20"/>
          <w:lang w:val="en-US" w:eastAsia="en-US"/>
        </w:rPr>
        <w:t xml:space="preserve"> of the American Convention</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in relation to Article 1(1)</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of this instrument</w:t>
      </w:r>
      <w:r w:rsidRPr="00AC57EA">
        <w:rPr>
          <w:rFonts w:cstheme="minorBidi"/>
          <w:sz w:val="20"/>
          <w:szCs w:val="20"/>
          <w:lang w:val="en-US" w:eastAsia="en-US"/>
        </w:rPr>
        <w:t>,</w:t>
      </w:r>
      <w:r w:rsidR="00171E27" w:rsidRPr="00AC57EA">
        <w:rPr>
          <w:rFonts w:cstheme="minorBidi"/>
          <w:sz w:val="20"/>
          <w:szCs w:val="20"/>
          <w:lang w:val="en-US" w:eastAsia="en-US"/>
        </w:rPr>
        <w:t xml:space="preserve"> and </w:t>
      </w:r>
      <w:r w:rsidR="0056222B" w:rsidRPr="00AC57EA">
        <w:rPr>
          <w:rFonts w:cstheme="minorBidi"/>
          <w:sz w:val="20"/>
          <w:szCs w:val="20"/>
          <w:lang w:val="en-US" w:eastAsia="en-US"/>
        </w:rPr>
        <w:t xml:space="preserve">also </w:t>
      </w:r>
      <w:r w:rsidR="00171E27" w:rsidRPr="00AC57EA">
        <w:rPr>
          <w:rFonts w:cstheme="minorBidi"/>
          <w:sz w:val="20"/>
          <w:szCs w:val="20"/>
          <w:lang w:val="en-US" w:eastAsia="en-US"/>
        </w:rPr>
        <w:t>of Article</w:t>
      </w:r>
      <w:r w:rsidR="00270756" w:rsidRPr="00AC57EA">
        <w:rPr>
          <w:rFonts w:cstheme="minorBidi"/>
          <w:sz w:val="20"/>
          <w:szCs w:val="20"/>
          <w:lang w:val="en-US" w:eastAsia="en-US"/>
        </w:rPr>
        <w:t xml:space="preserve"> 7</w:t>
      </w:r>
      <w:r w:rsidRPr="00AC57EA">
        <w:rPr>
          <w:rFonts w:cstheme="minorBidi"/>
          <w:sz w:val="20"/>
          <w:szCs w:val="20"/>
          <w:lang w:val="en-US" w:eastAsia="en-US"/>
        </w:rPr>
        <w:t>(</w:t>
      </w:r>
      <w:r w:rsidR="00270756" w:rsidRPr="00AC57EA">
        <w:rPr>
          <w:rFonts w:cstheme="minorBidi"/>
          <w:sz w:val="20"/>
          <w:szCs w:val="20"/>
          <w:lang w:val="en-US" w:eastAsia="en-US"/>
        </w:rPr>
        <w:t>b)</w:t>
      </w:r>
      <w:r w:rsidR="00B7258C" w:rsidRPr="00AC57EA">
        <w:rPr>
          <w:rFonts w:cstheme="minorBidi"/>
          <w:sz w:val="20"/>
          <w:szCs w:val="20"/>
          <w:lang w:val="en-US" w:eastAsia="en-US"/>
        </w:rPr>
        <w:t xml:space="preserve"> of the </w:t>
      </w:r>
      <w:r w:rsidR="00171E27" w:rsidRPr="00AC57EA">
        <w:rPr>
          <w:rFonts w:cstheme="minorBidi"/>
          <w:sz w:val="20"/>
          <w:szCs w:val="20"/>
          <w:lang w:val="en-US" w:eastAsia="en-US"/>
        </w:rPr>
        <w:t>Convention of Belém</w:t>
      </w:r>
      <w:r w:rsidR="00270756" w:rsidRPr="00AC57EA">
        <w:rPr>
          <w:rFonts w:cstheme="minorBidi"/>
          <w:sz w:val="20"/>
          <w:szCs w:val="20"/>
          <w:lang w:val="en-US" w:eastAsia="en-US"/>
        </w:rPr>
        <w:t xml:space="preserve"> do Pará. </w:t>
      </w:r>
      <w:r w:rsidR="00171E27" w:rsidRPr="00AC57EA">
        <w:rPr>
          <w:rFonts w:cstheme="minorBidi"/>
          <w:sz w:val="20"/>
          <w:szCs w:val="20"/>
          <w:lang w:val="en-US" w:eastAsia="en-US"/>
        </w:rPr>
        <w:t>The representatives</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in addition, to the violations established by </w:t>
      </w:r>
      <w:r w:rsidR="00B7258C" w:rsidRPr="00AC57EA">
        <w:rPr>
          <w:rFonts w:cstheme="minorBidi"/>
          <w:sz w:val="20"/>
          <w:szCs w:val="20"/>
          <w:lang w:val="en-US" w:eastAsia="en-US"/>
        </w:rPr>
        <w:t>the Commission</w:t>
      </w:r>
      <w:r w:rsidR="00270756" w:rsidRPr="00AC57EA">
        <w:rPr>
          <w:rFonts w:cstheme="minorBidi"/>
          <w:sz w:val="20"/>
          <w:szCs w:val="20"/>
          <w:lang w:val="en-US" w:eastAsia="en-US"/>
        </w:rPr>
        <w:t xml:space="preserve">, </w:t>
      </w:r>
      <w:r w:rsidRPr="00AC57EA">
        <w:rPr>
          <w:rFonts w:cstheme="minorBidi"/>
          <w:sz w:val="20"/>
          <w:szCs w:val="20"/>
          <w:lang w:val="en-US" w:eastAsia="en-US"/>
        </w:rPr>
        <w:t>asked</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Court</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to declare the violation of the rights contained in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1</w:t>
      </w:r>
      <w:r w:rsidR="00171E27" w:rsidRPr="00AC57EA">
        <w:rPr>
          <w:rFonts w:cstheme="minorBidi"/>
          <w:sz w:val="20"/>
          <w:szCs w:val="20"/>
          <w:lang w:val="en-US" w:eastAsia="en-US"/>
        </w:rPr>
        <w:t>2(1)</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 xml:space="preserve">17(1) and </w:t>
      </w:r>
      <w:r w:rsidR="00270756" w:rsidRPr="00AC57EA">
        <w:rPr>
          <w:rFonts w:cstheme="minorBidi"/>
          <w:sz w:val="20"/>
          <w:szCs w:val="20"/>
          <w:lang w:val="en-US" w:eastAsia="en-US"/>
        </w:rPr>
        <w:t>2</w:t>
      </w:r>
      <w:r w:rsidR="00171E27" w:rsidRPr="00AC57EA">
        <w:rPr>
          <w:rFonts w:cstheme="minorBidi"/>
          <w:sz w:val="20"/>
          <w:szCs w:val="20"/>
          <w:lang w:val="en-US" w:eastAsia="en-US"/>
        </w:rPr>
        <w:t>2(1)</w:t>
      </w:r>
      <w:r w:rsidR="00B7258C" w:rsidRPr="00AC57EA">
        <w:rPr>
          <w:rFonts w:cstheme="minorBidi"/>
          <w:sz w:val="20"/>
          <w:szCs w:val="20"/>
          <w:lang w:val="en-US" w:eastAsia="en-US"/>
        </w:rPr>
        <w:t xml:space="preserve"> of the American Convention</w:t>
      </w:r>
      <w:r w:rsidR="0056222B" w:rsidRPr="00AC57EA">
        <w:rPr>
          <w:rFonts w:cstheme="minorBidi"/>
          <w:sz w:val="20"/>
          <w:szCs w:val="20"/>
          <w:lang w:val="en-US" w:eastAsia="en-US"/>
        </w:rPr>
        <w:t>,</w:t>
      </w:r>
      <w:r w:rsidR="00061DF9" w:rsidRPr="00AC57EA">
        <w:rPr>
          <w:rFonts w:cstheme="minorBidi"/>
          <w:sz w:val="20"/>
          <w:szCs w:val="20"/>
          <w:lang w:val="en-US" w:eastAsia="en-US"/>
        </w:rPr>
        <w:t xml:space="preserve"> </w:t>
      </w:r>
      <w:r w:rsidR="00171E27" w:rsidRPr="00AC57EA">
        <w:rPr>
          <w:rFonts w:cstheme="minorBidi"/>
          <w:sz w:val="20"/>
          <w:szCs w:val="20"/>
          <w:lang w:val="en-US" w:eastAsia="en-US"/>
        </w:rPr>
        <w:t>in relation to Article 1(1)</w:t>
      </w:r>
      <w:r w:rsidR="00061DF9" w:rsidRPr="00AC57EA">
        <w:rPr>
          <w:rFonts w:cstheme="minorBidi"/>
          <w:sz w:val="20"/>
          <w:szCs w:val="20"/>
          <w:lang w:val="en-US" w:eastAsia="en-US"/>
        </w:rPr>
        <w:t xml:space="preserve"> </w:t>
      </w:r>
      <w:r w:rsidR="00171E27" w:rsidRPr="00AC57EA">
        <w:rPr>
          <w:rFonts w:cstheme="minorBidi"/>
          <w:sz w:val="20"/>
          <w:szCs w:val="20"/>
          <w:lang w:val="en-US" w:eastAsia="en-US"/>
        </w:rPr>
        <w:t>of this instrument</w:t>
      </w:r>
      <w:r w:rsidR="00061DF9" w:rsidRPr="00AC57EA">
        <w:rPr>
          <w:rFonts w:cstheme="minorBidi"/>
          <w:sz w:val="20"/>
          <w:szCs w:val="20"/>
          <w:lang w:val="en-US" w:eastAsia="en-US"/>
        </w:rPr>
        <w:t>,</w:t>
      </w:r>
      <w:r w:rsidR="00171E27" w:rsidRPr="00AC57EA">
        <w:rPr>
          <w:rFonts w:cstheme="minorBidi"/>
          <w:sz w:val="20"/>
          <w:szCs w:val="20"/>
          <w:lang w:val="en-US" w:eastAsia="en-US"/>
        </w:rPr>
        <w:t xml:space="preserve"> and </w:t>
      </w:r>
      <w:r w:rsidRPr="00AC57EA">
        <w:rPr>
          <w:rFonts w:cstheme="minorBidi"/>
          <w:sz w:val="20"/>
          <w:szCs w:val="20"/>
          <w:lang w:val="en-US" w:eastAsia="en-US"/>
        </w:rPr>
        <w:t>of</w:t>
      </w:r>
      <w:r w:rsidR="00061DF9" w:rsidRPr="00AC57EA">
        <w:rPr>
          <w:rFonts w:cstheme="minorBidi"/>
          <w:sz w:val="20"/>
          <w:szCs w:val="20"/>
          <w:lang w:val="en-US" w:eastAsia="en-US"/>
        </w:rPr>
        <w:t xml:space="preserve"> </w:t>
      </w:r>
      <w:r w:rsidR="00171E27" w:rsidRPr="00AC57EA">
        <w:rPr>
          <w:rFonts w:cstheme="minorBidi"/>
          <w:sz w:val="20"/>
          <w:szCs w:val="20"/>
          <w:lang w:val="en-US" w:eastAsia="en-US"/>
        </w:rPr>
        <w:t>Articles 1(1)</w:t>
      </w:r>
      <w:r w:rsidR="00270756" w:rsidRPr="00AC57EA">
        <w:rPr>
          <w:rFonts w:cstheme="minorBidi"/>
          <w:sz w:val="20"/>
          <w:szCs w:val="20"/>
          <w:lang w:val="en-US" w:eastAsia="en-US"/>
        </w:rPr>
        <w:t xml:space="preserve">, 2, </w:t>
      </w:r>
      <w:r w:rsidR="00171E27" w:rsidRPr="00AC57EA">
        <w:rPr>
          <w:rFonts w:cstheme="minorBidi"/>
          <w:sz w:val="20"/>
          <w:szCs w:val="20"/>
          <w:lang w:val="en-US" w:eastAsia="en-US"/>
        </w:rPr>
        <w:t>4(b) and 4(g)</w:t>
      </w:r>
      <w:r w:rsidR="00B7258C" w:rsidRPr="00AC57EA">
        <w:rPr>
          <w:rFonts w:cstheme="minorBidi"/>
          <w:sz w:val="20"/>
          <w:szCs w:val="20"/>
          <w:lang w:val="en-US" w:eastAsia="en-US"/>
        </w:rPr>
        <w:t xml:space="preserve"> of the </w:t>
      </w:r>
      <w:r w:rsidR="00171E27" w:rsidRPr="00AC57EA">
        <w:rPr>
          <w:rFonts w:cstheme="minorBidi"/>
          <w:sz w:val="20"/>
          <w:szCs w:val="20"/>
          <w:lang w:val="en-US" w:eastAsia="en-US"/>
        </w:rPr>
        <w:t>Convention of Belém</w:t>
      </w:r>
      <w:r w:rsidR="00270756" w:rsidRPr="00AC57EA">
        <w:rPr>
          <w:rFonts w:cstheme="minorBidi"/>
          <w:sz w:val="20"/>
          <w:szCs w:val="20"/>
          <w:lang w:val="en-US" w:eastAsia="en-US"/>
        </w:rPr>
        <w:t xml:space="preserve"> do Pará</w:t>
      </w:r>
      <w:r w:rsidR="00D51C27" w:rsidRPr="00AC57EA">
        <w:rPr>
          <w:rFonts w:cstheme="minorBidi"/>
          <w:sz w:val="20"/>
          <w:szCs w:val="20"/>
          <w:lang w:val="en-US" w:eastAsia="en-US"/>
        </w:rPr>
        <w:t xml:space="preserve">. </w:t>
      </w:r>
      <w:r w:rsidRPr="00AC57EA">
        <w:rPr>
          <w:rFonts w:cstheme="minorBidi"/>
          <w:sz w:val="20"/>
          <w:szCs w:val="20"/>
          <w:lang w:val="en-US" w:eastAsia="en-US"/>
        </w:rPr>
        <w:t>The</w:t>
      </w:r>
      <w:r w:rsidR="00171E27" w:rsidRPr="00AC57EA">
        <w:rPr>
          <w:rFonts w:cstheme="minorBidi"/>
          <w:sz w:val="20"/>
          <w:szCs w:val="20"/>
          <w:lang w:val="en-US" w:eastAsia="en-US"/>
        </w:rPr>
        <w:t xml:space="preserve"> representatives</w:t>
      </w:r>
      <w:r w:rsidR="00AE585E" w:rsidRPr="00AC57EA">
        <w:rPr>
          <w:rFonts w:cstheme="minorBidi"/>
          <w:sz w:val="20"/>
          <w:szCs w:val="20"/>
          <w:lang w:val="en-US" w:eastAsia="en-US"/>
        </w:rPr>
        <w:t xml:space="preserve"> </w:t>
      </w:r>
      <w:r w:rsidRPr="00AC57EA">
        <w:rPr>
          <w:rFonts w:cstheme="minorBidi"/>
          <w:sz w:val="20"/>
          <w:szCs w:val="20"/>
          <w:lang w:val="en-US" w:eastAsia="en-US"/>
        </w:rPr>
        <w:t xml:space="preserve">also cited the rights established in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2(1)</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3(1)</w:t>
      </w:r>
      <w:r w:rsidR="00270756" w:rsidRPr="00AC57EA">
        <w:rPr>
          <w:rFonts w:cstheme="minorBidi"/>
          <w:sz w:val="20"/>
          <w:szCs w:val="20"/>
          <w:lang w:val="en-US" w:eastAsia="en-US"/>
        </w:rPr>
        <w:t>, 3</w:t>
      </w:r>
      <w:r w:rsidRPr="00AC57EA">
        <w:rPr>
          <w:rFonts w:cstheme="minorBidi"/>
          <w:sz w:val="20"/>
          <w:szCs w:val="20"/>
          <w:lang w:val="en-US" w:eastAsia="en-US"/>
        </w:rPr>
        <w:t>(</w:t>
      </w:r>
      <w:r w:rsidR="00270756" w:rsidRPr="00AC57EA">
        <w:rPr>
          <w:rFonts w:cstheme="minorBidi"/>
          <w:sz w:val="20"/>
          <w:szCs w:val="20"/>
          <w:lang w:val="en-US" w:eastAsia="en-US"/>
        </w:rPr>
        <w:t>2</w:t>
      </w:r>
      <w:r w:rsidRPr="00AC57EA">
        <w:rPr>
          <w:rFonts w:cstheme="minorBidi"/>
          <w:sz w:val="20"/>
          <w:szCs w:val="20"/>
          <w:lang w:val="en-US" w:eastAsia="en-US"/>
        </w:rPr>
        <w:t>)</w:t>
      </w:r>
      <w:r w:rsidR="00270756" w:rsidRPr="00AC57EA">
        <w:rPr>
          <w:rFonts w:cstheme="minorBidi"/>
          <w:sz w:val="20"/>
          <w:szCs w:val="20"/>
          <w:lang w:val="en-US" w:eastAsia="en-US"/>
        </w:rPr>
        <w:t xml:space="preserve">, 4, 16 </w:t>
      </w:r>
      <w:r w:rsidR="0056222B" w:rsidRPr="00AC57EA">
        <w:rPr>
          <w:rFonts w:cstheme="minorBidi"/>
          <w:sz w:val="20"/>
          <w:szCs w:val="20"/>
          <w:lang w:val="en-US" w:eastAsia="en-US"/>
        </w:rPr>
        <w:t xml:space="preserve">and </w:t>
      </w:r>
      <w:r w:rsidR="00171E27" w:rsidRPr="00AC57EA">
        <w:rPr>
          <w:rFonts w:cstheme="minorBidi"/>
          <w:sz w:val="20"/>
          <w:szCs w:val="20"/>
          <w:lang w:val="en-US" w:eastAsia="en-US"/>
        </w:rPr>
        <w:t xml:space="preserve">24(1) and </w:t>
      </w:r>
      <w:r w:rsidR="00270756" w:rsidRPr="00AC57EA">
        <w:rPr>
          <w:rFonts w:cstheme="minorBidi"/>
          <w:sz w:val="20"/>
          <w:szCs w:val="20"/>
          <w:lang w:val="en-US" w:eastAsia="en-US"/>
        </w:rPr>
        <w:t>24</w:t>
      </w:r>
      <w:r w:rsidRPr="00AC57EA">
        <w:rPr>
          <w:rFonts w:cstheme="minorBidi"/>
          <w:sz w:val="20"/>
          <w:szCs w:val="20"/>
          <w:lang w:val="en-US" w:eastAsia="en-US"/>
        </w:rPr>
        <w:t>(</w:t>
      </w:r>
      <w:r w:rsidR="00270756" w:rsidRPr="00AC57EA">
        <w:rPr>
          <w:rFonts w:cstheme="minorBidi"/>
          <w:sz w:val="20"/>
          <w:szCs w:val="20"/>
          <w:lang w:val="en-US" w:eastAsia="en-US"/>
        </w:rPr>
        <w:t>2</w:t>
      </w:r>
      <w:r w:rsidRPr="00AC57EA">
        <w:rPr>
          <w:rFonts w:cstheme="minorBidi"/>
          <w:sz w:val="20"/>
          <w:szCs w:val="20"/>
          <w:lang w:val="en-US" w:eastAsia="en-US"/>
        </w:rPr>
        <w:t>)</w:t>
      </w:r>
      <w:r w:rsidR="00B7258C" w:rsidRPr="00AC57EA">
        <w:rPr>
          <w:rFonts w:cstheme="minorBidi"/>
          <w:sz w:val="20"/>
          <w:szCs w:val="20"/>
          <w:lang w:val="en-US" w:eastAsia="en-US"/>
        </w:rPr>
        <w:t xml:space="preserve"> of the </w:t>
      </w:r>
      <w:r w:rsidR="00171E27" w:rsidRPr="00AC57EA">
        <w:rPr>
          <w:rFonts w:cstheme="minorBidi"/>
          <w:sz w:val="20"/>
          <w:szCs w:val="20"/>
          <w:lang w:val="en-US" w:eastAsia="en-US"/>
        </w:rPr>
        <w:t>Convention on the Rights of the Child</w:t>
      </w:r>
      <w:r w:rsidR="00D51C27" w:rsidRPr="00AC57EA">
        <w:rPr>
          <w:rFonts w:cstheme="minorBidi"/>
          <w:sz w:val="20"/>
          <w:szCs w:val="20"/>
          <w:lang w:val="en-US" w:eastAsia="en-US"/>
        </w:rPr>
        <w:t xml:space="preserve">, </w:t>
      </w:r>
      <w:r w:rsidRPr="00AC57EA">
        <w:rPr>
          <w:rFonts w:cstheme="minorBidi"/>
          <w:sz w:val="20"/>
          <w:szCs w:val="20"/>
          <w:lang w:val="en-US" w:eastAsia="en-US"/>
        </w:rPr>
        <w:t>as analyzed above</w:t>
      </w:r>
      <w:r w:rsidR="00AE585E" w:rsidRPr="00AC57EA">
        <w:rPr>
          <w:rFonts w:cstheme="minorBidi"/>
          <w:sz w:val="20"/>
          <w:szCs w:val="20"/>
          <w:lang w:val="en-US" w:eastAsia="en-US"/>
        </w:rPr>
        <w:t xml:space="preserve"> </w:t>
      </w:r>
      <w:r w:rsidR="00D51C27" w:rsidRPr="00AC57EA">
        <w:rPr>
          <w:rFonts w:cstheme="minorBidi"/>
          <w:i/>
          <w:sz w:val="20"/>
          <w:szCs w:val="20"/>
          <w:lang w:val="en-US" w:eastAsia="en-US"/>
        </w:rPr>
        <w:t>supra</w:t>
      </w:r>
      <w:r w:rsidR="00270756" w:rsidRPr="00AC57EA">
        <w:rPr>
          <w:rFonts w:cstheme="minorBidi"/>
          <w:sz w:val="20"/>
          <w:szCs w:val="20"/>
          <w:lang w:val="en-US" w:eastAsia="en-US"/>
        </w:rPr>
        <w:t>.</w:t>
      </w:r>
    </w:p>
    <w:p w14:paraId="7EF404B9" w14:textId="77777777" w:rsidR="00270756" w:rsidRPr="00AC57EA" w:rsidRDefault="00270756" w:rsidP="001C7E37">
      <w:pPr>
        <w:widowControl/>
        <w:tabs>
          <w:tab w:val="left" w:pos="0"/>
          <w:tab w:val="left" w:pos="567"/>
        </w:tabs>
        <w:adjustRightInd/>
        <w:spacing w:line="240" w:lineRule="auto"/>
        <w:textAlignment w:val="auto"/>
        <w:rPr>
          <w:rFonts w:cstheme="minorBidi"/>
          <w:sz w:val="20"/>
          <w:szCs w:val="20"/>
          <w:lang w:val="en-US" w:eastAsia="en-US"/>
        </w:rPr>
      </w:pPr>
    </w:p>
    <w:p w14:paraId="7266325A" w14:textId="4910C9B9" w:rsidR="00270756" w:rsidRPr="00AC57EA" w:rsidRDefault="00501868" w:rsidP="00C8070B">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First, with regard to the arguments concerning </w:t>
      </w:r>
      <w:r w:rsidR="00B7258C" w:rsidRPr="00AC57EA">
        <w:rPr>
          <w:rFonts w:cstheme="minorBidi"/>
          <w:sz w:val="20"/>
          <w:szCs w:val="20"/>
          <w:lang w:val="en-US" w:eastAsia="en-US"/>
        </w:rPr>
        <w:t>Articles</w:t>
      </w:r>
      <w:r w:rsidR="00270756" w:rsidRPr="00AC57EA">
        <w:rPr>
          <w:rFonts w:cstheme="minorBidi"/>
          <w:sz w:val="20"/>
          <w:szCs w:val="20"/>
          <w:lang w:val="en-US" w:eastAsia="en-US"/>
        </w:rPr>
        <w:t xml:space="preserve"> 1</w:t>
      </w:r>
      <w:r w:rsidR="00171E27" w:rsidRPr="00AC57EA">
        <w:rPr>
          <w:rFonts w:cstheme="minorBidi"/>
          <w:sz w:val="20"/>
          <w:szCs w:val="20"/>
          <w:lang w:val="en-US" w:eastAsia="en-US"/>
        </w:rPr>
        <w:t>2(1)</w:t>
      </w:r>
      <w:r w:rsidR="00270756" w:rsidRPr="00AC57EA">
        <w:rPr>
          <w:rFonts w:cstheme="minorBidi"/>
          <w:sz w:val="20"/>
          <w:szCs w:val="20"/>
          <w:lang w:val="en-US" w:eastAsia="en-US"/>
        </w:rPr>
        <w:t xml:space="preserve">, </w:t>
      </w:r>
      <w:r w:rsidR="00171E27" w:rsidRPr="00AC57EA">
        <w:rPr>
          <w:rFonts w:cstheme="minorBidi"/>
          <w:sz w:val="20"/>
          <w:szCs w:val="20"/>
          <w:lang w:val="en-US" w:eastAsia="en-US"/>
        </w:rPr>
        <w:t xml:space="preserve">17(1) and </w:t>
      </w:r>
      <w:r w:rsidR="00270756" w:rsidRPr="00AC57EA">
        <w:rPr>
          <w:rFonts w:cstheme="minorBidi"/>
          <w:sz w:val="20"/>
          <w:szCs w:val="20"/>
          <w:lang w:val="en-US" w:eastAsia="en-US"/>
        </w:rPr>
        <w:t>2</w:t>
      </w:r>
      <w:r w:rsidR="00171E27" w:rsidRPr="00AC57EA">
        <w:rPr>
          <w:rFonts w:cstheme="minorBidi"/>
          <w:sz w:val="20"/>
          <w:szCs w:val="20"/>
          <w:lang w:val="en-US" w:eastAsia="en-US"/>
        </w:rPr>
        <w:t>2(1)</w:t>
      </w:r>
      <w:r w:rsidR="00B7258C" w:rsidRPr="00AC57EA">
        <w:rPr>
          <w:rFonts w:cstheme="minorBidi"/>
          <w:sz w:val="20"/>
          <w:szCs w:val="20"/>
          <w:lang w:val="en-US" w:eastAsia="en-US"/>
        </w:rPr>
        <w:t xml:space="preserve"> of the American Convention</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Court</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understands that they are based on the factual framework described in the </w:t>
      </w:r>
      <w:r w:rsidR="00EC52D7" w:rsidRPr="00AC57EA">
        <w:rPr>
          <w:rFonts w:cstheme="minorBidi"/>
          <w:sz w:val="20"/>
          <w:szCs w:val="20"/>
          <w:lang w:val="en-US" w:eastAsia="en-US"/>
        </w:rPr>
        <w:t>Merits Report</w:t>
      </w:r>
      <w:r w:rsidR="00270756" w:rsidRPr="00AC57EA">
        <w:rPr>
          <w:rFonts w:cstheme="minorBidi"/>
          <w:sz w:val="20"/>
          <w:szCs w:val="20"/>
          <w:lang w:val="en-US" w:eastAsia="en-US"/>
        </w:rPr>
        <w:t xml:space="preserve"> </w:t>
      </w:r>
      <w:r w:rsidRPr="00AC57EA">
        <w:rPr>
          <w:rFonts w:cstheme="minorBidi"/>
          <w:sz w:val="20"/>
          <w:szCs w:val="20"/>
          <w:lang w:val="en-US" w:eastAsia="en-US"/>
        </w:rPr>
        <w:t>and, indeed, conform to the case law mentioned previously and to</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Article</w:t>
      </w:r>
      <w:r w:rsidR="00270756" w:rsidRPr="00AC57EA">
        <w:rPr>
          <w:rFonts w:cstheme="minorBidi"/>
          <w:sz w:val="20"/>
          <w:szCs w:val="20"/>
          <w:lang w:val="en-US" w:eastAsia="en-US"/>
        </w:rPr>
        <w:t xml:space="preserve"> 40</w:t>
      </w:r>
      <w:r w:rsidR="00B7258C" w:rsidRPr="00AC57EA">
        <w:rPr>
          <w:rFonts w:cstheme="minorBidi"/>
          <w:sz w:val="20"/>
          <w:szCs w:val="20"/>
          <w:lang w:val="en-US" w:eastAsia="en-US"/>
        </w:rPr>
        <w:t xml:space="preserve"> of the </w:t>
      </w:r>
      <w:r w:rsidRPr="00AC57EA">
        <w:rPr>
          <w:rFonts w:cstheme="minorBidi"/>
          <w:sz w:val="20"/>
          <w:szCs w:val="20"/>
          <w:lang w:val="en-US" w:eastAsia="en-US"/>
        </w:rPr>
        <w:t xml:space="preserve">Court’s </w:t>
      </w:r>
      <w:r w:rsidR="00B7258C" w:rsidRPr="00AC57EA">
        <w:rPr>
          <w:rFonts w:cstheme="minorBidi"/>
          <w:sz w:val="20"/>
          <w:szCs w:val="20"/>
          <w:lang w:val="en-US" w:eastAsia="en-US"/>
        </w:rPr>
        <w:t>Rules of Procedure</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Therefore, it is not appropriate to admit the claims of the State, </w:t>
      </w:r>
      <w:r w:rsidR="00A60DB1" w:rsidRPr="00AC57EA">
        <w:rPr>
          <w:rFonts w:cstheme="minorBidi"/>
          <w:sz w:val="20"/>
          <w:szCs w:val="20"/>
          <w:lang w:val="en-US" w:eastAsia="en-US"/>
        </w:rPr>
        <w:t>and</w:t>
      </w:r>
      <w:r w:rsidRPr="00AC57EA">
        <w:rPr>
          <w:rFonts w:cstheme="minorBidi"/>
          <w:sz w:val="20"/>
          <w:szCs w:val="20"/>
          <w:lang w:val="en-US" w:eastAsia="en-US"/>
        </w:rPr>
        <w:t xml:space="preserve"> those rights will be considered when examining the merits of the case</w:t>
      </w:r>
      <w:r w:rsidR="00270756" w:rsidRPr="00AC57EA">
        <w:rPr>
          <w:rFonts w:cstheme="minorBidi"/>
          <w:sz w:val="20"/>
          <w:szCs w:val="20"/>
          <w:lang w:val="en-US" w:eastAsia="en-US"/>
        </w:rPr>
        <w:t>.</w:t>
      </w:r>
    </w:p>
    <w:p w14:paraId="55A6A9E5" w14:textId="6301C4D6" w:rsidR="00270756" w:rsidRPr="00AC57EA" w:rsidRDefault="00270756" w:rsidP="001C7E37">
      <w:pPr>
        <w:widowControl/>
        <w:tabs>
          <w:tab w:val="left" w:pos="0"/>
          <w:tab w:val="left" w:pos="567"/>
        </w:tabs>
        <w:adjustRightInd/>
        <w:spacing w:line="240" w:lineRule="auto"/>
        <w:textAlignment w:val="auto"/>
        <w:rPr>
          <w:rFonts w:cstheme="minorBidi"/>
          <w:sz w:val="20"/>
          <w:szCs w:val="20"/>
          <w:lang w:val="en-US" w:eastAsia="en-US"/>
        </w:rPr>
      </w:pPr>
    </w:p>
    <w:p w14:paraId="75D09220" w14:textId="7D9D4C94" w:rsidR="00270756" w:rsidRPr="00AC57EA" w:rsidRDefault="00501868" w:rsidP="00C8070B">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In addition, </w:t>
      </w:r>
      <w:r w:rsidR="00A60DB1" w:rsidRPr="00AC57EA">
        <w:rPr>
          <w:rFonts w:cstheme="minorBidi"/>
          <w:sz w:val="20"/>
          <w:szCs w:val="20"/>
          <w:lang w:val="en-US" w:eastAsia="en-US"/>
        </w:rPr>
        <w:t>regarding</w:t>
      </w:r>
      <w:r w:rsidRPr="00AC57EA">
        <w:rPr>
          <w:rFonts w:cstheme="minorBidi"/>
          <w:sz w:val="20"/>
          <w:szCs w:val="20"/>
          <w:lang w:val="en-US" w:eastAsia="en-US"/>
        </w:rPr>
        <w:t xml:space="preserve"> the rights contained in </w:t>
      </w:r>
      <w:r w:rsidR="00B7258C" w:rsidRPr="00AC57EA">
        <w:rPr>
          <w:rFonts w:cstheme="minorBidi"/>
          <w:sz w:val="20"/>
          <w:szCs w:val="20"/>
          <w:lang w:val="en-US" w:eastAsia="en-US"/>
        </w:rPr>
        <w:t xml:space="preserve">the </w:t>
      </w:r>
      <w:r w:rsidR="00171E27" w:rsidRPr="00AC57EA">
        <w:rPr>
          <w:rFonts w:cstheme="minorBidi"/>
          <w:sz w:val="20"/>
          <w:szCs w:val="20"/>
          <w:lang w:val="en-US" w:eastAsia="en-US"/>
        </w:rPr>
        <w:t>Convention of Belém</w:t>
      </w:r>
      <w:r w:rsidR="00C9501F" w:rsidRPr="00AC57EA">
        <w:rPr>
          <w:rFonts w:cstheme="minorBidi"/>
          <w:sz w:val="20"/>
          <w:szCs w:val="20"/>
          <w:lang w:val="en-US" w:eastAsia="en-US"/>
        </w:rPr>
        <w:t xml:space="preserve"> do Pará</w:t>
      </w:r>
      <w:r w:rsidR="00270756" w:rsidRPr="00AC57EA">
        <w:rPr>
          <w:rFonts w:cstheme="minorBidi"/>
          <w:sz w:val="20"/>
          <w:szCs w:val="20"/>
          <w:lang w:val="en-US" w:eastAsia="en-US"/>
        </w:rPr>
        <w:t xml:space="preserve">, </w:t>
      </w:r>
      <w:r w:rsidRPr="00AC57EA">
        <w:rPr>
          <w:rFonts w:cstheme="minorBidi"/>
          <w:sz w:val="20"/>
          <w:szCs w:val="20"/>
          <w:lang w:val="en-US" w:eastAsia="en-US"/>
        </w:rPr>
        <w:t>this Court has already indicated in its case law that it has competence to rule on this instrument.</w:t>
      </w:r>
      <w:r w:rsidR="00270756" w:rsidRPr="00AC57EA">
        <w:rPr>
          <w:rFonts w:cstheme="minorBidi"/>
          <w:sz w:val="20"/>
          <w:szCs w:val="20"/>
          <w:vertAlign w:val="superscript"/>
          <w:lang w:val="en-US" w:eastAsia="en-US"/>
        </w:rPr>
        <w:footnoteReference w:id="38"/>
      </w:r>
      <w:r w:rsidRPr="00AC57EA">
        <w:rPr>
          <w:rFonts w:cstheme="minorBidi"/>
          <w:sz w:val="20"/>
          <w:szCs w:val="20"/>
          <w:lang w:val="en-US" w:eastAsia="en-US"/>
        </w:rPr>
        <w:t xml:space="preserve"> However, pursuant to the provisions of its </w:t>
      </w:r>
      <w:r w:rsidR="00B7258C" w:rsidRPr="00AC57EA">
        <w:rPr>
          <w:rFonts w:cstheme="minorBidi"/>
          <w:sz w:val="20"/>
          <w:szCs w:val="20"/>
          <w:lang w:val="en-US" w:eastAsia="en-US"/>
        </w:rPr>
        <w:t>Article</w:t>
      </w:r>
      <w:r w:rsidR="00270756" w:rsidRPr="00AC57EA">
        <w:rPr>
          <w:rFonts w:cstheme="minorBidi"/>
          <w:sz w:val="20"/>
          <w:szCs w:val="20"/>
          <w:lang w:val="en-US" w:eastAsia="en-US"/>
        </w:rPr>
        <w:t xml:space="preserve"> 12</w:t>
      </w:r>
      <w:r w:rsidR="006A2F96" w:rsidRPr="00AC57EA">
        <w:rPr>
          <w:rFonts w:cstheme="minorBidi"/>
          <w:sz w:val="20"/>
          <w:szCs w:val="20"/>
          <w:lang w:val="en-US" w:eastAsia="en-US"/>
        </w:rPr>
        <w:t>,</w:t>
      </w:r>
      <w:r w:rsidR="00270756" w:rsidRPr="00AC57EA">
        <w:rPr>
          <w:rFonts w:eastAsia="Calibri" w:cs="Arial"/>
          <w:sz w:val="20"/>
          <w:szCs w:val="20"/>
          <w:lang w:val="en-US" w:eastAsia="en-US"/>
        </w:rPr>
        <w:t xml:space="preserve"> </w:t>
      </w:r>
      <w:r w:rsidRPr="00AC57EA">
        <w:rPr>
          <w:rFonts w:eastAsia="Calibri" w:cs="Arial"/>
          <w:sz w:val="20"/>
          <w:szCs w:val="20"/>
          <w:lang w:val="en-US" w:eastAsia="en-US"/>
        </w:rPr>
        <w:t>the possibility of lodging “petitions” with the Commission refers to “denunciations or complaints of violations of [its]</w:t>
      </w:r>
      <w:r w:rsidR="00270756" w:rsidRPr="00AC57EA">
        <w:rPr>
          <w:rFonts w:eastAsia="Calibri" w:cs="Arial"/>
          <w:sz w:val="20"/>
          <w:szCs w:val="20"/>
          <w:lang w:val="en-US" w:eastAsia="en-US"/>
        </w:rPr>
        <w:t xml:space="preserve"> </w:t>
      </w:r>
      <w:r w:rsidR="00B7258C" w:rsidRPr="00AC57EA">
        <w:rPr>
          <w:rFonts w:eastAsia="Calibri" w:cs="Arial"/>
          <w:sz w:val="20"/>
          <w:szCs w:val="20"/>
          <w:lang w:val="en-US" w:eastAsia="en-US"/>
        </w:rPr>
        <w:t>Article</w:t>
      </w:r>
      <w:r w:rsidR="00270756" w:rsidRPr="00AC57EA">
        <w:rPr>
          <w:rFonts w:eastAsia="Calibri" w:cs="Arial"/>
          <w:sz w:val="20"/>
          <w:szCs w:val="20"/>
          <w:lang w:val="en-US" w:eastAsia="en-US"/>
        </w:rPr>
        <w:t xml:space="preserve"> 7</w:t>
      </w:r>
      <w:r w:rsidRPr="00AC57EA">
        <w:rPr>
          <w:rFonts w:eastAsia="Calibri" w:cs="Arial"/>
          <w:sz w:val="20"/>
          <w:szCs w:val="20"/>
          <w:lang w:val="en-US" w:eastAsia="en-US"/>
        </w:rPr>
        <w:t>,</w:t>
      </w:r>
      <w:r w:rsidR="00270756" w:rsidRPr="00AC57EA">
        <w:rPr>
          <w:rFonts w:eastAsia="Calibri" w:cs="Arial"/>
          <w:sz w:val="20"/>
          <w:szCs w:val="20"/>
          <w:lang w:val="en-US" w:eastAsia="en-US"/>
        </w:rPr>
        <w:t>”</w:t>
      </w:r>
      <w:r w:rsidRPr="00AC57EA">
        <w:rPr>
          <w:rFonts w:eastAsia="Calibri" w:cs="Arial"/>
          <w:sz w:val="20"/>
          <w:szCs w:val="20"/>
          <w:lang w:val="en-US" w:eastAsia="en-US"/>
        </w:rPr>
        <w:t xml:space="preserve"> and not to the other articles. Consequently, when examining the alleged violations </w:t>
      </w:r>
      <w:r w:rsidR="00A60DB1" w:rsidRPr="00AC57EA">
        <w:rPr>
          <w:rFonts w:eastAsia="Calibri" w:cs="Arial"/>
          <w:sz w:val="20"/>
          <w:szCs w:val="20"/>
          <w:lang w:val="en-US" w:eastAsia="en-US"/>
        </w:rPr>
        <w:t>of</w:t>
      </w:r>
      <w:r w:rsidRPr="00AC57EA">
        <w:rPr>
          <w:rFonts w:eastAsia="Calibri" w:cs="Arial"/>
          <w:sz w:val="20"/>
          <w:szCs w:val="20"/>
          <w:lang w:val="en-US" w:eastAsia="en-US"/>
        </w:rPr>
        <w:t xml:space="preserve"> </w:t>
      </w:r>
      <w:r w:rsidR="00B7258C" w:rsidRPr="00AC57EA">
        <w:rPr>
          <w:rFonts w:eastAsia="Calibri" w:cs="Arial"/>
          <w:sz w:val="20"/>
          <w:szCs w:val="20"/>
          <w:lang w:val="en-US" w:eastAsia="en-US"/>
        </w:rPr>
        <w:t xml:space="preserve">the </w:t>
      </w:r>
      <w:r w:rsidR="00171E27" w:rsidRPr="00AC57EA">
        <w:rPr>
          <w:rFonts w:eastAsia="Calibri" w:cs="Arial"/>
          <w:sz w:val="20"/>
          <w:szCs w:val="20"/>
          <w:lang w:val="en-US" w:eastAsia="en-US"/>
        </w:rPr>
        <w:t>Convention of Belém</w:t>
      </w:r>
      <w:r w:rsidR="004B3A0D" w:rsidRPr="00AC57EA">
        <w:rPr>
          <w:rFonts w:eastAsia="Calibri" w:cs="Arial"/>
          <w:sz w:val="20"/>
          <w:szCs w:val="20"/>
          <w:lang w:val="en-US" w:eastAsia="en-US"/>
        </w:rPr>
        <w:t xml:space="preserve"> do Pará</w:t>
      </w:r>
      <w:r w:rsidR="00837713" w:rsidRPr="00AC57EA">
        <w:rPr>
          <w:rFonts w:eastAsia="Calibri" w:cs="Arial"/>
          <w:sz w:val="20"/>
          <w:szCs w:val="20"/>
          <w:lang w:val="en-US" w:eastAsia="en-US"/>
        </w:rPr>
        <w:t>,</w:t>
      </w:r>
      <w:r w:rsidR="00270756" w:rsidRPr="00AC57EA">
        <w:rPr>
          <w:rFonts w:eastAsia="Calibri" w:cs="Arial"/>
          <w:sz w:val="20"/>
          <w:szCs w:val="20"/>
          <w:lang w:val="en-US" w:eastAsia="en-US"/>
        </w:rPr>
        <w:t xml:space="preserve"> </w:t>
      </w:r>
      <w:r w:rsidRPr="00AC57EA">
        <w:rPr>
          <w:rFonts w:eastAsia="Calibri" w:cs="Arial"/>
          <w:sz w:val="20"/>
          <w:szCs w:val="20"/>
          <w:lang w:val="en-US" w:eastAsia="en-US"/>
        </w:rPr>
        <w:t>the Court may only establish the</w:t>
      </w:r>
      <w:r w:rsidR="00A60DB1" w:rsidRPr="00AC57EA">
        <w:rPr>
          <w:rFonts w:eastAsia="Calibri" w:cs="Arial"/>
          <w:sz w:val="20"/>
          <w:szCs w:val="20"/>
          <w:lang w:val="en-US" w:eastAsia="en-US"/>
        </w:rPr>
        <w:t xml:space="preserve"> State’s</w:t>
      </w:r>
      <w:r w:rsidRPr="00AC57EA">
        <w:rPr>
          <w:rFonts w:eastAsia="Calibri" w:cs="Arial"/>
          <w:sz w:val="20"/>
          <w:szCs w:val="20"/>
          <w:lang w:val="en-US" w:eastAsia="en-US"/>
        </w:rPr>
        <w:t xml:space="preserve"> responsibility for failing to comply with the provisions of Article 7, without prejudice to the interpretive value of the instrument as a whole. On this basis, the arguments of the State are rejected.</w:t>
      </w:r>
    </w:p>
    <w:p w14:paraId="5D82D0F5" w14:textId="77777777" w:rsidR="00270756" w:rsidRPr="00AC57EA" w:rsidRDefault="00270756" w:rsidP="001C7E37">
      <w:pPr>
        <w:widowControl/>
        <w:tabs>
          <w:tab w:val="left" w:pos="0"/>
          <w:tab w:val="left" w:pos="567"/>
        </w:tabs>
        <w:adjustRightInd/>
        <w:spacing w:line="240" w:lineRule="auto"/>
        <w:textAlignment w:val="auto"/>
        <w:rPr>
          <w:rFonts w:cstheme="minorBidi"/>
          <w:sz w:val="20"/>
          <w:szCs w:val="20"/>
          <w:lang w:val="en-US" w:eastAsia="en-US"/>
        </w:rPr>
      </w:pPr>
    </w:p>
    <w:p w14:paraId="7E97203D" w14:textId="08667ACF" w:rsidR="00270756" w:rsidRPr="00AC57EA" w:rsidRDefault="00501868" w:rsidP="00C8070B">
      <w:pPr>
        <w:numPr>
          <w:ilvl w:val="0"/>
          <w:numId w:val="2"/>
        </w:numPr>
        <w:tabs>
          <w:tab w:val="left" w:pos="567"/>
          <w:tab w:val="num" w:pos="12305"/>
        </w:tabs>
        <w:spacing w:line="240" w:lineRule="auto"/>
        <w:ind w:left="0" w:firstLine="0"/>
        <w:rPr>
          <w:rFonts w:cstheme="minorBidi"/>
          <w:sz w:val="20"/>
          <w:szCs w:val="20"/>
          <w:lang w:val="en-US" w:eastAsia="en-US"/>
        </w:rPr>
      </w:pPr>
      <w:r w:rsidRPr="00AC57EA">
        <w:rPr>
          <w:rFonts w:cstheme="minorBidi"/>
          <w:sz w:val="20"/>
          <w:szCs w:val="20"/>
          <w:lang w:val="en-US" w:eastAsia="en-US"/>
        </w:rPr>
        <w:t xml:space="preserve">Lastly, regarding the rights </w:t>
      </w:r>
      <w:r w:rsidR="00B7258C" w:rsidRPr="00AC57EA">
        <w:rPr>
          <w:rFonts w:cstheme="minorBidi"/>
          <w:sz w:val="20"/>
          <w:szCs w:val="20"/>
          <w:lang w:val="en-US" w:eastAsia="en-US"/>
        </w:rPr>
        <w:t xml:space="preserve">of the </w:t>
      </w:r>
      <w:r w:rsidR="00171E27" w:rsidRPr="00AC57EA">
        <w:rPr>
          <w:rFonts w:cstheme="minorBidi"/>
          <w:sz w:val="20"/>
          <w:szCs w:val="20"/>
          <w:lang w:val="en-US" w:eastAsia="en-US"/>
        </w:rPr>
        <w:t>Convention on the Rights of the Child</w:t>
      </w:r>
      <w:r w:rsidR="00270756" w:rsidRPr="00AC57EA">
        <w:rPr>
          <w:rFonts w:cstheme="minorBidi"/>
          <w:sz w:val="20"/>
          <w:szCs w:val="20"/>
          <w:lang w:val="en-US" w:eastAsia="en-US"/>
        </w:rPr>
        <w:t xml:space="preserve">, </w:t>
      </w:r>
      <w:r w:rsidR="00B7258C" w:rsidRPr="00AC57EA">
        <w:rPr>
          <w:rFonts w:cstheme="minorBidi"/>
          <w:sz w:val="20"/>
          <w:szCs w:val="20"/>
          <w:lang w:val="en-US" w:eastAsia="en-US"/>
        </w:rPr>
        <w:t>the Court</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has already rule in this regard when addressing the </w:t>
      </w:r>
      <w:r w:rsidR="00DF2B30" w:rsidRPr="00AC57EA">
        <w:rPr>
          <w:rFonts w:cstheme="minorBidi"/>
          <w:sz w:val="20"/>
          <w:szCs w:val="20"/>
          <w:lang w:val="en-US" w:eastAsia="en-US"/>
        </w:rPr>
        <w:t>preliminary objection</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on its supposed lack of jurisdiction </w:t>
      </w:r>
      <w:r w:rsidR="00270756" w:rsidRPr="00AC57EA">
        <w:rPr>
          <w:rFonts w:cstheme="minorBidi"/>
          <w:i/>
          <w:sz w:val="20"/>
          <w:szCs w:val="20"/>
          <w:lang w:val="en-US" w:eastAsia="en-US"/>
        </w:rPr>
        <w:t>ratione materia</w:t>
      </w:r>
      <w:r w:rsidR="00DF7C24" w:rsidRPr="00AC57EA">
        <w:rPr>
          <w:rFonts w:cstheme="minorBidi"/>
          <w:i/>
          <w:sz w:val="20"/>
          <w:szCs w:val="20"/>
          <w:lang w:val="en-US" w:eastAsia="en-US"/>
        </w:rPr>
        <w:t>e</w:t>
      </w:r>
      <w:r w:rsidR="00270756" w:rsidRPr="00AC57EA">
        <w:rPr>
          <w:rFonts w:cstheme="minorBidi"/>
          <w:sz w:val="20"/>
          <w:szCs w:val="20"/>
          <w:lang w:val="en-US" w:eastAsia="en-US"/>
        </w:rPr>
        <w:t xml:space="preserve"> </w:t>
      </w:r>
      <w:r w:rsidRPr="00AC57EA">
        <w:rPr>
          <w:rFonts w:cstheme="minorBidi"/>
          <w:sz w:val="20"/>
          <w:szCs w:val="20"/>
          <w:lang w:val="en-US" w:eastAsia="en-US"/>
        </w:rPr>
        <w:t>filed by</w:t>
      </w:r>
      <w:r w:rsidR="00270756" w:rsidRPr="00AC57EA">
        <w:rPr>
          <w:rFonts w:cstheme="minorBidi"/>
          <w:sz w:val="20"/>
          <w:szCs w:val="20"/>
          <w:lang w:val="en-US" w:eastAsia="en-US"/>
        </w:rPr>
        <w:t xml:space="preserve"> </w:t>
      </w:r>
      <w:r w:rsidR="00EC52D7" w:rsidRPr="00AC57EA">
        <w:rPr>
          <w:rFonts w:cstheme="minorBidi"/>
          <w:sz w:val="20"/>
          <w:szCs w:val="20"/>
          <w:lang w:val="en-US" w:eastAsia="en-US"/>
        </w:rPr>
        <w:t>the State</w:t>
      </w:r>
      <w:r w:rsidR="00270756" w:rsidRPr="00AC57EA">
        <w:rPr>
          <w:rFonts w:cstheme="minorBidi"/>
          <w:sz w:val="20"/>
          <w:szCs w:val="20"/>
          <w:lang w:val="en-US" w:eastAsia="en-US"/>
        </w:rPr>
        <w:t xml:space="preserve">, </w:t>
      </w:r>
      <w:r w:rsidRPr="00AC57EA">
        <w:rPr>
          <w:rFonts w:cstheme="minorBidi"/>
          <w:sz w:val="20"/>
          <w:szCs w:val="20"/>
          <w:lang w:val="en-US" w:eastAsia="en-US"/>
        </w:rPr>
        <w:t xml:space="preserve">so that it refers to </w:t>
      </w:r>
      <w:r w:rsidR="00E07E41" w:rsidRPr="00AC57EA">
        <w:rPr>
          <w:rFonts w:cstheme="minorBidi"/>
          <w:sz w:val="20"/>
          <w:szCs w:val="20"/>
          <w:lang w:val="en-US" w:eastAsia="en-US"/>
        </w:rPr>
        <w:t xml:space="preserve">the decision taken at that time </w:t>
      </w:r>
      <w:r w:rsidR="006A2F96" w:rsidRPr="00AC57EA">
        <w:rPr>
          <w:rFonts w:cstheme="minorBidi"/>
          <w:sz w:val="20"/>
          <w:szCs w:val="20"/>
          <w:lang w:val="en-US" w:eastAsia="en-US"/>
        </w:rPr>
        <w:t>(</w:t>
      </w:r>
      <w:r w:rsidR="006A2F96" w:rsidRPr="00AC57EA">
        <w:rPr>
          <w:rFonts w:cstheme="minorBidi"/>
          <w:i/>
          <w:sz w:val="20"/>
          <w:szCs w:val="20"/>
          <w:lang w:val="en-US" w:eastAsia="en-US"/>
        </w:rPr>
        <w:t xml:space="preserve">supra </w:t>
      </w:r>
      <w:r w:rsidR="00171E27" w:rsidRPr="00AC57EA">
        <w:rPr>
          <w:rFonts w:cstheme="minorBidi"/>
          <w:sz w:val="20"/>
          <w:szCs w:val="20"/>
          <w:lang w:val="en-US" w:eastAsia="en-US"/>
        </w:rPr>
        <w:t>paras.</w:t>
      </w:r>
      <w:r w:rsidR="006A2F96" w:rsidRPr="00AC57EA">
        <w:rPr>
          <w:rFonts w:cstheme="minorBidi"/>
          <w:sz w:val="20"/>
          <w:szCs w:val="20"/>
          <w:lang w:val="en-US" w:eastAsia="en-US"/>
        </w:rPr>
        <w:t xml:space="preserve"> </w:t>
      </w:r>
      <w:r w:rsidR="00DA704D" w:rsidRPr="00AC57EA">
        <w:rPr>
          <w:rFonts w:cstheme="minorBidi"/>
          <w:sz w:val="20"/>
          <w:szCs w:val="20"/>
          <w:lang w:val="en-US" w:eastAsia="en-US"/>
        </w:rPr>
        <w:t>40</w:t>
      </w:r>
      <w:r w:rsidR="00E07E41" w:rsidRPr="00AC57EA">
        <w:rPr>
          <w:rFonts w:cstheme="minorBidi"/>
          <w:sz w:val="20"/>
          <w:szCs w:val="20"/>
          <w:lang w:val="en-US" w:eastAsia="en-US"/>
        </w:rPr>
        <w:t xml:space="preserve"> to</w:t>
      </w:r>
      <w:r w:rsidR="00DA704D" w:rsidRPr="00AC57EA">
        <w:rPr>
          <w:rFonts w:cstheme="minorBidi"/>
          <w:sz w:val="20"/>
          <w:szCs w:val="20"/>
          <w:lang w:val="en-US" w:eastAsia="en-US"/>
        </w:rPr>
        <w:t xml:space="preserve"> 42</w:t>
      </w:r>
      <w:r w:rsidR="006A2F96" w:rsidRPr="00AC57EA">
        <w:rPr>
          <w:rFonts w:cstheme="minorBidi"/>
          <w:sz w:val="20"/>
          <w:szCs w:val="20"/>
          <w:lang w:val="en-US" w:eastAsia="en-US"/>
        </w:rPr>
        <w:t>)</w:t>
      </w:r>
      <w:r w:rsidR="00270756" w:rsidRPr="00AC57EA">
        <w:rPr>
          <w:rFonts w:cstheme="minorBidi"/>
          <w:sz w:val="20"/>
          <w:szCs w:val="20"/>
          <w:lang w:val="en-US" w:eastAsia="en-US"/>
        </w:rPr>
        <w:t>.</w:t>
      </w:r>
    </w:p>
    <w:p w14:paraId="06BCD12E" w14:textId="77777777" w:rsidR="001C7E37" w:rsidRPr="00AC57EA" w:rsidRDefault="001C7E37" w:rsidP="001C7E37">
      <w:pPr>
        <w:spacing w:line="240" w:lineRule="auto"/>
        <w:jc w:val="center"/>
        <w:rPr>
          <w:sz w:val="20"/>
          <w:szCs w:val="20"/>
          <w:lang w:val="en-US"/>
        </w:rPr>
      </w:pPr>
    </w:p>
    <w:p w14:paraId="14B17F7F" w14:textId="3B84BBAE" w:rsidR="001C7E37" w:rsidRPr="00AC57EA" w:rsidRDefault="001C7E37" w:rsidP="001C7E37">
      <w:pPr>
        <w:keepNext/>
        <w:keepLines/>
        <w:tabs>
          <w:tab w:val="left" w:pos="851"/>
        </w:tabs>
        <w:spacing w:line="240" w:lineRule="auto"/>
        <w:jc w:val="center"/>
        <w:outlineLvl w:val="0"/>
        <w:rPr>
          <w:rFonts w:cs="Verdana"/>
          <w:b/>
          <w:bCs/>
          <w:caps/>
          <w:snapToGrid w:val="0"/>
          <w:sz w:val="20"/>
          <w:szCs w:val="20"/>
          <w:lang w:val="en-US"/>
        </w:rPr>
      </w:pPr>
      <w:bookmarkStart w:id="70" w:name="_Toc375517114"/>
      <w:bookmarkStart w:id="71" w:name="_Toc459158102"/>
      <w:bookmarkStart w:id="72" w:name="_Toc470180046"/>
      <w:bookmarkStart w:id="73" w:name="_Toc514172609"/>
      <w:r w:rsidRPr="00AC57EA">
        <w:rPr>
          <w:rFonts w:cs="Verdana"/>
          <w:b/>
          <w:bCs/>
          <w:caps/>
          <w:snapToGrid w:val="0"/>
          <w:sz w:val="20"/>
          <w:szCs w:val="20"/>
          <w:lang w:val="en-US"/>
        </w:rPr>
        <w:t>VI</w:t>
      </w:r>
      <w:r w:rsidRPr="00AC57EA">
        <w:rPr>
          <w:rFonts w:cs="Verdana"/>
          <w:b/>
          <w:bCs/>
          <w:caps/>
          <w:snapToGrid w:val="0"/>
          <w:sz w:val="20"/>
          <w:szCs w:val="20"/>
          <w:lang w:val="en-US"/>
        </w:rPr>
        <w:br/>
      </w:r>
      <w:r w:rsidR="00E07E41" w:rsidRPr="00AC57EA">
        <w:rPr>
          <w:rFonts w:cs="Verdana"/>
          <w:b/>
          <w:bCs/>
          <w:caps/>
          <w:snapToGrid w:val="0"/>
          <w:sz w:val="20"/>
          <w:szCs w:val="20"/>
          <w:lang w:val="en-US"/>
        </w:rPr>
        <w:t>EVIDENCE</w:t>
      </w:r>
      <w:bookmarkEnd w:id="70"/>
      <w:bookmarkEnd w:id="71"/>
      <w:bookmarkEnd w:id="72"/>
      <w:bookmarkEnd w:id="73"/>
    </w:p>
    <w:p w14:paraId="7874DDEF" w14:textId="77777777" w:rsidR="001C7E37" w:rsidRPr="00AC57EA" w:rsidRDefault="001C7E37" w:rsidP="001C7E37">
      <w:pPr>
        <w:spacing w:line="240" w:lineRule="auto"/>
        <w:rPr>
          <w:sz w:val="20"/>
          <w:szCs w:val="20"/>
          <w:lang w:val="en-US"/>
        </w:rPr>
      </w:pPr>
    </w:p>
    <w:p w14:paraId="36731FDF" w14:textId="4E81C016" w:rsidR="001C7E37" w:rsidRPr="00AC57EA" w:rsidRDefault="001C7E37" w:rsidP="001C7E37">
      <w:pPr>
        <w:keepNext/>
        <w:keepLines/>
        <w:tabs>
          <w:tab w:val="left" w:pos="1134"/>
        </w:tabs>
        <w:spacing w:line="240" w:lineRule="auto"/>
        <w:ind w:left="567" w:firstLine="1"/>
        <w:outlineLvl w:val="1"/>
        <w:rPr>
          <w:rFonts w:eastAsia="MS Mincho"/>
          <w:b/>
          <w:bCs/>
          <w:i/>
          <w:sz w:val="20"/>
          <w:szCs w:val="20"/>
          <w:lang w:val="en-US"/>
        </w:rPr>
      </w:pPr>
      <w:bookmarkStart w:id="74" w:name="_Toc375517115"/>
      <w:bookmarkStart w:id="75" w:name="_Toc459158103"/>
      <w:bookmarkStart w:id="76" w:name="_Toc470180047"/>
      <w:bookmarkStart w:id="77" w:name="_Toc514172610"/>
      <w:r w:rsidRPr="00AC57EA">
        <w:rPr>
          <w:rFonts w:eastAsia="MS Mincho"/>
          <w:b/>
          <w:bCs/>
          <w:i/>
          <w:sz w:val="20"/>
          <w:szCs w:val="20"/>
          <w:lang w:val="en-US"/>
        </w:rPr>
        <w:t>A.</w:t>
      </w:r>
      <w:r w:rsidRPr="00AC57EA">
        <w:rPr>
          <w:rFonts w:eastAsia="MS Mincho"/>
          <w:b/>
          <w:bCs/>
          <w:i/>
          <w:sz w:val="20"/>
          <w:szCs w:val="20"/>
          <w:lang w:val="en-US"/>
        </w:rPr>
        <w:tab/>
      </w:r>
      <w:r w:rsidR="00E07E41" w:rsidRPr="00AC57EA">
        <w:rPr>
          <w:rFonts w:eastAsia="MS Mincho"/>
          <w:b/>
          <w:bCs/>
          <w:i/>
          <w:sz w:val="20"/>
          <w:szCs w:val="20"/>
          <w:lang w:val="en-US"/>
        </w:rPr>
        <w:t>Documentary, testimonial and expert evidence</w:t>
      </w:r>
      <w:bookmarkEnd w:id="74"/>
      <w:bookmarkEnd w:id="75"/>
      <w:bookmarkEnd w:id="76"/>
      <w:bookmarkEnd w:id="77"/>
    </w:p>
    <w:p w14:paraId="799A8633" w14:textId="77777777" w:rsidR="001C7E37" w:rsidRPr="00AC57EA" w:rsidRDefault="001C7E37" w:rsidP="001C7E37">
      <w:pPr>
        <w:widowControl/>
        <w:tabs>
          <w:tab w:val="left" w:pos="567"/>
        </w:tabs>
        <w:autoSpaceDE w:val="0"/>
        <w:autoSpaceDN w:val="0"/>
        <w:adjustRightInd/>
        <w:spacing w:line="240" w:lineRule="auto"/>
        <w:textAlignment w:val="auto"/>
        <w:rPr>
          <w:rFonts w:cs="Verdana"/>
          <w:sz w:val="20"/>
          <w:szCs w:val="20"/>
          <w:lang w:val="en-US" w:eastAsia="en-US"/>
        </w:rPr>
      </w:pPr>
    </w:p>
    <w:p w14:paraId="381B4AB7" w14:textId="386E1324" w:rsidR="001C7E37" w:rsidRPr="00AC57EA" w:rsidRDefault="00B7258C" w:rsidP="00C8070B">
      <w:pPr>
        <w:numPr>
          <w:ilvl w:val="0"/>
          <w:numId w:val="2"/>
        </w:numPr>
        <w:tabs>
          <w:tab w:val="left" w:pos="567"/>
          <w:tab w:val="num" w:pos="12305"/>
        </w:tabs>
        <w:spacing w:line="240" w:lineRule="auto"/>
        <w:ind w:left="0" w:firstLine="0"/>
        <w:rPr>
          <w:rFonts w:cs="Verdana"/>
          <w:sz w:val="20"/>
          <w:szCs w:val="20"/>
          <w:lang w:val="en-US" w:eastAsia="en-US"/>
        </w:rPr>
      </w:pPr>
      <w:r w:rsidRPr="00AC57EA">
        <w:rPr>
          <w:sz w:val="20"/>
          <w:szCs w:val="20"/>
          <w:lang w:val="en-US"/>
        </w:rPr>
        <w:t>The Court</w:t>
      </w:r>
      <w:r w:rsidR="001C7E37" w:rsidRPr="00AC57EA">
        <w:rPr>
          <w:sz w:val="20"/>
          <w:szCs w:val="20"/>
          <w:lang w:val="en-US"/>
        </w:rPr>
        <w:t xml:space="preserve"> rec</w:t>
      </w:r>
      <w:r w:rsidR="00A55E54" w:rsidRPr="00AC57EA">
        <w:rPr>
          <w:sz w:val="20"/>
          <w:szCs w:val="20"/>
          <w:lang w:val="en-US"/>
        </w:rPr>
        <w:t xml:space="preserve">eived diverse documents presented as evidence by </w:t>
      </w:r>
      <w:r w:rsidR="00EC52D7" w:rsidRPr="00AC57EA">
        <w:rPr>
          <w:sz w:val="20"/>
          <w:szCs w:val="20"/>
          <w:lang w:val="en-US"/>
        </w:rPr>
        <w:t>the State</w:t>
      </w:r>
      <w:r w:rsidR="001C7E37" w:rsidRPr="00AC57EA">
        <w:rPr>
          <w:sz w:val="20"/>
          <w:szCs w:val="20"/>
          <w:lang w:val="en-US"/>
        </w:rPr>
        <w:t xml:space="preserve">, </w:t>
      </w:r>
      <w:r w:rsidR="00171E27" w:rsidRPr="00AC57EA">
        <w:rPr>
          <w:sz w:val="20"/>
          <w:szCs w:val="20"/>
          <w:lang w:val="en-US"/>
        </w:rPr>
        <w:t xml:space="preserve">the representatives and </w:t>
      </w:r>
      <w:r w:rsidRPr="00AC57EA">
        <w:rPr>
          <w:sz w:val="20"/>
          <w:szCs w:val="20"/>
          <w:lang w:val="en-US"/>
        </w:rPr>
        <w:t>the Inter-American Commission</w:t>
      </w:r>
      <w:r w:rsidR="001C7E37" w:rsidRPr="00AC57EA">
        <w:rPr>
          <w:sz w:val="20"/>
          <w:szCs w:val="20"/>
          <w:lang w:val="en-US"/>
        </w:rPr>
        <w:t xml:space="preserve">, </w:t>
      </w:r>
      <w:r w:rsidR="00A55E54" w:rsidRPr="00AC57EA">
        <w:rPr>
          <w:sz w:val="20"/>
          <w:szCs w:val="20"/>
          <w:lang w:val="en-US"/>
        </w:rPr>
        <w:t>attached to their princip</w:t>
      </w:r>
      <w:r w:rsidR="000B6728" w:rsidRPr="00AC57EA">
        <w:rPr>
          <w:sz w:val="20"/>
          <w:szCs w:val="20"/>
          <w:lang w:val="en-US"/>
        </w:rPr>
        <w:t>le</w:t>
      </w:r>
      <w:r w:rsidR="00ED1873" w:rsidRPr="00AC57EA">
        <w:rPr>
          <w:sz w:val="20"/>
          <w:szCs w:val="20"/>
          <w:lang w:val="en-US"/>
        </w:rPr>
        <w:t xml:space="preserve"> brief</w:t>
      </w:r>
      <w:r w:rsidR="00A55E54" w:rsidRPr="00AC57EA">
        <w:rPr>
          <w:sz w:val="20"/>
          <w:szCs w:val="20"/>
          <w:lang w:val="en-US"/>
        </w:rPr>
        <w:t xml:space="preserve">s and as </w:t>
      </w:r>
      <w:r w:rsidR="00A55E54" w:rsidRPr="00AC57EA">
        <w:rPr>
          <w:sz w:val="20"/>
          <w:szCs w:val="20"/>
          <w:lang w:val="en-US"/>
        </w:rPr>
        <w:lastRenderedPageBreak/>
        <w:t xml:space="preserve">helpful evidence </w:t>
      </w:r>
      <w:r w:rsidR="001C7E37" w:rsidRPr="00AC57EA">
        <w:rPr>
          <w:sz w:val="20"/>
          <w:szCs w:val="20"/>
          <w:lang w:val="en-US"/>
        </w:rPr>
        <w:t>(</w:t>
      </w:r>
      <w:r w:rsidR="001C7E37" w:rsidRPr="00AC57EA">
        <w:rPr>
          <w:i/>
          <w:sz w:val="20"/>
          <w:szCs w:val="20"/>
          <w:lang w:val="en-US"/>
        </w:rPr>
        <w:t>supra</w:t>
      </w:r>
      <w:r w:rsidR="001C7E37" w:rsidRPr="00AC57EA">
        <w:rPr>
          <w:sz w:val="20"/>
          <w:szCs w:val="20"/>
          <w:lang w:val="en-US"/>
        </w:rPr>
        <w:t xml:space="preserve"> </w:t>
      </w:r>
      <w:r w:rsidR="00171E27" w:rsidRPr="00AC57EA">
        <w:rPr>
          <w:sz w:val="20"/>
          <w:szCs w:val="20"/>
          <w:lang w:val="en-US"/>
        </w:rPr>
        <w:t>paras.</w:t>
      </w:r>
      <w:r w:rsidR="001C7E37" w:rsidRPr="00AC57EA">
        <w:rPr>
          <w:sz w:val="20"/>
          <w:szCs w:val="20"/>
          <w:lang w:val="en-US"/>
        </w:rPr>
        <w:t xml:space="preserve"> </w:t>
      </w:r>
      <w:r w:rsidR="00B546D8" w:rsidRPr="00AC57EA">
        <w:rPr>
          <w:sz w:val="20"/>
          <w:szCs w:val="20"/>
          <w:lang w:val="en-US"/>
        </w:rPr>
        <w:t>1, 6, 7</w:t>
      </w:r>
      <w:r w:rsidR="00171E27" w:rsidRPr="00AC57EA">
        <w:rPr>
          <w:sz w:val="20"/>
          <w:szCs w:val="20"/>
          <w:lang w:val="en-US"/>
        </w:rPr>
        <w:t xml:space="preserve"> and </w:t>
      </w:r>
      <w:r w:rsidR="00BC054D" w:rsidRPr="00AC57EA">
        <w:rPr>
          <w:sz w:val="20"/>
          <w:szCs w:val="20"/>
          <w:lang w:val="en-US"/>
        </w:rPr>
        <w:t>12</w:t>
      </w:r>
      <w:r w:rsidR="001C7E37" w:rsidRPr="00AC57EA">
        <w:rPr>
          <w:sz w:val="20"/>
          <w:szCs w:val="20"/>
          <w:lang w:val="en-US"/>
        </w:rPr>
        <w:t xml:space="preserve">). </w:t>
      </w:r>
      <w:r w:rsidR="00A55E54" w:rsidRPr="00AC57EA">
        <w:rPr>
          <w:sz w:val="20"/>
          <w:szCs w:val="20"/>
          <w:lang w:val="en-US"/>
        </w:rPr>
        <w:t>The</w:t>
      </w:r>
      <w:r w:rsidRPr="00AC57EA">
        <w:rPr>
          <w:sz w:val="20"/>
          <w:szCs w:val="20"/>
          <w:lang w:val="en-US"/>
        </w:rPr>
        <w:t xml:space="preserve"> Court</w:t>
      </w:r>
      <w:r w:rsidR="001C7E37" w:rsidRPr="00AC57EA">
        <w:rPr>
          <w:sz w:val="20"/>
          <w:szCs w:val="20"/>
          <w:lang w:val="en-US"/>
        </w:rPr>
        <w:t xml:space="preserve"> </w:t>
      </w:r>
      <w:r w:rsidR="00A55E54" w:rsidRPr="00AC57EA">
        <w:rPr>
          <w:sz w:val="20"/>
          <w:szCs w:val="20"/>
          <w:lang w:val="en-US"/>
        </w:rPr>
        <w:t xml:space="preserve">also received the affidavits </w:t>
      </w:r>
      <w:r w:rsidR="00A60DB1" w:rsidRPr="00AC57EA">
        <w:rPr>
          <w:sz w:val="20"/>
          <w:szCs w:val="20"/>
          <w:lang w:val="en-US"/>
        </w:rPr>
        <w:t>of</w:t>
      </w:r>
      <w:r w:rsidR="00A55E54" w:rsidRPr="00AC57EA">
        <w:rPr>
          <w:sz w:val="20"/>
          <w:szCs w:val="20"/>
          <w:lang w:val="en-US"/>
        </w:rPr>
        <w:t xml:space="preserve"> </w:t>
      </w:r>
      <w:r w:rsidR="002E1EE5" w:rsidRPr="00AC57EA">
        <w:rPr>
          <w:sz w:val="20"/>
          <w:szCs w:val="20"/>
          <w:lang w:val="en-US"/>
        </w:rPr>
        <w:t xml:space="preserve">N.R.P., </w:t>
      </w:r>
      <w:r w:rsidR="001C7E37" w:rsidRPr="00AC57EA">
        <w:rPr>
          <w:sz w:val="20"/>
          <w:szCs w:val="20"/>
          <w:lang w:val="en-US"/>
        </w:rPr>
        <w:t>H.J.R.P.</w:t>
      </w:r>
      <w:r w:rsidR="00171E27" w:rsidRPr="00AC57EA">
        <w:rPr>
          <w:sz w:val="20"/>
          <w:szCs w:val="20"/>
          <w:lang w:val="en-US"/>
        </w:rPr>
        <w:t xml:space="preserve"> and </w:t>
      </w:r>
      <w:r w:rsidR="001C7E37" w:rsidRPr="00AC57EA">
        <w:rPr>
          <w:sz w:val="20"/>
          <w:szCs w:val="20"/>
          <w:lang w:val="en-US"/>
        </w:rPr>
        <w:t>V.A.R.P</w:t>
      </w:r>
      <w:r w:rsidR="007A37EF" w:rsidRPr="00AC57EA">
        <w:rPr>
          <w:sz w:val="20"/>
          <w:szCs w:val="20"/>
          <w:lang w:val="en-US"/>
        </w:rPr>
        <w:t>.</w:t>
      </w:r>
      <w:r w:rsidR="00DB14D0" w:rsidRPr="00AC57EA">
        <w:rPr>
          <w:sz w:val="20"/>
          <w:szCs w:val="20"/>
          <w:lang w:val="en-US"/>
        </w:rPr>
        <w:t xml:space="preserve">, </w:t>
      </w:r>
      <w:r w:rsidR="00A55E54" w:rsidRPr="00AC57EA">
        <w:rPr>
          <w:sz w:val="20"/>
          <w:szCs w:val="20"/>
          <w:lang w:val="en-US"/>
        </w:rPr>
        <w:t>proposed by</w:t>
      </w:r>
      <w:r w:rsidR="00DB14D0" w:rsidRPr="00AC57EA">
        <w:rPr>
          <w:sz w:val="20"/>
          <w:szCs w:val="20"/>
          <w:lang w:val="en-US"/>
        </w:rPr>
        <w:t xml:space="preserve"> </w:t>
      </w:r>
      <w:r w:rsidR="00171E27" w:rsidRPr="00AC57EA">
        <w:rPr>
          <w:sz w:val="20"/>
          <w:szCs w:val="20"/>
          <w:lang w:val="en-US"/>
        </w:rPr>
        <w:t>the representatives</w:t>
      </w:r>
      <w:r w:rsidR="001C7E37" w:rsidRPr="00AC57EA">
        <w:rPr>
          <w:sz w:val="20"/>
          <w:szCs w:val="20"/>
          <w:lang w:val="en-US"/>
        </w:rPr>
        <w:t xml:space="preserve">. </w:t>
      </w:r>
      <w:r w:rsidR="00A55E54" w:rsidRPr="00AC57EA">
        <w:rPr>
          <w:sz w:val="20"/>
          <w:szCs w:val="20"/>
          <w:lang w:val="en-US"/>
        </w:rPr>
        <w:t>Regarding the evidence provided at the</w:t>
      </w:r>
      <w:r w:rsidR="001C7E37" w:rsidRPr="00AC57EA">
        <w:rPr>
          <w:sz w:val="20"/>
          <w:szCs w:val="20"/>
          <w:lang w:val="en-US"/>
        </w:rPr>
        <w:t xml:space="preserve"> </w:t>
      </w:r>
      <w:r w:rsidR="00517CF7" w:rsidRPr="00AC57EA">
        <w:rPr>
          <w:sz w:val="20"/>
          <w:szCs w:val="20"/>
          <w:lang w:val="en-US"/>
        </w:rPr>
        <w:t>public hearing</w:t>
      </w:r>
      <w:r w:rsidR="001C7E37" w:rsidRPr="00AC57EA">
        <w:rPr>
          <w:sz w:val="20"/>
          <w:szCs w:val="20"/>
          <w:lang w:val="en-US"/>
        </w:rPr>
        <w:t xml:space="preserve">, </w:t>
      </w:r>
      <w:r w:rsidRPr="00AC57EA">
        <w:rPr>
          <w:sz w:val="20"/>
          <w:szCs w:val="20"/>
          <w:lang w:val="en-US"/>
        </w:rPr>
        <w:t>the Court</w:t>
      </w:r>
      <w:r w:rsidR="001C7E37" w:rsidRPr="00AC57EA">
        <w:rPr>
          <w:sz w:val="20"/>
          <w:szCs w:val="20"/>
          <w:lang w:val="en-US"/>
        </w:rPr>
        <w:t xml:space="preserve"> rec</w:t>
      </w:r>
      <w:r w:rsidR="00A55E54" w:rsidRPr="00AC57EA">
        <w:rPr>
          <w:sz w:val="20"/>
          <w:szCs w:val="20"/>
          <w:lang w:val="en-US"/>
        </w:rPr>
        <w:t xml:space="preserve">eived the statements </w:t>
      </w:r>
      <w:r w:rsidR="00171E27" w:rsidRPr="00AC57EA">
        <w:rPr>
          <w:sz w:val="20"/>
          <w:szCs w:val="20"/>
          <w:lang w:val="en-US"/>
        </w:rPr>
        <w:t>of presumed victims</w:t>
      </w:r>
      <w:r w:rsidR="001C7E37" w:rsidRPr="00AC57EA">
        <w:rPr>
          <w:sz w:val="20"/>
          <w:szCs w:val="20"/>
          <w:lang w:val="en-US"/>
        </w:rPr>
        <w:t xml:space="preserve"> </w:t>
      </w:r>
      <w:r w:rsidR="00DB14D0" w:rsidRPr="00AC57EA">
        <w:rPr>
          <w:rFonts w:cs="Arial"/>
          <w:iCs/>
          <w:sz w:val="20"/>
          <w:szCs w:val="20"/>
          <w:lang w:val="en-US"/>
        </w:rPr>
        <w:t>V.R.P.</w:t>
      </w:r>
      <w:r w:rsidR="00171E27" w:rsidRPr="00AC57EA">
        <w:rPr>
          <w:rFonts w:cs="Arial"/>
          <w:iCs/>
          <w:sz w:val="20"/>
          <w:szCs w:val="20"/>
          <w:lang w:val="en-US"/>
        </w:rPr>
        <w:t xml:space="preserve"> and </w:t>
      </w:r>
      <w:r w:rsidR="001C7E37" w:rsidRPr="00AC57EA">
        <w:rPr>
          <w:rFonts w:cs="Arial"/>
          <w:iCs/>
          <w:sz w:val="20"/>
          <w:szCs w:val="20"/>
          <w:lang w:val="en-US"/>
        </w:rPr>
        <w:t xml:space="preserve">V.P.C., </w:t>
      </w:r>
      <w:r w:rsidR="00DB14D0" w:rsidRPr="00AC57EA">
        <w:rPr>
          <w:rFonts w:cs="Arial"/>
          <w:iCs/>
          <w:sz w:val="20"/>
          <w:szCs w:val="20"/>
          <w:lang w:val="en-US"/>
        </w:rPr>
        <w:t>a</w:t>
      </w:r>
      <w:r w:rsidR="00A55E54" w:rsidRPr="00AC57EA">
        <w:rPr>
          <w:rFonts w:cs="Arial"/>
          <w:iCs/>
          <w:sz w:val="20"/>
          <w:szCs w:val="20"/>
          <w:lang w:val="en-US"/>
        </w:rPr>
        <w:t>nd also the opinions of expert witness</w:t>
      </w:r>
      <w:r w:rsidR="00A60DB1" w:rsidRPr="00AC57EA">
        <w:rPr>
          <w:rFonts w:cs="Arial"/>
          <w:iCs/>
          <w:sz w:val="20"/>
          <w:szCs w:val="20"/>
          <w:lang w:val="en-US"/>
        </w:rPr>
        <w:t>es</w:t>
      </w:r>
      <w:r w:rsidR="00A55E54" w:rsidRPr="00AC57EA">
        <w:rPr>
          <w:rFonts w:cs="Arial"/>
          <w:iCs/>
          <w:sz w:val="20"/>
          <w:szCs w:val="20"/>
          <w:lang w:val="en-US"/>
        </w:rPr>
        <w:t xml:space="preserve"> </w:t>
      </w:r>
      <w:r w:rsidR="001C7E37" w:rsidRPr="00AC57EA">
        <w:rPr>
          <w:rFonts w:eastAsia="Verdana" w:cs="Verdana"/>
          <w:sz w:val="20"/>
          <w:szCs w:val="20"/>
          <w:lang w:val="en-US"/>
        </w:rPr>
        <w:t xml:space="preserve">Enrique Oscar Stola, </w:t>
      </w:r>
      <w:r w:rsidR="00A55E54" w:rsidRPr="00AC57EA">
        <w:rPr>
          <w:rFonts w:eastAsia="Verdana" w:cs="Verdana"/>
          <w:sz w:val="20"/>
          <w:szCs w:val="20"/>
          <w:lang w:val="en-US"/>
        </w:rPr>
        <w:t>proposed by</w:t>
      </w:r>
      <w:r w:rsidR="001C7E37" w:rsidRPr="00AC57EA">
        <w:rPr>
          <w:rFonts w:eastAsia="Verdana" w:cs="Verdana"/>
          <w:sz w:val="20"/>
          <w:szCs w:val="20"/>
          <w:lang w:val="en-US"/>
        </w:rPr>
        <w:t xml:space="preserve"> </w:t>
      </w:r>
      <w:r w:rsidR="00171E27" w:rsidRPr="00AC57EA">
        <w:rPr>
          <w:rFonts w:eastAsia="Verdana" w:cs="Verdana"/>
          <w:sz w:val="20"/>
          <w:szCs w:val="20"/>
          <w:lang w:val="en-US"/>
        </w:rPr>
        <w:t>the representatives</w:t>
      </w:r>
      <w:r w:rsidR="00DB14D0" w:rsidRPr="00AC57EA">
        <w:rPr>
          <w:rFonts w:eastAsia="Verdana" w:cs="Verdana"/>
          <w:sz w:val="20"/>
          <w:szCs w:val="20"/>
          <w:lang w:val="en-US"/>
        </w:rPr>
        <w:t>,</w:t>
      </w:r>
      <w:r w:rsidR="00171E27" w:rsidRPr="00AC57EA">
        <w:rPr>
          <w:rFonts w:eastAsia="Verdana" w:cs="Verdana"/>
          <w:sz w:val="20"/>
          <w:szCs w:val="20"/>
          <w:lang w:val="en-US"/>
        </w:rPr>
        <w:t xml:space="preserve"> and </w:t>
      </w:r>
      <w:r w:rsidR="001C7E37" w:rsidRPr="00AC57EA">
        <w:rPr>
          <w:rFonts w:eastAsia="Verdana" w:cs="Verdana"/>
          <w:sz w:val="20"/>
          <w:szCs w:val="20"/>
          <w:lang w:val="en-US"/>
        </w:rPr>
        <w:t xml:space="preserve">Miguel Cillero Bruñol, </w:t>
      </w:r>
      <w:r w:rsidR="00A55E54" w:rsidRPr="00AC57EA">
        <w:rPr>
          <w:rFonts w:eastAsia="Verdana" w:cs="Verdana"/>
          <w:sz w:val="20"/>
          <w:szCs w:val="20"/>
          <w:lang w:val="en-US"/>
        </w:rPr>
        <w:t>proposed by</w:t>
      </w:r>
      <w:r w:rsidR="001C7E37" w:rsidRPr="00AC57EA">
        <w:rPr>
          <w:rFonts w:eastAsia="Verdana" w:cs="Verdana"/>
          <w:sz w:val="20"/>
          <w:szCs w:val="20"/>
          <w:lang w:val="en-US"/>
        </w:rPr>
        <w:t xml:space="preserve"> </w:t>
      </w:r>
      <w:r w:rsidRPr="00AC57EA">
        <w:rPr>
          <w:rFonts w:eastAsia="Verdana" w:cs="Verdana"/>
          <w:sz w:val="20"/>
          <w:szCs w:val="20"/>
          <w:lang w:val="en-US"/>
        </w:rPr>
        <w:t>the Commission</w:t>
      </w:r>
      <w:r w:rsidR="001C7E37" w:rsidRPr="00AC57EA">
        <w:rPr>
          <w:sz w:val="20"/>
          <w:szCs w:val="20"/>
          <w:lang w:val="en-US"/>
        </w:rPr>
        <w:t>.</w:t>
      </w:r>
    </w:p>
    <w:p w14:paraId="0A0E0F72" w14:textId="77777777" w:rsidR="001C7E37" w:rsidRPr="00AC57EA" w:rsidRDefault="001C7E37" w:rsidP="001C7E37">
      <w:pPr>
        <w:autoSpaceDE w:val="0"/>
        <w:autoSpaceDN w:val="0"/>
        <w:spacing w:line="240" w:lineRule="auto"/>
        <w:rPr>
          <w:sz w:val="20"/>
          <w:szCs w:val="20"/>
          <w:lang w:val="en-US"/>
        </w:rPr>
      </w:pPr>
    </w:p>
    <w:p w14:paraId="58734E65" w14:textId="74927E15" w:rsidR="001C7E37" w:rsidRPr="00AC57EA" w:rsidRDefault="001C7E37" w:rsidP="001C7E37">
      <w:pPr>
        <w:keepNext/>
        <w:keepLines/>
        <w:tabs>
          <w:tab w:val="left" w:pos="1134"/>
        </w:tabs>
        <w:spacing w:line="240" w:lineRule="auto"/>
        <w:ind w:left="567" w:firstLine="1"/>
        <w:outlineLvl w:val="1"/>
        <w:rPr>
          <w:rFonts w:eastAsia="MS Mincho"/>
          <w:b/>
          <w:bCs/>
          <w:i/>
          <w:sz w:val="20"/>
          <w:szCs w:val="20"/>
          <w:lang w:val="en-US"/>
        </w:rPr>
      </w:pPr>
      <w:bookmarkStart w:id="78" w:name="_Toc375517116"/>
      <w:bookmarkStart w:id="79" w:name="_Toc459158104"/>
      <w:bookmarkStart w:id="80" w:name="_Toc470180048"/>
      <w:bookmarkStart w:id="81" w:name="_Toc514172611"/>
      <w:r w:rsidRPr="00AC57EA">
        <w:rPr>
          <w:rFonts w:eastAsia="MS Mincho"/>
          <w:b/>
          <w:bCs/>
          <w:i/>
          <w:sz w:val="20"/>
          <w:szCs w:val="20"/>
          <w:lang w:val="en-US"/>
        </w:rPr>
        <w:t xml:space="preserve">B. </w:t>
      </w:r>
      <w:r w:rsidRPr="00AC57EA">
        <w:rPr>
          <w:rFonts w:eastAsia="MS Mincho"/>
          <w:b/>
          <w:bCs/>
          <w:i/>
          <w:sz w:val="20"/>
          <w:szCs w:val="20"/>
          <w:lang w:val="en-US"/>
        </w:rPr>
        <w:tab/>
      </w:r>
      <w:r w:rsidR="00A55E54" w:rsidRPr="00AC57EA">
        <w:rPr>
          <w:rFonts w:eastAsia="MS Mincho"/>
          <w:b/>
          <w:bCs/>
          <w:i/>
          <w:sz w:val="20"/>
          <w:szCs w:val="20"/>
          <w:lang w:val="en-US"/>
        </w:rPr>
        <w:t>Admission of the evidence</w:t>
      </w:r>
      <w:bookmarkEnd w:id="78"/>
      <w:bookmarkEnd w:id="79"/>
      <w:bookmarkEnd w:id="80"/>
      <w:bookmarkEnd w:id="81"/>
    </w:p>
    <w:p w14:paraId="5A936B8E" w14:textId="77777777" w:rsidR="001C7E37" w:rsidRPr="00AC57EA" w:rsidRDefault="001C7E37" w:rsidP="001C7E37">
      <w:pPr>
        <w:spacing w:line="240" w:lineRule="auto"/>
        <w:rPr>
          <w:bCs/>
          <w:i/>
          <w:sz w:val="20"/>
          <w:szCs w:val="20"/>
          <w:lang w:val="en-US"/>
        </w:rPr>
      </w:pPr>
    </w:p>
    <w:p w14:paraId="649211E2" w14:textId="02D76DCC" w:rsidR="001C7E37" w:rsidRPr="00AC57EA" w:rsidRDefault="001C7E37" w:rsidP="00C607DD">
      <w:pPr>
        <w:pStyle w:val="Ttulo2"/>
        <w:tabs>
          <w:tab w:val="left" w:pos="1843"/>
        </w:tabs>
        <w:spacing w:before="0" w:line="240" w:lineRule="auto"/>
        <w:ind w:left="1134"/>
        <w:rPr>
          <w:rFonts w:ascii="Verdana" w:hAnsi="Verdana"/>
          <w:b w:val="0"/>
          <w:i/>
          <w:color w:val="auto"/>
          <w:sz w:val="20"/>
          <w:szCs w:val="20"/>
          <w:lang w:val="en-US"/>
        </w:rPr>
      </w:pPr>
      <w:bookmarkStart w:id="82" w:name="_Toc375517117"/>
      <w:bookmarkStart w:id="83" w:name="_Toc459158105"/>
      <w:bookmarkStart w:id="84" w:name="_Toc470180049"/>
      <w:bookmarkStart w:id="85" w:name="_Toc514172612"/>
      <w:r w:rsidRPr="00AC57EA">
        <w:rPr>
          <w:rFonts w:ascii="Verdana" w:hAnsi="Verdana"/>
          <w:b w:val="0"/>
          <w:i/>
          <w:color w:val="auto"/>
          <w:sz w:val="20"/>
          <w:szCs w:val="20"/>
          <w:lang w:val="en-US"/>
        </w:rPr>
        <w:t xml:space="preserve">B.1 </w:t>
      </w:r>
      <w:r w:rsidRPr="00AC57EA">
        <w:rPr>
          <w:rFonts w:ascii="Verdana" w:hAnsi="Verdana"/>
          <w:b w:val="0"/>
          <w:i/>
          <w:color w:val="auto"/>
          <w:sz w:val="20"/>
          <w:szCs w:val="20"/>
          <w:lang w:val="en-US"/>
        </w:rPr>
        <w:tab/>
      </w:r>
      <w:r w:rsidR="00A55E54" w:rsidRPr="00AC57EA">
        <w:rPr>
          <w:rFonts w:ascii="Verdana" w:hAnsi="Verdana"/>
          <w:b w:val="0"/>
          <w:i/>
          <w:color w:val="auto"/>
          <w:sz w:val="20"/>
          <w:szCs w:val="20"/>
          <w:lang w:val="en-US"/>
        </w:rPr>
        <w:t>Admission of the documentary evidence</w:t>
      </w:r>
      <w:bookmarkEnd w:id="82"/>
      <w:bookmarkEnd w:id="83"/>
      <w:bookmarkEnd w:id="84"/>
      <w:bookmarkEnd w:id="85"/>
    </w:p>
    <w:p w14:paraId="52C4E923" w14:textId="77777777" w:rsidR="001C7E37" w:rsidRPr="00AC57EA" w:rsidRDefault="001C7E37" w:rsidP="001C7E37">
      <w:pPr>
        <w:widowControl/>
        <w:tabs>
          <w:tab w:val="left" w:pos="567"/>
        </w:tabs>
        <w:autoSpaceDE w:val="0"/>
        <w:autoSpaceDN w:val="0"/>
        <w:adjustRightInd/>
        <w:spacing w:line="240" w:lineRule="auto"/>
        <w:textAlignment w:val="auto"/>
        <w:rPr>
          <w:rFonts w:cs="Verdana"/>
          <w:sz w:val="20"/>
          <w:szCs w:val="20"/>
          <w:lang w:val="en-US" w:eastAsia="en-US"/>
        </w:rPr>
      </w:pPr>
    </w:p>
    <w:p w14:paraId="6730BBFA" w14:textId="73D8EDB1" w:rsidR="001C7E37" w:rsidRPr="00AC57EA" w:rsidRDefault="00A55E54" w:rsidP="00C8070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In this case, as in others, the Court admits the probative value of those document submitted by the parties and by </w:t>
      </w:r>
      <w:r w:rsidR="00B7258C" w:rsidRPr="00AC57EA">
        <w:rPr>
          <w:sz w:val="20"/>
          <w:szCs w:val="20"/>
          <w:lang w:val="en-US"/>
        </w:rPr>
        <w:t>the Commission</w:t>
      </w:r>
      <w:r w:rsidR="001C7E37" w:rsidRPr="00AC57EA">
        <w:rPr>
          <w:sz w:val="20"/>
          <w:szCs w:val="20"/>
          <w:lang w:val="en-US"/>
        </w:rPr>
        <w:t xml:space="preserve"> </w:t>
      </w:r>
      <w:r w:rsidRPr="00AC57EA">
        <w:rPr>
          <w:sz w:val="20"/>
          <w:szCs w:val="20"/>
          <w:lang w:val="en-US"/>
        </w:rPr>
        <w:t>at the proper procedural moment, that were not contested or refuted, and the authenticity of which was not questioned.</w:t>
      </w:r>
      <w:r w:rsidR="001C7E37" w:rsidRPr="00AC57EA">
        <w:rPr>
          <w:sz w:val="20"/>
          <w:szCs w:val="20"/>
          <w:vertAlign w:val="superscript"/>
          <w:lang w:val="en-US"/>
        </w:rPr>
        <w:footnoteReference w:id="39"/>
      </w:r>
    </w:p>
    <w:p w14:paraId="53A864F9" w14:textId="77777777" w:rsidR="001C7E37" w:rsidRPr="00AC57EA" w:rsidRDefault="001C7E37" w:rsidP="001C7E37">
      <w:pPr>
        <w:widowControl/>
        <w:tabs>
          <w:tab w:val="left" w:pos="720"/>
        </w:tabs>
        <w:adjustRightInd/>
        <w:spacing w:line="240" w:lineRule="auto"/>
        <w:ind w:right="-90"/>
        <w:textAlignment w:val="auto"/>
        <w:rPr>
          <w:sz w:val="20"/>
          <w:szCs w:val="20"/>
          <w:lang w:val="en-US"/>
        </w:rPr>
      </w:pPr>
    </w:p>
    <w:p w14:paraId="7E3687A9" w14:textId="41E5D4F6" w:rsidR="0098291D" w:rsidRPr="00AC57EA" w:rsidRDefault="00EC52D7" w:rsidP="0098291D">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The State</w:t>
      </w:r>
      <w:r w:rsidR="0098291D" w:rsidRPr="00AC57EA">
        <w:rPr>
          <w:sz w:val="20"/>
          <w:szCs w:val="20"/>
          <w:lang w:val="en-US"/>
        </w:rPr>
        <w:t xml:space="preserve"> al</w:t>
      </w:r>
      <w:r w:rsidR="00A55E54" w:rsidRPr="00AC57EA">
        <w:rPr>
          <w:sz w:val="20"/>
          <w:szCs w:val="20"/>
          <w:lang w:val="en-US"/>
        </w:rPr>
        <w:t xml:space="preserve">leged that certain evidence presented with the </w:t>
      </w:r>
      <w:r w:rsidR="00171E27" w:rsidRPr="00AC57EA">
        <w:rPr>
          <w:sz w:val="20"/>
          <w:szCs w:val="20"/>
          <w:lang w:val="en-US"/>
        </w:rPr>
        <w:t>representatives</w:t>
      </w:r>
      <w:r w:rsidR="00A55E54" w:rsidRPr="00AC57EA">
        <w:rPr>
          <w:sz w:val="20"/>
          <w:szCs w:val="20"/>
          <w:lang w:val="en-US"/>
        </w:rPr>
        <w:t xml:space="preserve">’ brief </w:t>
      </w:r>
      <w:r w:rsidR="00A60DB1" w:rsidRPr="00AC57EA">
        <w:rPr>
          <w:sz w:val="20"/>
          <w:szCs w:val="20"/>
          <w:lang w:val="en-US"/>
        </w:rPr>
        <w:t>was</w:t>
      </w:r>
      <w:r w:rsidR="00A55E54" w:rsidRPr="00AC57EA">
        <w:rPr>
          <w:sz w:val="20"/>
          <w:szCs w:val="20"/>
          <w:lang w:val="en-US"/>
        </w:rPr>
        <w:t xml:space="preserve"> inadmissible because it was time-barred. According to </w:t>
      </w:r>
      <w:r w:rsidR="00B7258C" w:rsidRPr="00AC57EA">
        <w:rPr>
          <w:sz w:val="20"/>
          <w:szCs w:val="20"/>
          <w:lang w:val="en-US" w:eastAsia="es-ES"/>
        </w:rPr>
        <w:t>Article</w:t>
      </w:r>
      <w:r w:rsidR="0098291D" w:rsidRPr="00AC57EA">
        <w:rPr>
          <w:sz w:val="20"/>
          <w:szCs w:val="20"/>
          <w:lang w:val="en-US" w:eastAsia="es-ES"/>
        </w:rPr>
        <w:t xml:space="preserve"> 57</w:t>
      </w:r>
      <w:r w:rsidR="00A55E54" w:rsidRPr="00AC57EA">
        <w:rPr>
          <w:sz w:val="20"/>
          <w:szCs w:val="20"/>
          <w:lang w:val="en-US" w:eastAsia="es-ES"/>
        </w:rPr>
        <w:t>(</w:t>
      </w:r>
      <w:r w:rsidR="0098291D" w:rsidRPr="00AC57EA">
        <w:rPr>
          <w:sz w:val="20"/>
          <w:szCs w:val="20"/>
          <w:lang w:val="en-US" w:eastAsia="es-ES"/>
        </w:rPr>
        <w:t>2</w:t>
      </w:r>
      <w:r w:rsidR="00A55E54" w:rsidRPr="00AC57EA">
        <w:rPr>
          <w:sz w:val="20"/>
          <w:szCs w:val="20"/>
          <w:lang w:val="en-US" w:eastAsia="es-ES"/>
        </w:rPr>
        <w:t>)</w:t>
      </w:r>
      <w:r w:rsidR="00B7258C" w:rsidRPr="00AC57EA">
        <w:rPr>
          <w:sz w:val="20"/>
          <w:szCs w:val="20"/>
          <w:lang w:val="en-US" w:eastAsia="es-ES"/>
        </w:rPr>
        <w:t xml:space="preserve"> of the Rules of Procedure</w:t>
      </w:r>
      <w:r w:rsidR="0098291D" w:rsidRPr="00AC57EA">
        <w:rPr>
          <w:sz w:val="20"/>
          <w:szCs w:val="20"/>
          <w:lang w:val="en-US" w:eastAsia="es-ES"/>
        </w:rPr>
        <w:t>,</w:t>
      </w:r>
      <w:r w:rsidR="000A606B" w:rsidRPr="00AC57EA">
        <w:rPr>
          <w:sz w:val="20"/>
          <w:szCs w:val="20"/>
          <w:lang w:val="en-US" w:eastAsia="es-ES"/>
        </w:rPr>
        <w:t xml:space="preserve"> </w:t>
      </w:r>
      <w:r w:rsidR="00A55E54" w:rsidRPr="00AC57EA">
        <w:rPr>
          <w:sz w:val="20"/>
          <w:szCs w:val="20"/>
          <w:lang w:val="en-US" w:eastAsia="es-ES"/>
        </w:rPr>
        <w:t xml:space="preserve">the procedural opportunity for the presentation of documentary evidence is, in general, together with the briefs submitting the case, with pleadings and motions, or answering the submission of the case, as applicable. In this regard the Court notes that the evidence contested by the State was duly offered at the proper procedural moment and submitted to the Court together with the </w:t>
      </w:r>
      <w:r w:rsidR="00A55E54" w:rsidRPr="00AC57EA">
        <w:rPr>
          <w:sz w:val="20"/>
          <w:szCs w:val="20"/>
          <w:lang w:val="en-US"/>
        </w:rPr>
        <w:t>b</w:t>
      </w:r>
      <w:r w:rsidR="00171E27" w:rsidRPr="00AC57EA">
        <w:rPr>
          <w:sz w:val="20"/>
          <w:szCs w:val="20"/>
          <w:lang w:val="en-US"/>
        </w:rPr>
        <w:t>rief with pleadings, motions and evidence</w:t>
      </w:r>
      <w:r w:rsidR="0098291D" w:rsidRPr="00AC57EA">
        <w:rPr>
          <w:sz w:val="20"/>
          <w:szCs w:val="20"/>
          <w:lang w:val="en-US"/>
        </w:rPr>
        <w:t xml:space="preserve">. </w:t>
      </w:r>
      <w:r w:rsidR="00B7258C" w:rsidRPr="00AC57EA">
        <w:rPr>
          <w:sz w:val="20"/>
          <w:szCs w:val="20"/>
          <w:lang w:val="en-US"/>
        </w:rPr>
        <w:t>The Court</w:t>
      </w:r>
      <w:r w:rsidR="0098291D" w:rsidRPr="00AC57EA">
        <w:rPr>
          <w:sz w:val="20"/>
          <w:szCs w:val="20"/>
          <w:lang w:val="en-US"/>
        </w:rPr>
        <w:t xml:space="preserve"> reitera</w:t>
      </w:r>
      <w:r w:rsidR="00A55E54" w:rsidRPr="00AC57EA">
        <w:rPr>
          <w:sz w:val="20"/>
          <w:szCs w:val="20"/>
          <w:lang w:val="en-US"/>
        </w:rPr>
        <w:t xml:space="preserve">tes that the fact that it asked the representatives to rectify certain errors in the annexes, specifically in those pages that were partially illegible or missing, does not make the evidence inadmissible or time-barred </w:t>
      </w:r>
      <w:r w:rsidR="00A173EC" w:rsidRPr="00AC57EA">
        <w:rPr>
          <w:i/>
          <w:sz w:val="20"/>
          <w:szCs w:val="20"/>
          <w:lang w:val="en-US"/>
        </w:rPr>
        <w:t>per se</w:t>
      </w:r>
      <w:r w:rsidR="0098291D" w:rsidRPr="00AC57EA">
        <w:rPr>
          <w:sz w:val="20"/>
          <w:szCs w:val="20"/>
          <w:lang w:val="en-US"/>
        </w:rPr>
        <w:t xml:space="preserve">, </w:t>
      </w:r>
      <w:r w:rsidR="00A55E54" w:rsidRPr="00AC57EA">
        <w:rPr>
          <w:sz w:val="20"/>
          <w:szCs w:val="20"/>
          <w:lang w:val="en-US"/>
        </w:rPr>
        <w:t>because the Court has the authority to obtain the evidence that will be useful for deciding the case and, if necessary, to request such rectification.</w:t>
      </w:r>
    </w:p>
    <w:p w14:paraId="0CFF4B1E" w14:textId="77777777" w:rsidR="0098291D" w:rsidRPr="00AC57EA" w:rsidRDefault="0098291D" w:rsidP="001C7E37">
      <w:pPr>
        <w:autoSpaceDE w:val="0"/>
        <w:autoSpaceDN w:val="0"/>
        <w:spacing w:line="240" w:lineRule="auto"/>
        <w:rPr>
          <w:sz w:val="20"/>
          <w:szCs w:val="20"/>
          <w:lang w:val="en-US"/>
        </w:rPr>
      </w:pPr>
    </w:p>
    <w:p w14:paraId="3A4F4BC8" w14:textId="61207815" w:rsidR="00A55E54" w:rsidRPr="00AC57EA" w:rsidRDefault="00171E27" w:rsidP="00E659A5">
      <w:pPr>
        <w:widowControl/>
        <w:numPr>
          <w:ilvl w:val="0"/>
          <w:numId w:val="2"/>
        </w:numPr>
        <w:tabs>
          <w:tab w:val="left" w:pos="567"/>
          <w:tab w:val="num" w:pos="12305"/>
        </w:tabs>
        <w:adjustRightInd/>
        <w:spacing w:line="240" w:lineRule="auto"/>
        <w:ind w:left="0" w:right="-90" w:firstLine="0"/>
        <w:textAlignment w:val="auto"/>
        <w:rPr>
          <w:sz w:val="20"/>
          <w:szCs w:val="20"/>
          <w:lang w:val="en-US"/>
        </w:rPr>
      </w:pPr>
      <w:r w:rsidRPr="00AC57EA">
        <w:rPr>
          <w:sz w:val="20"/>
          <w:szCs w:val="20"/>
          <w:lang w:val="en-US"/>
        </w:rPr>
        <w:t>The representatives</w:t>
      </w:r>
      <w:r w:rsidR="00E659A5" w:rsidRPr="00AC57EA">
        <w:rPr>
          <w:sz w:val="20"/>
          <w:szCs w:val="20"/>
          <w:lang w:val="en-US"/>
        </w:rPr>
        <w:t xml:space="preserve"> </w:t>
      </w:r>
      <w:r w:rsidR="00A55E54" w:rsidRPr="00AC57EA">
        <w:rPr>
          <w:sz w:val="20"/>
          <w:szCs w:val="20"/>
          <w:lang w:val="en-US"/>
        </w:rPr>
        <w:t>contested several items of evidence presented by the State with its</w:t>
      </w:r>
      <w:r w:rsidR="00E659A5" w:rsidRPr="00AC57EA">
        <w:rPr>
          <w:sz w:val="20"/>
          <w:szCs w:val="20"/>
          <w:lang w:val="en-US"/>
        </w:rPr>
        <w:t xml:space="preserve"> </w:t>
      </w:r>
      <w:r w:rsidR="00F75187" w:rsidRPr="00AC57EA">
        <w:rPr>
          <w:sz w:val="20"/>
          <w:szCs w:val="20"/>
          <w:lang w:val="en-US"/>
        </w:rPr>
        <w:t>answering brief</w:t>
      </w:r>
      <w:r w:rsidR="00E659A5" w:rsidRPr="00AC57EA">
        <w:rPr>
          <w:sz w:val="20"/>
          <w:szCs w:val="20"/>
          <w:lang w:val="en-US"/>
        </w:rPr>
        <w:t>. Re</w:t>
      </w:r>
      <w:r w:rsidR="00A55E54" w:rsidRPr="00AC57EA">
        <w:rPr>
          <w:sz w:val="20"/>
          <w:szCs w:val="20"/>
          <w:lang w:val="en-US"/>
        </w:rPr>
        <w:t>garding a series of annexes, they indicated that these were incomplete. In the case of other annexes, they indicated that the</w:t>
      </w:r>
      <w:r w:rsidR="00A60DB1" w:rsidRPr="00AC57EA">
        <w:rPr>
          <w:sz w:val="20"/>
          <w:szCs w:val="20"/>
          <w:lang w:val="en-US"/>
        </w:rPr>
        <w:t>se</w:t>
      </w:r>
      <w:r w:rsidR="00A55E54" w:rsidRPr="00AC57EA">
        <w:rPr>
          <w:sz w:val="20"/>
          <w:szCs w:val="20"/>
          <w:lang w:val="en-US"/>
        </w:rPr>
        <w:t xml:space="preserve"> did not prove what they were intended to prove or, as in the case of the Constitution provided, that the document was out of date, because it did not contain certain amendments. In this regard, the Court considers that the issues raised refer to the probative value of the evidence and not to its admissibility.</w:t>
      </w:r>
    </w:p>
    <w:p w14:paraId="24D31C4E" w14:textId="1361E0A9" w:rsidR="0093445D" w:rsidRPr="00AC57EA" w:rsidRDefault="00A55E54" w:rsidP="00A55E54">
      <w:pPr>
        <w:tabs>
          <w:tab w:val="left" w:pos="3869"/>
        </w:tabs>
        <w:autoSpaceDE w:val="0"/>
        <w:autoSpaceDN w:val="0"/>
        <w:spacing w:line="240" w:lineRule="auto"/>
        <w:rPr>
          <w:sz w:val="20"/>
          <w:szCs w:val="20"/>
          <w:lang w:val="en-US"/>
        </w:rPr>
      </w:pPr>
      <w:r w:rsidRPr="00AC57EA">
        <w:rPr>
          <w:sz w:val="20"/>
          <w:szCs w:val="20"/>
          <w:lang w:val="en-US"/>
        </w:rPr>
        <w:tab/>
      </w:r>
    </w:p>
    <w:p w14:paraId="51F191C2" w14:textId="0DE6C597" w:rsidR="001C7E37" w:rsidRPr="00AC57EA" w:rsidRDefault="00A55E54" w:rsidP="00F4487F">
      <w:pPr>
        <w:widowControl/>
        <w:numPr>
          <w:ilvl w:val="0"/>
          <w:numId w:val="2"/>
        </w:numPr>
        <w:tabs>
          <w:tab w:val="left" w:pos="567"/>
          <w:tab w:val="num" w:pos="12305"/>
        </w:tabs>
        <w:adjustRightInd/>
        <w:spacing w:line="240" w:lineRule="auto"/>
        <w:ind w:left="0" w:right="-90" w:firstLine="0"/>
        <w:textAlignment w:val="auto"/>
        <w:rPr>
          <w:sz w:val="20"/>
          <w:szCs w:val="20"/>
          <w:lang w:val="en-US"/>
        </w:rPr>
      </w:pPr>
      <w:r w:rsidRPr="00AC57EA">
        <w:rPr>
          <w:sz w:val="20"/>
          <w:szCs w:val="20"/>
          <w:lang w:val="en-US"/>
        </w:rPr>
        <w:t>Pursuant to</w:t>
      </w:r>
      <w:r w:rsidR="0098291D" w:rsidRPr="00AC57EA">
        <w:rPr>
          <w:sz w:val="20"/>
          <w:szCs w:val="20"/>
          <w:lang w:val="en-US"/>
        </w:rPr>
        <w:t xml:space="preserve"> </w:t>
      </w:r>
      <w:r w:rsidR="00B7258C" w:rsidRPr="00AC57EA">
        <w:rPr>
          <w:sz w:val="20"/>
          <w:szCs w:val="20"/>
          <w:lang w:val="en-US"/>
        </w:rPr>
        <w:t>Article</w:t>
      </w:r>
      <w:r w:rsidR="0098291D" w:rsidRPr="00AC57EA">
        <w:rPr>
          <w:sz w:val="20"/>
          <w:szCs w:val="20"/>
          <w:lang w:val="en-US"/>
        </w:rPr>
        <w:t xml:space="preserve"> 58</w:t>
      </w:r>
      <w:r w:rsidRPr="00AC57EA">
        <w:rPr>
          <w:sz w:val="20"/>
          <w:szCs w:val="20"/>
          <w:lang w:val="en-US"/>
        </w:rPr>
        <w:t>(</w:t>
      </w:r>
      <w:r w:rsidR="0098291D" w:rsidRPr="00AC57EA">
        <w:rPr>
          <w:sz w:val="20"/>
          <w:szCs w:val="20"/>
          <w:lang w:val="en-US"/>
        </w:rPr>
        <w:t>b</w:t>
      </w:r>
      <w:r w:rsidRPr="00AC57EA">
        <w:rPr>
          <w:sz w:val="20"/>
          <w:szCs w:val="20"/>
          <w:lang w:val="en-US"/>
        </w:rPr>
        <w:t xml:space="preserve">) of its Rules of Procedure, the Court finds it appropriate to admit the documents provided by the State that were requested by the Court’s judges or its President as helpful evidence. However, the Court notes that </w:t>
      </w:r>
      <w:r w:rsidR="00171E27" w:rsidRPr="00AC57EA">
        <w:rPr>
          <w:sz w:val="20"/>
          <w:szCs w:val="20"/>
          <w:lang w:val="en-US"/>
        </w:rPr>
        <w:t>the representatives</w:t>
      </w:r>
      <w:r w:rsidR="00F4487F" w:rsidRPr="00AC57EA">
        <w:rPr>
          <w:sz w:val="20"/>
          <w:szCs w:val="20"/>
          <w:lang w:val="en-US"/>
        </w:rPr>
        <w:t xml:space="preserve"> </w:t>
      </w:r>
      <w:r w:rsidRPr="00AC57EA">
        <w:rPr>
          <w:sz w:val="20"/>
          <w:szCs w:val="20"/>
          <w:lang w:val="en-US"/>
        </w:rPr>
        <w:t xml:space="preserve">contested annexes </w:t>
      </w:r>
      <w:r w:rsidR="00F4487F" w:rsidRPr="00AC57EA">
        <w:rPr>
          <w:sz w:val="20"/>
          <w:szCs w:val="20"/>
          <w:lang w:val="en-US"/>
        </w:rPr>
        <w:t>9</w:t>
      </w:r>
      <w:r w:rsidR="006673EC" w:rsidRPr="00AC57EA">
        <w:rPr>
          <w:sz w:val="20"/>
          <w:szCs w:val="20"/>
          <w:lang w:val="en-US"/>
        </w:rPr>
        <w:t>.a</w:t>
      </w:r>
      <w:r w:rsidR="00171E27" w:rsidRPr="00AC57EA">
        <w:rPr>
          <w:sz w:val="20"/>
          <w:szCs w:val="20"/>
          <w:lang w:val="en-US"/>
        </w:rPr>
        <w:t xml:space="preserve"> and </w:t>
      </w:r>
      <w:r w:rsidR="006673EC" w:rsidRPr="00AC57EA">
        <w:rPr>
          <w:sz w:val="20"/>
          <w:szCs w:val="20"/>
          <w:lang w:val="en-US"/>
        </w:rPr>
        <w:t>9.b.6</w:t>
      </w:r>
      <w:r w:rsidR="00F4487F" w:rsidRPr="00AC57EA">
        <w:rPr>
          <w:sz w:val="20"/>
          <w:szCs w:val="20"/>
          <w:lang w:val="en-US"/>
        </w:rPr>
        <w:t xml:space="preserve"> </w:t>
      </w:r>
      <w:r w:rsidRPr="00AC57EA">
        <w:rPr>
          <w:sz w:val="20"/>
          <w:szCs w:val="20"/>
          <w:lang w:val="en-US"/>
        </w:rPr>
        <w:t>submitted by</w:t>
      </w:r>
      <w:r w:rsidR="00E53117" w:rsidRPr="00AC57EA">
        <w:rPr>
          <w:sz w:val="20"/>
          <w:szCs w:val="20"/>
          <w:lang w:val="en-US"/>
        </w:rPr>
        <w:t xml:space="preserve"> </w:t>
      </w:r>
      <w:r w:rsidR="00EC52D7" w:rsidRPr="00AC57EA">
        <w:rPr>
          <w:sz w:val="20"/>
          <w:szCs w:val="20"/>
          <w:lang w:val="en-US"/>
        </w:rPr>
        <w:t>the State</w:t>
      </w:r>
      <w:r w:rsidRPr="00AC57EA">
        <w:rPr>
          <w:sz w:val="20"/>
          <w:szCs w:val="20"/>
          <w:lang w:val="en-US"/>
        </w:rPr>
        <w:t xml:space="preserve">, because they were not official documents. Since it is not possible to verify the authenticity of those documents, the Court declares that they are inadmissible. The </w:t>
      </w:r>
      <w:r w:rsidR="00171E27" w:rsidRPr="00AC57EA">
        <w:rPr>
          <w:sz w:val="20"/>
          <w:szCs w:val="20"/>
          <w:lang w:val="en-US"/>
        </w:rPr>
        <w:t>representatives</w:t>
      </w:r>
      <w:r w:rsidRPr="00AC57EA">
        <w:rPr>
          <w:sz w:val="20"/>
          <w:szCs w:val="20"/>
          <w:lang w:val="en-US"/>
        </w:rPr>
        <w:t xml:space="preserve"> also indicated that several of the documents concerning laws and protocols are subsequent to the facts of the case, and the Court will take this into account when evaluating this documentation</w:t>
      </w:r>
      <w:r w:rsidR="00F4487F" w:rsidRPr="00AC57EA">
        <w:rPr>
          <w:sz w:val="20"/>
          <w:szCs w:val="20"/>
          <w:lang w:val="en-US"/>
        </w:rPr>
        <w:t>.</w:t>
      </w:r>
    </w:p>
    <w:p w14:paraId="3B71ACDF" w14:textId="77777777" w:rsidR="001C7E37" w:rsidRPr="00AC57EA" w:rsidRDefault="001C7E37" w:rsidP="001C7E37">
      <w:pPr>
        <w:widowControl/>
        <w:tabs>
          <w:tab w:val="left" w:pos="567"/>
        </w:tabs>
        <w:adjustRightInd/>
        <w:spacing w:line="240" w:lineRule="auto"/>
        <w:ind w:right="-90"/>
        <w:textAlignment w:val="auto"/>
        <w:rPr>
          <w:sz w:val="20"/>
          <w:szCs w:val="20"/>
          <w:lang w:val="en-US"/>
        </w:rPr>
      </w:pPr>
    </w:p>
    <w:p w14:paraId="1301C859" w14:textId="699F7906" w:rsidR="001C7E37" w:rsidRPr="00AC57EA" w:rsidRDefault="001C7E37" w:rsidP="00C607DD">
      <w:pPr>
        <w:pStyle w:val="Ttulo2"/>
        <w:tabs>
          <w:tab w:val="left" w:pos="1843"/>
        </w:tabs>
        <w:spacing w:before="0" w:line="240" w:lineRule="auto"/>
        <w:ind w:left="1134"/>
        <w:rPr>
          <w:rFonts w:ascii="Verdana" w:hAnsi="Verdana"/>
          <w:b w:val="0"/>
          <w:i/>
          <w:color w:val="auto"/>
          <w:sz w:val="20"/>
          <w:szCs w:val="20"/>
          <w:lang w:val="en-US"/>
        </w:rPr>
      </w:pPr>
      <w:bookmarkStart w:id="86" w:name="_Toc375517118"/>
      <w:bookmarkStart w:id="87" w:name="_Toc459158106"/>
      <w:bookmarkStart w:id="88" w:name="_Toc470180050"/>
      <w:bookmarkStart w:id="89" w:name="_Toc514172613"/>
      <w:r w:rsidRPr="00AC57EA">
        <w:rPr>
          <w:rFonts w:ascii="Verdana" w:hAnsi="Verdana"/>
          <w:b w:val="0"/>
          <w:i/>
          <w:color w:val="auto"/>
          <w:sz w:val="20"/>
          <w:szCs w:val="20"/>
          <w:lang w:val="en-US"/>
        </w:rPr>
        <w:t xml:space="preserve">B.2 </w:t>
      </w:r>
      <w:r w:rsidRPr="00AC57EA">
        <w:rPr>
          <w:rFonts w:ascii="Verdana" w:hAnsi="Verdana"/>
          <w:b w:val="0"/>
          <w:i/>
          <w:color w:val="auto"/>
          <w:sz w:val="20"/>
          <w:szCs w:val="20"/>
          <w:lang w:val="en-US"/>
        </w:rPr>
        <w:tab/>
      </w:r>
      <w:r w:rsidR="00A55E54" w:rsidRPr="00AC57EA">
        <w:rPr>
          <w:rFonts w:ascii="Verdana" w:hAnsi="Verdana"/>
          <w:b w:val="0"/>
          <w:i/>
          <w:color w:val="auto"/>
          <w:sz w:val="20"/>
          <w:szCs w:val="20"/>
          <w:lang w:val="en-US"/>
        </w:rPr>
        <w:t>Admission of the statements and expert opinions</w:t>
      </w:r>
      <w:bookmarkEnd w:id="86"/>
      <w:bookmarkEnd w:id="87"/>
      <w:bookmarkEnd w:id="88"/>
      <w:bookmarkEnd w:id="89"/>
    </w:p>
    <w:p w14:paraId="466FAFEF" w14:textId="77777777" w:rsidR="001C7E37" w:rsidRPr="00AC57EA" w:rsidRDefault="001C7E37" w:rsidP="001C7E37">
      <w:pPr>
        <w:widowControl/>
        <w:tabs>
          <w:tab w:val="left" w:pos="720"/>
        </w:tabs>
        <w:adjustRightInd/>
        <w:spacing w:line="240" w:lineRule="auto"/>
        <w:ind w:right="-90"/>
        <w:textAlignment w:val="auto"/>
        <w:rPr>
          <w:sz w:val="20"/>
          <w:szCs w:val="20"/>
          <w:lang w:val="en-US"/>
        </w:rPr>
      </w:pPr>
    </w:p>
    <w:p w14:paraId="45BD471B" w14:textId="7B469588" w:rsidR="001C7E37" w:rsidRPr="00AC57EA" w:rsidRDefault="00B7258C" w:rsidP="00C8070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The Court</w:t>
      </w:r>
      <w:r w:rsidR="00A55E54" w:rsidRPr="00AC57EA">
        <w:rPr>
          <w:sz w:val="20"/>
          <w:szCs w:val="20"/>
          <w:lang w:val="en-US"/>
        </w:rPr>
        <w:t xml:space="preserve"> finds it pertinent to admit the statements and the expert opinions provided during the public </w:t>
      </w:r>
      <w:r w:rsidR="00517CF7" w:rsidRPr="00AC57EA">
        <w:rPr>
          <w:sz w:val="20"/>
          <w:szCs w:val="20"/>
          <w:lang w:val="en-US"/>
        </w:rPr>
        <w:t>hearing</w:t>
      </w:r>
      <w:r w:rsidR="00171E27" w:rsidRPr="00AC57EA">
        <w:rPr>
          <w:sz w:val="20"/>
          <w:szCs w:val="20"/>
          <w:lang w:val="en-US"/>
        </w:rPr>
        <w:t xml:space="preserve"> and </w:t>
      </w:r>
      <w:r w:rsidR="00A55E54" w:rsidRPr="00AC57EA">
        <w:rPr>
          <w:sz w:val="20"/>
          <w:szCs w:val="20"/>
          <w:lang w:val="en-US"/>
        </w:rPr>
        <w:t>by affidavit, insofar as they are in keeping with the purpose defined by the President in the order requiring them,</w:t>
      </w:r>
      <w:r w:rsidR="001C7E37" w:rsidRPr="00AC57EA">
        <w:rPr>
          <w:sz w:val="20"/>
          <w:szCs w:val="20"/>
          <w:vertAlign w:val="superscript"/>
          <w:lang w:val="en-US"/>
        </w:rPr>
        <w:footnoteReference w:id="40"/>
      </w:r>
      <w:r w:rsidR="00171E27" w:rsidRPr="00AC57EA">
        <w:rPr>
          <w:sz w:val="20"/>
          <w:szCs w:val="20"/>
          <w:lang w:val="en-US"/>
        </w:rPr>
        <w:t xml:space="preserve"> and </w:t>
      </w:r>
      <w:r w:rsidR="00A55E54" w:rsidRPr="00AC57EA">
        <w:rPr>
          <w:sz w:val="20"/>
          <w:szCs w:val="20"/>
          <w:lang w:val="en-US"/>
        </w:rPr>
        <w:t>the purpose of this case.</w:t>
      </w:r>
    </w:p>
    <w:p w14:paraId="095DA423" w14:textId="77777777" w:rsidR="001C7E37" w:rsidRPr="00AC57EA" w:rsidRDefault="001C7E37" w:rsidP="001C7E37">
      <w:pPr>
        <w:pStyle w:val="Prrafodelista"/>
        <w:spacing w:line="240" w:lineRule="auto"/>
        <w:ind w:left="0"/>
        <w:rPr>
          <w:rFonts w:cs="Verdana"/>
          <w:sz w:val="20"/>
          <w:szCs w:val="20"/>
          <w:lang w:val="en-US" w:eastAsia="es-MX"/>
        </w:rPr>
      </w:pPr>
    </w:p>
    <w:p w14:paraId="686E9792" w14:textId="4C638DEC" w:rsidR="001C7E37" w:rsidRPr="00AC57EA" w:rsidRDefault="001C7E37" w:rsidP="001C7E37">
      <w:pPr>
        <w:keepNext/>
        <w:keepLines/>
        <w:tabs>
          <w:tab w:val="left" w:pos="1134"/>
        </w:tabs>
        <w:spacing w:line="240" w:lineRule="auto"/>
        <w:ind w:left="567" w:firstLine="1"/>
        <w:outlineLvl w:val="1"/>
        <w:rPr>
          <w:rFonts w:eastAsia="MS Mincho"/>
          <w:b/>
          <w:bCs/>
          <w:i/>
          <w:sz w:val="20"/>
          <w:szCs w:val="20"/>
          <w:lang w:val="en-US"/>
        </w:rPr>
      </w:pPr>
      <w:bookmarkStart w:id="90" w:name="_Toc405857807"/>
      <w:bookmarkStart w:id="91" w:name="_Toc423107375"/>
      <w:bookmarkStart w:id="92" w:name="_Toc438113881"/>
      <w:bookmarkStart w:id="93" w:name="_Toc459158107"/>
      <w:bookmarkStart w:id="94" w:name="_Toc470180051"/>
      <w:bookmarkStart w:id="95" w:name="_Toc514172614"/>
      <w:r w:rsidRPr="00AC57EA">
        <w:rPr>
          <w:rFonts w:eastAsia="MS Mincho"/>
          <w:b/>
          <w:bCs/>
          <w:i/>
          <w:sz w:val="20"/>
          <w:szCs w:val="20"/>
          <w:lang w:val="en-US"/>
        </w:rPr>
        <w:lastRenderedPageBreak/>
        <w:t xml:space="preserve">C. </w:t>
      </w:r>
      <w:r w:rsidRPr="00AC57EA">
        <w:rPr>
          <w:rFonts w:eastAsia="MS Mincho"/>
          <w:b/>
          <w:bCs/>
          <w:i/>
          <w:sz w:val="20"/>
          <w:szCs w:val="20"/>
          <w:lang w:val="en-US"/>
        </w:rPr>
        <w:tab/>
      </w:r>
      <w:r w:rsidR="00A55E54" w:rsidRPr="00AC57EA">
        <w:rPr>
          <w:rFonts w:eastAsia="MS Mincho"/>
          <w:b/>
          <w:bCs/>
          <w:i/>
          <w:sz w:val="20"/>
          <w:szCs w:val="20"/>
          <w:lang w:val="en-US"/>
        </w:rPr>
        <w:t>Assessment of the evidence</w:t>
      </w:r>
      <w:bookmarkEnd w:id="90"/>
      <w:bookmarkEnd w:id="91"/>
      <w:bookmarkEnd w:id="92"/>
      <w:bookmarkEnd w:id="93"/>
      <w:bookmarkEnd w:id="94"/>
      <w:bookmarkEnd w:id="95"/>
    </w:p>
    <w:p w14:paraId="75B9B977" w14:textId="77777777" w:rsidR="001C7E37" w:rsidRPr="00AC57EA" w:rsidRDefault="001C7E37" w:rsidP="001C7E37">
      <w:pPr>
        <w:spacing w:line="240" w:lineRule="auto"/>
        <w:rPr>
          <w:sz w:val="20"/>
          <w:szCs w:val="20"/>
          <w:lang w:val="en-US" w:eastAsia="es-MX"/>
        </w:rPr>
      </w:pPr>
      <w:bookmarkStart w:id="96" w:name="_Ref402038868"/>
    </w:p>
    <w:p w14:paraId="710D0CFA" w14:textId="0B014C9E" w:rsidR="001C7E37" w:rsidRPr="00AC57EA" w:rsidRDefault="00A55E54" w:rsidP="00A55E54">
      <w:pPr>
        <w:numPr>
          <w:ilvl w:val="0"/>
          <w:numId w:val="2"/>
        </w:numPr>
        <w:tabs>
          <w:tab w:val="left" w:pos="567"/>
          <w:tab w:val="num" w:pos="12305"/>
        </w:tabs>
        <w:spacing w:line="240" w:lineRule="auto"/>
        <w:ind w:left="0" w:firstLine="0"/>
        <w:rPr>
          <w:rFonts w:cs="Verdana"/>
          <w:sz w:val="20"/>
          <w:szCs w:val="20"/>
          <w:lang w:val="en-US" w:eastAsia="es-MX"/>
        </w:rPr>
      </w:pPr>
      <w:r w:rsidRPr="00AC57EA">
        <w:rPr>
          <w:rFonts w:cs="Verdana"/>
          <w:sz w:val="20"/>
          <w:szCs w:val="20"/>
          <w:lang w:val="en-US" w:eastAsia="es-MX"/>
        </w:rPr>
        <w:t>Based on its consistent case law on evidence a</w:t>
      </w:r>
      <w:r w:rsidR="00A60DB1" w:rsidRPr="00AC57EA">
        <w:rPr>
          <w:rFonts w:cs="Verdana"/>
          <w:sz w:val="20"/>
          <w:szCs w:val="20"/>
          <w:lang w:val="en-US" w:eastAsia="es-MX"/>
        </w:rPr>
        <w:t>nd</w:t>
      </w:r>
      <w:r w:rsidRPr="00AC57EA">
        <w:rPr>
          <w:rFonts w:cs="Verdana"/>
          <w:sz w:val="20"/>
          <w:szCs w:val="20"/>
          <w:lang w:val="en-US" w:eastAsia="es-MX"/>
        </w:rPr>
        <w:t xml:space="preserve"> its assessment, the Court will examine and assess the documentary evidence provided by the parties and the Commission that </w:t>
      </w:r>
      <w:r w:rsidR="00A60DB1" w:rsidRPr="00AC57EA">
        <w:rPr>
          <w:rFonts w:cs="Verdana"/>
          <w:sz w:val="20"/>
          <w:szCs w:val="20"/>
          <w:lang w:val="en-US" w:eastAsia="es-MX"/>
        </w:rPr>
        <w:t>it</w:t>
      </w:r>
      <w:r w:rsidRPr="00AC57EA">
        <w:rPr>
          <w:rFonts w:cs="Verdana"/>
          <w:sz w:val="20"/>
          <w:szCs w:val="20"/>
          <w:lang w:val="en-US" w:eastAsia="es-MX"/>
        </w:rPr>
        <w:t xml:space="preserve"> has incorporated into the case file, </w:t>
      </w:r>
      <w:r w:rsidR="00A60DB1" w:rsidRPr="00AC57EA">
        <w:rPr>
          <w:rFonts w:cs="Verdana"/>
          <w:sz w:val="20"/>
          <w:szCs w:val="20"/>
          <w:lang w:val="en-US" w:eastAsia="es-MX"/>
        </w:rPr>
        <w:t>together with</w:t>
      </w:r>
      <w:r w:rsidRPr="00AC57EA">
        <w:rPr>
          <w:rFonts w:cs="Verdana"/>
          <w:sz w:val="20"/>
          <w:szCs w:val="20"/>
          <w:lang w:val="en-US" w:eastAsia="es-MX"/>
        </w:rPr>
        <w:t xml:space="preserve"> the statements and expert opinions</w:t>
      </w:r>
      <w:r w:rsidR="00A60DB1" w:rsidRPr="00AC57EA">
        <w:rPr>
          <w:rFonts w:cs="Verdana"/>
          <w:sz w:val="20"/>
          <w:szCs w:val="20"/>
          <w:lang w:val="en-US" w:eastAsia="es-MX"/>
        </w:rPr>
        <w:t>,</w:t>
      </w:r>
      <w:r w:rsidRPr="00AC57EA">
        <w:rPr>
          <w:rFonts w:cs="Verdana"/>
          <w:sz w:val="20"/>
          <w:szCs w:val="20"/>
          <w:lang w:val="en-US" w:eastAsia="es-MX"/>
        </w:rPr>
        <w:t xml:space="preserve"> when establishing the facts of the case and ruling on the merits. To this end, it will abide by the principle of sound judicial discretion, within the corresponding legal framework, taking into account the body of evidence and the arguments made in the case.</w:t>
      </w:r>
      <w:r w:rsidR="001C7E37" w:rsidRPr="00AC57EA">
        <w:rPr>
          <w:rFonts w:cs="Verdana"/>
          <w:sz w:val="20"/>
          <w:szCs w:val="20"/>
          <w:vertAlign w:val="superscript"/>
          <w:lang w:val="en-US" w:eastAsia="es-MX"/>
        </w:rPr>
        <w:footnoteReference w:id="41"/>
      </w:r>
      <w:bookmarkEnd w:id="96"/>
    </w:p>
    <w:p w14:paraId="1CB7D1AD" w14:textId="77777777" w:rsidR="001C7E37" w:rsidRPr="00AC57EA" w:rsidRDefault="001C7E37" w:rsidP="001C7E37">
      <w:pPr>
        <w:spacing w:line="240" w:lineRule="auto"/>
        <w:rPr>
          <w:sz w:val="20"/>
          <w:szCs w:val="20"/>
          <w:lang w:val="en-US" w:eastAsia="es-MX"/>
        </w:rPr>
      </w:pPr>
    </w:p>
    <w:p w14:paraId="52F3A141" w14:textId="1E635C6A" w:rsidR="001C7E37" w:rsidRPr="00AC57EA" w:rsidRDefault="00A55E54" w:rsidP="00C8070B">
      <w:pPr>
        <w:numPr>
          <w:ilvl w:val="0"/>
          <w:numId w:val="2"/>
        </w:numPr>
        <w:tabs>
          <w:tab w:val="left" w:pos="567"/>
          <w:tab w:val="num" w:pos="12305"/>
        </w:tabs>
        <w:spacing w:line="240" w:lineRule="auto"/>
        <w:ind w:left="0" w:firstLine="0"/>
        <w:rPr>
          <w:rFonts w:cs="Verdana"/>
          <w:sz w:val="20"/>
          <w:szCs w:val="20"/>
          <w:lang w:val="en-US" w:eastAsia="es-MX"/>
        </w:rPr>
      </w:pPr>
      <w:bookmarkStart w:id="97" w:name="_Ref402038884"/>
      <w:r w:rsidRPr="00AC57EA">
        <w:rPr>
          <w:rFonts w:cs="Verdana"/>
          <w:sz w:val="20"/>
          <w:szCs w:val="20"/>
          <w:lang w:val="en-US" w:eastAsia="es-MX"/>
        </w:rPr>
        <w:t xml:space="preserve">Lastly, pursuant to its case law, the Court recalls that the statements made by </w:t>
      </w:r>
      <w:r w:rsidR="00171E27" w:rsidRPr="00AC57EA">
        <w:rPr>
          <w:rFonts w:cs="Verdana"/>
          <w:sz w:val="20"/>
          <w:szCs w:val="20"/>
          <w:lang w:val="en-US" w:eastAsia="es-MX"/>
        </w:rPr>
        <w:t>the presumed victims</w:t>
      </w:r>
      <w:r w:rsidR="001C7E37" w:rsidRPr="00AC57EA">
        <w:rPr>
          <w:rFonts w:cs="Verdana"/>
          <w:sz w:val="20"/>
          <w:szCs w:val="20"/>
          <w:lang w:val="en-US" w:eastAsia="es-MX"/>
        </w:rPr>
        <w:t xml:space="preserve"> </w:t>
      </w:r>
      <w:r w:rsidRPr="00AC57EA">
        <w:rPr>
          <w:rFonts w:cs="Verdana"/>
          <w:sz w:val="20"/>
          <w:szCs w:val="20"/>
          <w:lang w:val="en-US" w:eastAsia="es-MX"/>
        </w:rPr>
        <w:t xml:space="preserve">cannot be assessed in isolation, but rather in the context of all the evidence in the proceedings, insofar as </w:t>
      </w:r>
      <w:r w:rsidR="00A60DB1" w:rsidRPr="00AC57EA">
        <w:rPr>
          <w:rFonts w:cs="Verdana"/>
          <w:sz w:val="20"/>
          <w:szCs w:val="20"/>
          <w:lang w:val="en-US" w:eastAsia="es-MX"/>
        </w:rPr>
        <w:t>they</w:t>
      </w:r>
      <w:r w:rsidRPr="00AC57EA">
        <w:rPr>
          <w:rFonts w:cs="Verdana"/>
          <w:sz w:val="20"/>
          <w:szCs w:val="20"/>
          <w:lang w:val="en-US" w:eastAsia="es-MX"/>
        </w:rPr>
        <w:t xml:space="preserve"> may provide further information on the presumed violations and their consequences.</w:t>
      </w:r>
      <w:r w:rsidR="001C7E37" w:rsidRPr="00AC57EA">
        <w:rPr>
          <w:rFonts w:cs="Verdana"/>
          <w:sz w:val="20"/>
          <w:szCs w:val="20"/>
          <w:vertAlign w:val="superscript"/>
          <w:lang w:val="en-US" w:eastAsia="es-MX"/>
        </w:rPr>
        <w:footnoteReference w:id="42"/>
      </w:r>
      <w:bookmarkEnd w:id="97"/>
    </w:p>
    <w:p w14:paraId="677E186C" w14:textId="77777777" w:rsidR="001C7E37" w:rsidRPr="00AC57EA" w:rsidRDefault="001C7E37" w:rsidP="001C7E37">
      <w:pPr>
        <w:tabs>
          <w:tab w:val="left" w:pos="567"/>
        </w:tabs>
        <w:spacing w:line="240" w:lineRule="auto"/>
        <w:rPr>
          <w:rFonts w:cs="Verdana"/>
          <w:sz w:val="20"/>
          <w:szCs w:val="20"/>
          <w:lang w:val="en-US" w:eastAsia="es-MX"/>
        </w:rPr>
      </w:pPr>
    </w:p>
    <w:p w14:paraId="6B7BD0F5" w14:textId="1A93AA51" w:rsidR="00B5625C" w:rsidRPr="00AC57EA" w:rsidRDefault="00B5625C" w:rsidP="00B5625C">
      <w:pPr>
        <w:keepNext/>
        <w:keepLines/>
        <w:tabs>
          <w:tab w:val="left" w:pos="851"/>
        </w:tabs>
        <w:spacing w:line="240" w:lineRule="auto"/>
        <w:jc w:val="center"/>
        <w:outlineLvl w:val="0"/>
        <w:rPr>
          <w:rFonts w:cs="Verdana"/>
          <w:b/>
          <w:bCs/>
          <w:caps/>
          <w:snapToGrid w:val="0"/>
          <w:sz w:val="20"/>
          <w:szCs w:val="20"/>
          <w:lang w:val="en-US"/>
        </w:rPr>
      </w:pPr>
      <w:bookmarkStart w:id="98" w:name="_Toc495658661"/>
      <w:bookmarkStart w:id="99" w:name="_Toc498013630"/>
      <w:bookmarkStart w:id="100" w:name="_Toc514172615"/>
      <w:bookmarkStart w:id="101" w:name="_Toc375517129"/>
      <w:bookmarkStart w:id="102" w:name="_Toc447893028"/>
      <w:bookmarkStart w:id="103" w:name="_Toc470180066"/>
      <w:bookmarkStart w:id="104" w:name="_Toc461305142"/>
      <w:bookmarkStart w:id="105" w:name="_Toc470180092"/>
      <w:bookmarkStart w:id="106" w:name="_Toc470180068"/>
      <w:r w:rsidRPr="00AC57EA">
        <w:rPr>
          <w:rFonts w:cs="Verdana"/>
          <w:b/>
          <w:bCs/>
          <w:caps/>
          <w:snapToGrid w:val="0"/>
          <w:sz w:val="20"/>
          <w:szCs w:val="20"/>
          <w:lang w:val="en-US"/>
        </w:rPr>
        <w:t>ViI</w:t>
      </w:r>
      <w:r w:rsidRPr="00AC57EA">
        <w:rPr>
          <w:rFonts w:cs="Verdana"/>
          <w:b/>
          <w:bCs/>
          <w:caps/>
          <w:snapToGrid w:val="0"/>
          <w:sz w:val="20"/>
          <w:szCs w:val="20"/>
          <w:lang w:val="en-US"/>
        </w:rPr>
        <w:br/>
      </w:r>
      <w:r w:rsidR="00E07E41" w:rsidRPr="00AC57EA">
        <w:rPr>
          <w:rFonts w:cs="Verdana"/>
          <w:b/>
          <w:bCs/>
          <w:caps/>
          <w:snapToGrid w:val="0"/>
          <w:sz w:val="20"/>
          <w:szCs w:val="20"/>
          <w:lang w:val="en-US"/>
        </w:rPr>
        <w:t>FACTS</w:t>
      </w:r>
      <w:bookmarkEnd w:id="98"/>
      <w:bookmarkEnd w:id="99"/>
      <w:bookmarkEnd w:id="100"/>
    </w:p>
    <w:p w14:paraId="080C2C29" w14:textId="77777777" w:rsidR="00B5625C" w:rsidRPr="00AC57EA" w:rsidRDefault="00B5625C" w:rsidP="00B5625C">
      <w:pPr>
        <w:widowControl/>
        <w:autoSpaceDE w:val="0"/>
        <w:autoSpaceDN w:val="0"/>
        <w:spacing w:line="240" w:lineRule="auto"/>
        <w:textAlignment w:val="auto"/>
        <w:rPr>
          <w:rFonts w:eastAsia="Calibri" w:cs="Arial"/>
          <w:bCs/>
          <w:sz w:val="20"/>
          <w:szCs w:val="22"/>
          <w:lang w:val="en-US" w:eastAsia="en-US"/>
        </w:rPr>
      </w:pPr>
    </w:p>
    <w:p w14:paraId="5606DCC3" w14:textId="10802A41" w:rsidR="00B5625C" w:rsidRPr="00AC57EA" w:rsidRDefault="00A55E54"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r w:rsidRPr="00AC57EA">
        <w:rPr>
          <w:rFonts w:eastAsia="MS Mincho"/>
          <w:b/>
          <w:bCs/>
          <w:i/>
          <w:sz w:val="20"/>
          <w:szCs w:val="20"/>
          <w:lang w:val="en-US"/>
        </w:rPr>
        <w:t>Background</w:t>
      </w:r>
    </w:p>
    <w:p w14:paraId="605003B3" w14:textId="77777777" w:rsidR="00B5625C" w:rsidRPr="00AC57EA" w:rsidRDefault="00B5625C" w:rsidP="00B5625C">
      <w:pPr>
        <w:spacing w:line="240" w:lineRule="auto"/>
        <w:rPr>
          <w:i/>
          <w:sz w:val="20"/>
          <w:szCs w:val="20"/>
          <w:lang w:val="en-US"/>
        </w:rPr>
      </w:pPr>
    </w:p>
    <w:p w14:paraId="78AAC237" w14:textId="1292B952" w:rsidR="00B5625C" w:rsidRPr="00AC57EA" w:rsidRDefault="00B5625C" w:rsidP="0048481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V.R.P. </w:t>
      </w:r>
      <w:r w:rsidR="00A55E54" w:rsidRPr="00AC57EA">
        <w:rPr>
          <w:sz w:val="20"/>
          <w:szCs w:val="20"/>
          <w:lang w:val="en-US"/>
        </w:rPr>
        <w:t>was born on April 15,</w:t>
      </w:r>
      <w:r w:rsidRPr="00AC57EA">
        <w:rPr>
          <w:sz w:val="20"/>
          <w:szCs w:val="20"/>
          <w:lang w:val="en-US"/>
        </w:rPr>
        <w:t xml:space="preserve"> 1992</w:t>
      </w:r>
      <w:r w:rsidR="00A55E54" w:rsidRPr="00AC57EA">
        <w:rPr>
          <w:sz w:val="20"/>
          <w:szCs w:val="20"/>
          <w:lang w:val="en-US"/>
        </w:rPr>
        <w:t>, in</w:t>
      </w:r>
      <w:r w:rsidRPr="00AC57EA">
        <w:rPr>
          <w:sz w:val="20"/>
          <w:szCs w:val="20"/>
          <w:lang w:val="en-US"/>
        </w:rPr>
        <w:t xml:space="preserve"> Jinotega, Nicaragua</w:t>
      </w:r>
      <w:r w:rsidR="00A55E54" w:rsidRPr="00AC57EA">
        <w:rPr>
          <w:sz w:val="20"/>
          <w:szCs w:val="20"/>
          <w:lang w:val="en-US"/>
        </w:rPr>
        <w:t>.</w:t>
      </w:r>
      <w:r w:rsidRPr="00AC57EA">
        <w:rPr>
          <w:sz w:val="20"/>
          <w:szCs w:val="20"/>
          <w:vertAlign w:val="superscript"/>
          <w:lang w:val="en-US"/>
        </w:rPr>
        <w:footnoteReference w:id="43"/>
      </w:r>
      <w:r w:rsidR="00A55E54" w:rsidRPr="00AC57EA">
        <w:rPr>
          <w:sz w:val="20"/>
          <w:szCs w:val="20"/>
          <w:lang w:val="en-US"/>
        </w:rPr>
        <w:t xml:space="preserve"> She is the daughter of </w:t>
      </w:r>
      <w:r w:rsidRPr="00AC57EA">
        <w:rPr>
          <w:sz w:val="20"/>
          <w:szCs w:val="20"/>
          <w:lang w:val="en-US"/>
        </w:rPr>
        <w:t>V.P.C.</w:t>
      </w:r>
      <w:r w:rsidR="00171E27" w:rsidRPr="00AC57EA">
        <w:rPr>
          <w:sz w:val="20"/>
          <w:szCs w:val="20"/>
          <w:lang w:val="en-US"/>
        </w:rPr>
        <w:t xml:space="preserve"> and </w:t>
      </w:r>
      <w:r w:rsidRPr="00AC57EA">
        <w:rPr>
          <w:sz w:val="20"/>
          <w:szCs w:val="20"/>
          <w:lang w:val="en-US"/>
        </w:rPr>
        <w:t xml:space="preserve">H.R.A. </w:t>
      </w:r>
      <w:r w:rsidR="00A55E54" w:rsidRPr="00AC57EA">
        <w:rPr>
          <w:sz w:val="20"/>
          <w:szCs w:val="20"/>
          <w:lang w:val="en-US"/>
        </w:rPr>
        <w:t>and a member of the family group that is also composed of her three older siblings</w:t>
      </w:r>
      <w:r w:rsidRPr="00AC57EA">
        <w:rPr>
          <w:sz w:val="20"/>
          <w:szCs w:val="20"/>
          <w:lang w:val="en-US"/>
        </w:rPr>
        <w:t>: N.R.P., H.J.R.P.</w:t>
      </w:r>
      <w:r w:rsidR="00171E27" w:rsidRPr="00AC57EA">
        <w:rPr>
          <w:sz w:val="20"/>
          <w:szCs w:val="20"/>
          <w:lang w:val="en-US"/>
        </w:rPr>
        <w:t xml:space="preserve"> and </w:t>
      </w:r>
      <w:r w:rsidRPr="00AC57EA">
        <w:rPr>
          <w:sz w:val="20"/>
          <w:szCs w:val="20"/>
          <w:lang w:val="en-US"/>
        </w:rPr>
        <w:t>V.A.R.P.</w:t>
      </w:r>
      <w:r w:rsidRPr="00AC57EA">
        <w:rPr>
          <w:sz w:val="20"/>
          <w:szCs w:val="20"/>
          <w:vertAlign w:val="superscript"/>
          <w:lang w:val="en-US"/>
        </w:rPr>
        <w:footnoteReference w:id="44"/>
      </w:r>
    </w:p>
    <w:p w14:paraId="49E9B02A" w14:textId="77777777" w:rsidR="00B5625C" w:rsidRPr="00AC57EA" w:rsidRDefault="00B5625C" w:rsidP="00B5625C">
      <w:pPr>
        <w:spacing w:line="240" w:lineRule="auto"/>
        <w:rPr>
          <w:sz w:val="20"/>
          <w:szCs w:val="20"/>
          <w:lang w:val="en-US"/>
        </w:rPr>
      </w:pPr>
    </w:p>
    <w:p w14:paraId="25182296" w14:textId="4671E443" w:rsidR="00B5625C" w:rsidRPr="00AC57EA" w:rsidRDefault="00A55E54" w:rsidP="00ED1873">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Up until</w:t>
      </w:r>
      <w:r w:rsidR="00B5625C" w:rsidRPr="00AC57EA">
        <w:rPr>
          <w:sz w:val="20"/>
          <w:szCs w:val="20"/>
          <w:lang w:val="en-US"/>
        </w:rPr>
        <w:t xml:space="preserve"> 2002, </w:t>
      </w:r>
      <w:r w:rsidRPr="00AC57EA">
        <w:rPr>
          <w:sz w:val="20"/>
          <w:szCs w:val="20"/>
          <w:lang w:val="en-US"/>
        </w:rPr>
        <w:t>both</w:t>
      </w:r>
      <w:r w:rsidR="00B5625C" w:rsidRPr="00AC57EA">
        <w:rPr>
          <w:sz w:val="20"/>
          <w:szCs w:val="20"/>
          <w:lang w:val="en-US"/>
        </w:rPr>
        <w:t xml:space="preserve"> V.R.P. </w:t>
      </w:r>
      <w:r w:rsidRPr="00AC57EA">
        <w:rPr>
          <w:sz w:val="20"/>
          <w:szCs w:val="20"/>
          <w:lang w:val="en-US"/>
        </w:rPr>
        <w:t xml:space="preserve">and her siblings lived in a house owned by her mother. Their father’s presence in the house was almost non-existent, because H.R.A. </w:t>
      </w:r>
      <w:r w:rsidR="00ED1873" w:rsidRPr="00AC57EA">
        <w:rPr>
          <w:sz w:val="20"/>
          <w:szCs w:val="20"/>
          <w:lang w:val="en-US"/>
        </w:rPr>
        <w:t xml:space="preserve">was in an extramarital relationship and only came to the house sporadically, a circumstance that made his relationship with her mother </w:t>
      </w:r>
      <w:r w:rsidR="00A60DB1" w:rsidRPr="00AC57EA">
        <w:rPr>
          <w:sz w:val="20"/>
          <w:szCs w:val="20"/>
          <w:lang w:val="en-US"/>
        </w:rPr>
        <w:t xml:space="preserve">rather </w:t>
      </w:r>
      <w:r w:rsidR="00AD39B0" w:rsidRPr="00AC57EA">
        <w:rPr>
          <w:sz w:val="20"/>
          <w:szCs w:val="20"/>
          <w:lang w:val="en-US"/>
        </w:rPr>
        <w:t>unsettled</w:t>
      </w:r>
      <w:r w:rsidR="00ED1873" w:rsidRPr="00AC57EA">
        <w:rPr>
          <w:sz w:val="20"/>
          <w:szCs w:val="20"/>
          <w:lang w:val="en-US"/>
        </w:rPr>
        <w:t>.</w:t>
      </w:r>
      <w:r w:rsidR="00B5625C" w:rsidRPr="00AC57EA">
        <w:rPr>
          <w:sz w:val="20"/>
          <w:szCs w:val="20"/>
          <w:vertAlign w:val="superscript"/>
          <w:lang w:val="en-US"/>
        </w:rPr>
        <w:footnoteReference w:id="45"/>
      </w:r>
    </w:p>
    <w:p w14:paraId="29F39A7A" w14:textId="77777777" w:rsidR="00B5625C" w:rsidRPr="00AC57EA" w:rsidRDefault="00B5625C" w:rsidP="00B5625C">
      <w:pPr>
        <w:spacing w:line="240" w:lineRule="auto"/>
        <w:rPr>
          <w:sz w:val="20"/>
          <w:szCs w:val="20"/>
          <w:lang w:val="en-US"/>
        </w:rPr>
      </w:pPr>
    </w:p>
    <w:p w14:paraId="017A06D4" w14:textId="6A6A6C88" w:rsidR="0048481B" w:rsidRPr="00AC57EA" w:rsidRDefault="0048481B" w:rsidP="00220C9A">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H.R.A. </w:t>
      </w:r>
      <w:r w:rsidR="00ED1873" w:rsidRPr="00AC57EA">
        <w:rPr>
          <w:sz w:val="20"/>
          <w:szCs w:val="20"/>
          <w:lang w:val="en-US"/>
        </w:rPr>
        <w:t>was a lawyer; he was employed as Assistant Attorney of the</w:t>
      </w:r>
      <w:r w:rsidRPr="00AC57EA">
        <w:rPr>
          <w:sz w:val="20"/>
          <w:szCs w:val="20"/>
          <w:lang w:val="en-US"/>
        </w:rPr>
        <w:t xml:space="preserve"> Department </w:t>
      </w:r>
      <w:r w:rsidR="00ED1873" w:rsidRPr="00AC57EA">
        <w:rPr>
          <w:sz w:val="20"/>
          <w:szCs w:val="20"/>
          <w:lang w:val="en-US"/>
        </w:rPr>
        <w:t xml:space="preserve">of </w:t>
      </w:r>
      <w:r w:rsidRPr="00AC57EA">
        <w:rPr>
          <w:sz w:val="20"/>
          <w:szCs w:val="20"/>
          <w:lang w:val="en-US"/>
        </w:rPr>
        <w:t>Matagalpa</w:t>
      </w:r>
      <w:r w:rsidR="00D506C0" w:rsidRPr="00AC57EA">
        <w:rPr>
          <w:sz w:val="20"/>
          <w:szCs w:val="20"/>
          <w:lang w:val="en-US"/>
        </w:rPr>
        <w:t xml:space="preserve">, </w:t>
      </w:r>
      <w:r w:rsidR="00ED1873" w:rsidRPr="00AC57EA">
        <w:rPr>
          <w:sz w:val="20"/>
          <w:szCs w:val="20"/>
          <w:lang w:val="en-US"/>
        </w:rPr>
        <w:t>among other posts.</w:t>
      </w:r>
      <w:r w:rsidRPr="00AC57EA">
        <w:rPr>
          <w:sz w:val="20"/>
          <w:szCs w:val="20"/>
          <w:vertAlign w:val="superscript"/>
          <w:lang w:val="en-US"/>
        </w:rPr>
        <w:footnoteReference w:id="46"/>
      </w:r>
      <w:r w:rsidR="00ED1873" w:rsidRPr="00AC57EA">
        <w:rPr>
          <w:sz w:val="20"/>
          <w:szCs w:val="20"/>
          <w:lang w:val="en-US"/>
        </w:rPr>
        <w:t xml:space="preserve"> He was also a member of the Sandinista National Liberation Front (FSLN).</w:t>
      </w:r>
      <w:r w:rsidR="00D26077" w:rsidRPr="00AC57EA">
        <w:rPr>
          <w:sz w:val="20"/>
          <w:szCs w:val="20"/>
          <w:vertAlign w:val="superscript"/>
          <w:lang w:val="en-US"/>
        </w:rPr>
        <w:footnoteReference w:id="47"/>
      </w:r>
    </w:p>
    <w:p w14:paraId="41649196" w14:textId="77777777" w:rsidR="0048481B" w:rsidRPr="00AC57EA" w:rsidRDefault="0048481B" w:rsidP="0048481B">
      <w:pPr>
        <w:tabs>
          <w:tab w:val="left" w:pos="567"/>
        </w:tabs>
        <w:spacing w:line="240" w:lineRule="auto"/>
        <w:rPr>
          <w:sz w:val="20"/>
          <w:szCs w:val="20"/>
          <w:lang w:val="en-US"/>
        </w:rPr>
      </w:pPr>
    </w:p>
    <w:p w14:paraId="4A320587" w14:textId="2473A21A" w:rsidR="00B5625C" w:rsidRPr="00AC57EA" w:rsidRDefault="001E3561" w:rsidP="0048481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The marriage was dissolved on January 31, 2002, as a result of lawsuit filed by </w:t>
      </w:r>
      <w:r w:rsidR="00B5625C" w:rsidRPr="00AC57EA">
        <w:rPr>
          <w:sz w:val="20"/>
          <w:szCs w:val="20"/>
          <w:lang w:val="en-US"/>
        </w:rPr>
        <w:t xml:space="preserve">por V.P.C. </w:t>
      </w:r>
      <w:r w:rsidRPr="00AC57EA">
        <w:rPr>
          <w:sz w:val="20"/>
          <w:szCs w:val="20"/>
          <w:lang w:val="en-US"/>
        </w:rPr>
        <w:t xml:space="preserve">in </w:t>
      </w:r>
      <w:r w:rsidRPr="00AC57EA">
        <w:rPr>
          <w:sz w:val="20"/>
          <w:szCs w:val="20"/>
          <w:lang w:val="en-US"/>
        </w:rPr>
        <w:lastRenderedPageBreak/>
        <w:t xml:space="preserve">November </w:t>
      </w:r>
      <w:r w:rsidR="00B5625C" w:rsidRPr="00AC57EA">
        <w:rPr>
          <w:sz w:val="20"/>
          <w:szCs w:val="20"/>
          <w:lang w:val="en-US"/>
        </w:rPr>
        <w:t>2001</w:t>
      </w:r>
      <w:r w:rsidRPr="00AC57EA">
        <w:rPr>
          <w:sz w:val="20"/>
          <w:szCs w:val="20"/>
          <w:lang w:val="en-US"/>
        </w:rPr>
        <w:t>.</w:t>
      </w:r>
      <w:r w:rsidR="00B5625C" w:rsidRPr="00AC57EA">
        <w:rPr>
          <w:sz w:val="20"/>
          <w:szCs w:val="20"/>
          <w:vertAlign w:val="superscript"/>
          <w:lang w:val="en-US"/>
        </w:rPr>
        <w:footnoteReference w:id="48"/>
      </w:r>
    </w:p>
    <w:p w14:paraId="7C0AEFC5" w14:textId="77777777" w:rsidR="00B5625C" w:rsidRPr="00AC57EA" w:rsidRDefault="00B5625C" w:rsidP="00B5625C">
      <w:pPr>
        <w:spacing w:line="240" w:lineRule="auto"/>
        <w:rPr>
          <w:sz w:val="20"/>
          <w:szCs w:val="20"/>
          <w:lang w:val="en-US"/>
        </w:rPr>
      </w:pPr>
    </w:p>
    <w:p w14:paraId="4A9D4FB4" w14:textId="160A899F" w:rsidR="00B5625C" w:rsidRPr="00AC57EA" w:rsidRDefault="001E3561"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bookmarkStart w:id="107" w:name="_Toc514172617"/>
      <w:r w:rsidRPr="00AC57EA">
        <w:rPr>
          <w:rFonts w:eastAsia="MS Mincho"/>
          <w:b/>
          <w:bCs/>
          <w:i/>
          <w:sz w:val="20"/>
          <w:szCs w:val="20"/>
          <w:lang w:val="en-US"/>
        </w:rPr>
        <w:t>The events that occurred in</w:t>
      </w:r>
      <w:r w:rsidR="00B5625C" w:rsidRPr="00AC57EA">
        <w:rPr>
          <w:rFonts w:eastAsia="MS Mincho"/>
          <w:b/>
          <w:bCs/>
          <w:i/>
          <w:sz w:val="20"/>
          <w:szCs w:val="20"/>
          <w:lang w:val="en-US"/>
        </w:rPr>
        <w:t xml:space="preserve"> 2000</w:t>
      </w:r>
      <w:bookmarkEnd w:id="107"/>
    </w:p>
    <w:p w14:paraId="10077F0A" w14:textId="77777777" w:rsidR="00B5625C" w:rsidRPr="00AC57EA" w:rsidRDefault="00B5625C" w:rsidP="00B5625C">
      <w:pPr>
        <w:spacing w:line="240" w:lineRule="auto"/>
        <w:rPr>
          <w:sz w:val="20"/>
          <w:szCs w:val="20"/>
          <w:lang w:val="en-US"/>
        </w:rPr>
      </w:pPr>
    </w:p>
    <w:p w14:paraId="0AA16386" w14:textId="3CD472AB" w:rsidR="00B5625C" w:rsidRPr="00AC57EA" w:rsidRDefault="00B5625C" w:rsidP="001E3561">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V.R.P. </w:t>
      </w:r>
      <w:r w:rsidR="001E3561" w:rsidRPr="00AC57EA">
        <w:rPr>
          <w:sz w:val="20"/>
          <w:szCs w:val="20"/>
          <w:lang w:val="en-US"/>
        </w:rPr>
        <w:t xml:space="preserve">recounted that, in September and October 2000, when she was eight years old, her father took her on two occasions to a place known as “Las Flores.” There, he gave her coffee to drink, following which she felt lightheaded and slept. She also stated that, even though she was unaware of what her father did </w:t>
      </w:r>
      <w:r w:rsidR="00AD39B0" w:rsidRPr="00AC57EA">
        <w:rPr>
          <w:sz w:val="20"/>
          <w:szCs w:val="20"/>
          <w:lang w:val="en-US"/>
        </w:rPr>
        <w:t xml:space="preserve">to </w:t>
      </w:r>
      <w:r w:rsidR="001E3561" w:rsidRPr="00AC57EA">
        <w:rPr>
          <w:sz w:val="20"/>
          <w:szCs w:val="20"/>
          <w:lang w:val="en-US"/>
        </w:rPr>
        <w:t>her, when she wo</w:t>
      </w:r>
      <w:r w:rsidR="00AD39B0" w:rsidRPr="00AC57EA">
        <w:rPr>
          <w:sz w:val="20"/>
          <w:szCs w:val="20"/>
          <w:lang w:val="en-US"/>
        </w:rPr>
        <w:t>ke</w:t>
      </w:r>
      <w:r w:rsidR="001E3561" w:rsidRPr="00AC57EA">
        <w:rPr>
          <w:sz w:val="20"/>
          <w:szCs w:val="20"/>
          <w:lang w:val="en-US"/>
        </w:rPr>
        <w:t xml:space="preserve"> up she not</w:t>
      </w:r>
      <w:r w:rsidR="00AD39B0" w:rsidRPr="00AC57EA">
        <w:rPr>
          <w:sz w:val="20"/>
          <w:szCs w:val="20"/>
          <w:lang w:val="en-US"/>
        </w:rPr>
        <w:t>ic</w:t>
      </w:r>
      <w:r w:rsidR="001E3561" w:rsidRPr="00AC57EA">
        <w:rPr>
          <w:sz w:val="20"/>
          <w:szCs w:val="20"/>
          <w:lang w:val="en-US"/>
        </w:rPr>
        <w:t>ed that he was buckling up his belt, and tidying up the front of his trousers, pulling up the zip and</w:t>
      </w:r>
      <w:r w:rsidR="00AD39B0" w:rsidRPr="00AC57EA">
        <w:rPr>
          <w:sz w:val="20"/>
          <w:szCs w:val="20"/>
          <w:lang w:val="en-US"/>
        </w:rPr>
        <w:t>,</w:t>
      </w:r>
      <w:r w:rsidR="001E3561" w:rsidRPr="00AC57EA">
        <w:rPr>
          <w:sz w:val="20"/>
          <w:szCs w:val="20"/>
          <w:lang w:val="en-US"/>
        </w:rPr>
        <w:t xml:space="preserve"> also</w:t>
      </w:r>
      <w:r w:rsidR="00AD39B0" w:rsidRPr="00AC57EA">
        <w:rPr>
          <w:sz w:val="20"/>
          <w:szCs w:val="20"/>
          <w:lang w:val="en-US"/>
        </w:rPr>
        <w:t>,</w:t>
      </w:r>
      <w:r w:rsidR="001E3561" w:rsidRPr="00AC57EA">
        <w:rPr>
          <w:sz w:val="20"/>
          <w:szCs w:val="20"/>
          <w:lang w:val="en-US"/>
        </w:rPr>
        <w:t xml:space="preserve"> he cleaned her anal area.</w:t>
      </w:r>
      <w:r w:rsidR="00B1154F" w:rsidRPr="00AC57EA">
        <w:rPr>
          <w:rStyle w:val="Refdenotaalpie"/>
          <w:sz w:val="20"/>
          <w:szCs w:val="20"/>
          <w:lang w:val="en-US"/>
        </w:rPr>
        <w:footnoteReference w:id="49"/>
      </w:r>
    </w:p>
    <w:p w14:paraId="6C73CAB1" w14:textId="77777777" w:rsidR="00DC043B" w:rsidRPr="00AC57EA" w:rsidRDefault="00DC043B" w:rsidP="00DC043B">
      <w:pPr>
        <w:tabs>
          <w:tab w:val="left" w:pos="567"/>
        </w:tabs>
        <w:spacing w:line="240" w:lineRule="auto"/>
        <w:rPr>
          <w:sz w:val="20"/>
          <w:szCs w:val="20"/>
          <w:lang w:val="en-US"/>
        </w:rPr>
      </w:pPr>
    </w:p>
    <w:p w14:paraId="3133DF4A" w14:textId="76BCFC97" w:rsidR="00B5625C" w:rsidRPr="00AC57EA" w:rsidRDefault="001E3561"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r w:rsidRPr="00AC57EA">
        <w:rPr>
          <w:rFonts w:eastAsia="MS Mincho"/>
          <w:b/>
          <w:bCs/>
          <w:i/>
          <w:sz w:val="20"/>
          <w:szCs w:val="20"/>
          <w:lang w:val="en-US"/>
        </w:rPr>
        <w:t>The criminal complaint and the start of the investigation</w:t>
      </w:r>
    </w:p>
    <w:p w14:paraId="2E09DE72" w14:textId="77777777" w:rsidR="00B5625C" w:rsidRPr="00AC57EA" w:rsidRDefault="00B5625C" w:rsidP="00B5625C">
      <w:pPr>
        <w:spacing w:line="240" w:lineRule="auto"/>
        <w:ind w:left="708"/>
        <w:rPr>
          <w:sz w:val="20"/>
          <w:szCs w:val="20"/>
          <w:lang w:val="en-US"/>
        </w:rPr>
      </w:pPr>
    </w:p>
    <w:p w14:paraId="4BA7769B" w14:textId="5D0C1A8F" w:rsidR="00B5625C" w:rsidRPr="00AC57EA" w:rsidRDefault="001E3561" w:rsidP="000E74DA">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October 16,</w:t>
      </w:r>
      <w:r w:rsidR="00B5625C" w:rsidRPr="00AC57EA">
        <w:rPr>
          <w:sz w:val="20"/>
          <w:szCs w:val="20"/>
          <w:lang w:val="en-US"/>
        </w:rPr>
        <w:t xml:space="preserve"> 2001</w:t>
      </w:r>
      <w:r w:rsidRPr="00AC57EA">
        <w:rPr>
          <w:sz w:val="20"/>
          <w:szCs w:val="20"/>
          <w:lang w:val="en-US"/>
        </w:rPr>
        <w:t>,</w:t>
      </w:r>
      <w:r w:rsidR="00B5625C" w:rsidRPr="00AC57EA">
        <w:rPr>
          <w:sz w:val="20"/>
          <w:szCs w:val="20"/>
          <w:lang w:val="en-US"/>
        </w:rPr>
        <w:t xml:space="preserve"> V.P.C. </w:t>
      </w:r>
      <w:r w:rsidRPr="00AC57EA">
        <w:rPr>
          <w:sz w:val="20"/>
          <w:szCs w:val="20"/>
          <w:lang w:val="en-US"/>
        </w:rPr>
        <w:t xml:space="preserve">took her daughter </w:t>
      </w:r>
      <w:r w:rsidR="000A797F" w:rsidRPr="00AC57EA">
        <w:rPr>
          <w:sz w:val="20"/>
          <w:szCs w:val="20"/>
          <w:lang w:val="en-US"/>
        </w:rPr>
        <w:t>to</w:t>
      </w:r>
      <w:r w:rsidRPr="00AC57EA">
        <w:rPr>
          <w:sz w:val="20"/>
          <w:szCs w:val="20"/>
          <w:lang w:val="en-US"/>
        </w:rPr>
        <w:t xml:space="preserve"> a private </w:t>
      </w:r>
      <w:r w:rsidR="00AD39B0" w:rsidRPr="00AC57EA">
        <w:rPr>
          <w:sz w:val="20"/>
          <w:szCs w:val="20"/>
          <w:lang w:val="en-US"/>
        </w:rPr>
        <w:t>consultation</w:t>
      </w:r>
      <w:r w:rsidRPr="00AC57EA">
        <w:rPr>
          <w:sz w:val="20"/>
          <w:szCs w:val="20"/>
          <w:lang w:val="en-US"/>
        </w:rPr>
        <w:t xml:space="preserve"> with a pediatrician because of the difficulties V.R.P. had to defecate and the pains she had in the anal area. After examining </w:t>
      </w:r>
      <w:r w:rsidRPr="00AC57EA">
        <w:rPr>
          <w:spacing w:val="-2"/>
          <w:sz w:val="20"/>
          <w:szCs w:val="20"/>
          <w:lang w:val="en-US"/>
        </w:rPr>
        <w:t xml:space="preserve">V.R.P. and taking the respective biopsy under </w:t>
      </w:r>
      <w:r w:rsidRPr="00AC57EA">
        <w:rPr>
          <w:sz w:val="20"/>
          <w:szCs w:val="20"/>
          <w:lang w:val="en-US"/>
        </w:rPr>
        <w:t>anesthesia, the doctor who saw her found that the child had a ruptured hymen and condylomas in the perianal area, indicating a venereal disease.</w:t>
      </w:r>
      <w:r w:rsidR="00B5625C" w:rsidRPr="00AC57EA">
        <w:rPr>
          <w:spacing w:val="-2"/>
          <w:sz w:val="20"/>
          <w:szCs w:val="20"/>
          <w:vertAlign w:val="superscript"/>
          <w:lang w:val="en-US"/>
        </w:rPr>
        <w:footnoteReference w:id="50"/>
      </w:r>
      <w:r w:rsidRPr="00AC57EA">
        <w:rPr>
          <w:sz w:val="20"/>
          <w:szCs w:val="20"/>
          <w:lang w:val="en-US"/>
        </w:rPr>
        <w:t xml:space="preserve"> Based on her medical profile, the pediatrician decided to refer her to the Victoria Motta Hospital. On October 17, 2001, they went to see a gynecologist for a more specialized assessment. This physician, following a gynecological examination under anesthesia, confirmed the diagnosis of a </w:t>
      </w:r>
      <w:r w:rsidR="000E74DA" w:rsidRPr="00AC57EA">
        <w:rPr>
          <w:sz w:val="20"/>
          <w:szCs w:val="20"/>
          <w:lang w:val="en-US"/>
        </w:rPr>
        <w:t xml:space="preserve">hymen that had been perforated some time previously, </w:t>
      </w:r>
      <w:r w:rsidR="000A797F" w:rsidRPr="00AC57EA">
        <w:rPr>
          <w:sz w:val="20"/>
          <w:szCs w:val="20"/>
          <w:lang w:val="en-US"/>
        </w:rPr>
        <w:t>and identified</w:t>
      </w:r>
      <w:r w:rsidR="000E74DA" w:rsidRPr="00AC57EA">
        <w:rPr>
          <w:sz w:val="20"/>
          <w:szCs w:val="20"/>
          <w:lang w:val="en-US"/>
        </w:rPr>
        <w:t xml:space="preserve"> ulcers in the anus, mucosal tearing in the anal area, injuries to the cervix, and the presence of the human papillomavirus and condylomas in the perianal area.</w:t>
      </w:r>
      <w:r w:rsidR="00B5625C" w:rsidRPr="00AC57EA">
        <w:rPr>
          <w:spacing w:val="-2"/>
          <w:sz w:val="20"/>
          <w:szCs w:val="20"/>
          <w:vertAlign w:val="superscript"/>
          <w:lang w:val="en-US"/>
        </w:rPr>
        <w:footnoteReference w:id="51"/>
      </w:r>
      <w:r w:rsidR="00B5625C" w:rsidRPr="00AC57EA">
        <w:rPr>
          <w:spacing w:val="-2"/>
          <w:sz w:val="20"/>
          <w:szCs w:val="20"/>
          <w:lang w:val="en-US"/>
        </w:rPr>
        <w:t xml:space="preserve"> </w:t>
      </w:r>
      <w:r w:rsidR="000E74DA" w:rsidRPr="00AC57EA">
        <w:rPr>
          <w:spacing w:val="-2"/>
          <w:sz w:val="20"/>
          <w:szCs w:val="20"/>
          <w:lang w:val="en-US"/>
        </w:rPr>
        <w:t>Owing to these injuries,</w:t>
      </w:r>
      <w:r w:rsidR="00B5625C" w:rsidRPr="00AC57EA">
        <w:rPr>
          <w:spacing w:val="-2"/>
          <w:sz w:val="20"/>
          <w:szCs w:val="20"/>
          <w:lang w:val="en-US"/>
        </w:rPr>
        <w:t xml:space="preserve"> V.R.P. </w:t>
      </w:r>
      <w:r w:rsidR="000E74DA" w:rsidRPr="00AC57EA">
        <w:rPr>
          <w:spacing w:val="-2"/>
          <w:sz w:val="20"/>
          <w:szCs w:val="20"/>
          <w:lang w:val="en-US"/>
        </w:rPr>
        <w:t xml:space="preserve">was subjected to cryotherapy for the </w:t>
      </w:r>
      <w:r w:rsidR="000E74DA" w:rsidRPr="00AC57EA">
        <w:rPr>
          <w:sz w:val="20"/>
          <w:szCs w:val="20"/>
          <w:lang w:val="en-US"/>
        </w:rPr>
        <w:t>condylomas in the cervix and an anoplasty of the whole perianal circumference.</w:t>
      </w:r>
      <w:r w:rsidR="00B5625C" w:rsidRPr="00AC57EA">
        <w:rPr>
          <w:spacing w:val="-2"/>
          <w:sz w:val="20"/>
          <w:szCs w:val="20"/>
          <w:vertAlign w:val="superscript"/>
          <w:lang w:val="en-US"/>
        </w:rPr>
        <w:footnoteReference w:id="52"/>
      </w:r>
      <w:r w:rsidR="000E74DA" w:rsidRPr="00AC57EA">
        <w:rPr>
          <w:spacing w:val="-2"/>
          <w:sz w:val="20"/>
          <w:szCs w:val="20"/>
          <w:lang w:val="en-US"/>
        </w:rPr>
        <w:t xml:space="preserve"> Both physicians concluded and declared in the domestic proceedings that, based on the medical findings, </w:t>
      </w:r>
      <w:r w:rsidR="00B5625C" w:rsidRPr="00AC57EA">
        <w:rPr>
          <w:spacing w:val="-2"/>
          <w:sz w:val="20"/>
          <w:szCs w:val="20"/>
          <w:lang w:val="en-US"/>
        </w:rPr>
        <w:t xml:space="preserve">V.R.P. </w:t>
      </w:r>
      <w:r w:rsidR="000A797F" w:rsidRPr="00AC57EA">
        <w:rPr>
          <w:spacing w:val="-2"/>
          <w:sz w:val="20"/>
          <w:szCs w:val="20"/>
          <w:lang w:val="en-US"/>
        </w:rPr>
        <w:t>had been</w:t>
      </w:r>
      <w:r w:rsidR="000E74DA" w:rsidRPr="00AC57EA">
        <w:rPr>
          <w:spacing w:val="-2"/>
          <w:sz w:val="20"/>
          <w:szCs w:val="20"/>
          <w:lang w:val="en-US"/>
        </w:rPr>
        <w:t xml:space="preserve"> a victim of sexual abuse and had suffered anal penetration.</w:t>
      </w:r>
      <w:r w:rsidR="00B5625C" w:rsidRPr="00AC57EA">
        <w:rPr>
          <w:spacing w:val="-2"/>
          <w:sz w:val="20"/>
          <w:szCs w:val="20"/>
          <w:vertAlign w:val="superscript"/>
          <w:lang w:val="en-US"/>
        </w:rPr>
        <w:footnoteReference w:id="53"/>
      </w:r>
    </w:p>
    <w:p w14:paraId="727E052D" w14:textId="77777777" w:rsidR="00B5625C" w:rsidRPr="00AC57EA" w:rsidRDefault="00B5625C" w:rsidP="00B5625C">
      <w:pPr>
        <w:spacing w:line="240" w:lineRule="auto"/>
        <w:rPr>
          <w:sz w:val="20"/>
          <w:szCs w:val="20"/>
          <w:lang w:val="en-US"/>
        </w:rPr>
      </w:pPr>
    </w:p>
    <w:p w14:paraId="67998CA0" w14:textId="58A38D07" w:rsidR="00B5625C" w:rsidRPr="00AC57EA" w:rsidRDefault="000A797F" w:rsidP="00390277">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Based on these findings, and the account given by</w:t>
      </w:r>
      <w:r w:rsidR="00B5625C" w:rsidRPr="00AC57EA">
        <w:rPr>
          <w:sz w:val="20"/>
          <w:szCs w:val="20"/>
          <w:lang w:val="en-US"/>
        </w:rPr>
        <w:t xml:space="preserve"> V.R.P., </w:t>
      </w:r>
      <w:r w:rsidRPr="00AC57EA">
        <w:rPr>
          <w:sz w:val="20"/>
          <w:szCs w:val="20"/>
          <w:lang w:val="en-US"/>
        </w:rPr>
        <w:t>on November 20,</w:t>
      </w:r>
      <w:r w:rsidR="00B5625C" w:rsidRPr="00AC57EA">
        <w:rPr>
          <w:sz w:val="20"/>
          <w:szCs w:val="20"/>
          <w:lang w:val="en-US"/>
        </w:rPr>
        <w:t xml:space="preserve"> 2001</w:t>
      </w:r>
      <w:r w:rsidRPr="00AC57EA">
        <w:rPr>
          <w:sz w:val="20"/>
          <w:szCs w:val="20"/>
          <w:lang w:val="en-US"/>
        </w:rPr>
        <w:t>,</w:t>
      </w:r>
      <w:r w:rsidR="00B5625C" w:rsidRPr="00AC57EA">
        <w:rPr>
          <w:sz w:val="20"/>
          <w:szCs w:val="20"/>
          <w:lang w:val="en-US"/>
        </w:rPr>
        <w:t xml:space="preserve"> V.P.C. </w:t>
      </w:r>
      <w:r w:rsidRPr="00AC57EA">
        <w:rPr>
          <w:sz w:val="20"/>
          <w:szCs w:val="20"/>
          <w:lang w:val="en-US"/>
        </w:rPr>
        <w:lastRenderedPageBreak/>
        <w:t>denounced H.R.A. for the crime of the rape of his daughter before the District Criminal Court.</w:t>
      </w:r>
      <w:r w:rsidR="00B5625C" w:rsidRPr="00AC57EA">
        <w:rPr>
          <w:sz w:val="20"/>
          <w:szCs w:val="20"/>
          <w:vertAlign w:val="superscript"/>
          <w:lang w:val="en-US"/>
        </w:rPr>
        <w:footnoteReference w:id="54"/>
      </w:r>
    </w:p>
    <w:p w14:paraId="08B4CAF1" w14:textId="77777777" w:rsidR="00B5625C" w:rsidRPr="00AC57EA" w:rsidRDefault="00B5625C" w:rsidP="00B5625C">
      <w:pPr>
        <w:spacing w:line="240" w:lineRule="auto"/>
        <w:rPr>
          <w:sz w:val="20"/>
          <w:szCs w:val="20"/>
          <w:lang w:val="en-US"/>
        </w:rPr>
      </w:pPr>
    </w:p>
    <w:p w14:paraId="1ADA39D9" w14:textId="595AB3AE" w:rsidR="00B5625C" w:rsidRPr="00AC57EA" w:rsidRDefault="000E74DA" w:rsidP="001E20D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21,</w:t>
      </w:r>
      <w:r w:rsidR="00B5625C" w:rsidRPr="00AC57EA">
        <w:rPr>
          <w:sz w:val="20"/>
          <w:szCs w:val="20"/>
          <w:lang w:val="en-US"/>
        </w:rPr>
        <w:t xml:space="preserve"> 2001</w:t>
      </w:r>
      <w:r w:rsidR="000A797F" w:rsidRPr="00AC57EA">
        <w:rPr>
          <w:sz w:val="20"/>
          <w:szCs w:val="20"/>
          <w:lang w:val="en-US"/>
        </w:rPr>
        <w:t>, the statements</w:t>
      </w:r>
      <w:r w:rsidR="00B5625C" w:rsidRPr="00AC57EA">
        <w:rPr>
          <w:sz w:val="20"/>
          <w:szCs w:val="20"/>
          <w:lang w:val="en-US"/>
        </w:rPr>
        <w:t xml:space="preserve"> </w:t>
      </w:r>
      <w:r w:rsidR="00B5625C" w:rsidRPr="00AC57EA">
        <w:rPr>
          <w:i/>
          <w:sz w:val="20"/>
          <w:szCs w:val="20"/>
          <w:lang w:val="en-US"/>
        </w:rPr>
        <w:t>ad-inquirendum</w:t>
      </w:r>
      <w:r w:rsidR="007E36B7" w:rsidRPr="00AC57EA">
        <w:rPr>
          <w:sz w:val="20"/>
          <w:szCs w:val="20"/>
          <w:vertAlign w:val="superscript"/>
          <w:lang w:val="en-US"/>
        </w:rPr>
        <w:footnoteReference w:id="55"/>
      </w:r>
      <w:r w:rsidR="00B5625C" w:rsidRPr="00AC57EA">
        <w:rPr>
          <w:sz w:val="20"/>
          <w:szCs w:val="20"/>
          <w:lang w:val="en-US"/>
        </w:rPr>
        <w:t xml:space="preserve"> </w:t>
      </w:r>
      <w:r w:rsidR="000A797F" w:rsidRPr="00AC57EA">
        <w:rPr>
          <w:sz w:val="20"/>
          <w:szCs w:val="20"/>
          <w:lang w:val="en-US"/>
        </w:rPr>
        <w:t>of</w:t>
      </w:r>
      <w:r w:rsidR="00B5625C" w:rsidRPr="00AC57EA">
        <w:rPr>
          <w:sz w:val="20"/>
          <w:szCs w:val="20"/>
          <w:lang w:val="en-US"/>
        </w:rPr>
        <w:t xml:space="preserve"> V.R.P.</w:t>
      </w:r>
      <w:r w:rsidR="00B5625C" w:rsidRPr="00AC57EA">
        <w:rPr>
          <w:sz w:val="20"/>
          <w:szCs w:val="20"/>
          <w:vertAlign w:val="superscript"/>
          <w:lang w:val="en-US"/>
        </w:rPr>
        <w:footnoteReference w:id="56"/>
      </w:r>
      <w:r w:rsidR="00171E27" w:rsidRPr="00AC57EA">
        <w:rPr>
          <w:sz w:val="20"/>
          <w:szCs w:val="20"/>
          <w:lang w:val="en-US"/>
        </w:rPr>
        <w:t xml:space="preserve"> and </w:t>
      </w:r>
      <w:r w:rsidR="00B5625C" w:rsidRPr="00AC57EA">
        <w:rPr>
          <w:sz w:val="20"/>
          <w:szCs w:val="20"/>
          <w:lang w:val="en-US"/>
        </w:rPr>
        <w:t>V.P.C.</w:t>
      </w:r>
      <w:r w:rsidR="00753479" w:rsidRPr="00AC57EA">
        <w:rPr>
          <w:sz w:val="20"/>
          <w:szCs w:val="20"/>
          <w:vertAlign w:val="superscript"/>
          <w:lang w:val="en-US"/>
        </w:rPr>
        <w:footnoteReference w:id="57"/>
      </w:r>
      <w:r w:rsidR="000A797F" w:rsidRPr="00AC57EA">
        <w:rPr>
          <w:sz w:val="20"/>
          <w:szCs w:val="20"/>
          <w:lang w:val="en-US"/>
        </w:rPr>
        <w:t xml:space="preserve"> were taken</w:t>
      </w:r>
      <w:r w:rsidR="00B5625C" w:rsidRPr="00AC57EA">
        <w:rPr>
          <w:sz w:val="20"/>
          <w:szCs w:val="20"/>
          <w:lang w:val="en-US"/>
        </w:rPr>
        <w:t xml:space="preserve">, </w:t>
      </w:r>
      <w:r w:rsidR="000A797F" w:rsidRPr="00AC57EA">
        <w:rPr>
          <w:sz w:val="20"/>
          <w:szCs w:val="20"/>
          <w:lang w:val="en-US"/>
        </w:rPr>
        <w:t>at which time the latter ratified the complaint against</w:t>
      </w:r>
      <w:r w:rsidR="00B5625C" w:rsidRPr="00AC57EA">
        <w:rPr>
          <w:sz w:val="20"/>
          <w:szCs w:val="20"/>
          <w:lang w:val="en-US"/>
        </w:rPr>
        <w:t xml:space="preserve"> H.R.A. </w:t>
      </w:r>
      <w:r w:rsidR="000A797F" w:rsidRPr="00AC57EA">
        <w:rPr>
          <w:sz w:val="20"/>
          <w:szCs w:val="20"/>
          <w:lang w:val="en-US"/>
        </w:rPr>
        <w:t>On the same date, a search warrant was issued</w:t>
      </w:r>
      <w:r w:rsidR="00AD39B0" w:rsidRPr="00AC57EA">
        <w:rPr>
          <w:sz w:val="20"/>
          <w:szCs w:val="20"/>
          <w:lang w:val="en-US"/>
        </w:rPr>
        <w:t>,</w:t>
      </w:r>
      <w:r w:rsidR="000A797F" w:rsidRPr="00AC57EA">
        <w:rPr>
          <w:sz w:val="20"/>
          <w:szCs w:val="20"/>
          <w:lang w:val="en-US"/>
        </w:rPr>
        <w:t xml:space="preserve"> </w:t>
      </w:r>
      <w:r w:rsidR="00AD39B0" w:rsidRPr="00AC57EA">
        <w:rPr>
          <w:sz w:val="20"/>
          <w:szCs w:val="20"/>
          <w:lang w:val="en-US"/>
        </w:rPr>
        <w:t>and</w:t>
      </w:r>
      <w:r w:rsidR="000A797F" w:rsidRPr="00AC57EA">
        <w:rPr>
          <w:sz w:val="20"/>
          <w:szCs w:val="20"/>
          <w:lang w:val="en-US"/>
        </w:rPr>
        <w:t xml:space="preserve"> </w:t>
      </w:r>
      <w:r w:rsidR="001E20DB" w:rsidRPr="00AC57EA">
        <w:rPr>
          <w:sz w:val="20"/>
          <w:szCs w:val="20"/>
          <w:lang w:val="en-US"/>
        </w:rPr>
        <w:t>H.R.A. was arrested</w:t>
      </w:r>
      <w:r w:rsidR="00B5625C" w:rsidRPr="00AC57EA">
        <w:rPr>
          <w:sz w:val="20"/>
          <w:szCs w:val="20"/>
          <w:vertAlign w:val="superscript"/>
          <w:lang w:val="en-US"/>
        </w:rPr>
        <w:footnoteReference w:id="58"/>
      </w:r>
      <w:r w:rsidR="001E20DB" w:rsidRPr="00AC57EA">
        <w:rPr>
          <w:sz w:val="20"/>
          <w:szCs w:val="20"/>
          <w:lang w:val="en-US"/>
        </w:rPr>
        <w:t xml:space="preserve"> and gave a preliminary</w:t>
      </w:r>
      <w:r w:rsidR="00B5625C" w:rsidRPr="00AC57EA">
        <w:rPr>
          <w:sz w:val="20"/>
          <w:szCs w:val="20"/>
          <w:lang w:val="en-US"/>
        </w:rPr>
        <w:t xml:space="preserve"> </w:t>
      </w:r>
      <w:r w:rsidR="001E20DB" w:rsidRPr="00AC57EA">
        <w:rPr>
          <w:sz w:val="20"/>
          <w:szCs w:val="20"/>
          <w:lang w:val="en-US"/>
        </w:rPr>
        <w:t>statement before the district criminal judge. On that occasion, he rejected the charges brought against him and asked that th</w:t>
      </w:r>
      <w:r w:rsidR="00AD39B0" w:rsidRPr="00AC57EA">
        <w:rPr>
          <w:sz w:val="20"/>
          <w:szCs w:val="20"/>
          <w:lang w:val="en-US"/>
        </w:rPr>
        <w:t>e said</w:t>
      </w:r>
      <w:r w:rsidR="001E20DB" w:rsidRPr="00AC57EA">
        <w:rPr>
          <w:sz w:val="20"/>
          <w:szCs w:val="20"/>
          <w:lang w:val="en-US"/>
        </w:rPr>
        <w:t xml:space="preserve"> court investigate the connection between members of the “Mormon sect” and his daughter</w:t>
      </w:r>
      <w:r w:rsidR="00AD39B0" w:rsidRPr="00AC57EA">
        <w:rPr>
          <w:sz w:val="20"/>
          <w:szCs w:val="20"/>
          <w:lang w:val="en-US"/>
        </w:rPr>
        <w:t>’s rape</w:t>
      </w:r>
      <w:r w:rsidR="001E20DB" w:rsidRPr="00AC57EA">
        <w:rPr>
          <w:sz w:val="20"/>
          <w:szCs w:val="20"/>
          <w:lang w:val="en-US"/>
        </w:rPr>
        <w:t>, because V.P.C. was a members of this sect and, supposedly, knew that one of its most senior representatives had been accused of the sexual abuse of minors.</w:t>
      </w:r>
      <w:r w:rsidR="00B5625C" w:rsidRPr="00AC57EA">
        <w:rPr>
          <w:sz w:val="20"/>
          <w:szCs w:val="20"/>
          <w:vertAlign w:val="superscript"/>
          <w:lang w:val="en-US"/>
        </w:rPr>
        <w:footnoteReference w:id="59"/>
      </w:r>
    </w:p>
    <w:p w14:paraId="40E9F972" w14:textId="77777777" w:rsidR="00B5625C" w:rsidRPr="00AC57EA" w:rsidRDefault="00B5625C" w:rsidP="00B5625C">
      <w:pPr>
        <w:spacing w:line="240" w:lineRule="auto"/>
        <w:rPr>
          <w:sz w:val="20"/>
          <w:szCs w:val="20"/>
          <w:lang w:val="en-US"/>
        </w:rPr>
      </w:pPr>
    </w:p>
    <w:p w14:paraId="6B136C6B" w14:textId="4DE7F439" w:rsidR="00B5625C" w:rsidRPr="00AC57EA" w:rsidRDefault="001E20DB" w:rsidP="00EB7A83">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Owing to these events, </w:t>
      </w:r>
      <w:r w:rsidR="00B5625C" w:rsidRPr="00AC57EA">
        <w:rPr>
          <w:sz w:val="20"/>
          <w:szCs w:val="20"/>
          <w:lang w:val="en-US"/>
        </w:rPr>
        <w:t xml:space="preserve">V.R.P. </w:t>
      </w:r>
      <w:r w:rsidRPr="00AC57EA">
        <w:rPr>
          <w:sz w:val="20"/>
          <w:szCs w:val="20"/>
          <w:lang w:val="en-US"/>
        </w:rPr>
        <w:t>stopped going to school</w:t>
      </w:r>
      <w:r w:rsidR="00B5625C" w:rsidRPr="00AC57EA">
        <w:rPr>
          <w:sz w:val="20"/>
          <w:szCs w:val="20"/>
          <w:vertAlign w:val="superscript"/>
          <w:lang w:val="en-US"/>
        </w:rPr>
        <w:footnoteReference w:id="60"/>
      </w:r>
      <w:r w:rsidRPr="00AC57EA">
        <w:rPr>
          <w:sz w:val="20"/>
          <w:szCs w:val="20"/>
          <w:lang w:val="en-US"/>
        </w:rPr>
        <w:t xml:space="preserve"> because she felt ashamed and was afraid of being rejected</w:t>
      </w:r>
      <w:r w:rsidR="00AD6270" w:rsidRPr="00AC57EA">
        <w:rPr>
          <w:sz w:val="20"/>
          <w:szCs w:val="20"/>
          <w:lang w:val="en-US"/>
        </w:rPr>
        <w:t xml:space="preserve"> as</w:t>
      </w:r>
      <w:r w:rsidRPr="00AC57EA">
        <w:rPr>
          <w:sz w:val="20"/>
          <w:szCs w:val="20"/>
          <w:lang w:val="en-US"/>
        </w:rPr>
        <w:t xml:space="preserve"> the proceedings had become public knowledge.</w:t>
      </w:r>
      <w:r w:rsidR="00B5625C" w:rsidRPr="00AC57EA">
        <w:rPr>
          <w:sz w:val="20"/>
          <w:szCs w:val="20"/>
          <w:vertAlign w:val="superscript"/>
          <w:lang w:val="en-US"/>
        </w:rPr>
        <w:footnoteReference w:id="61"/>
      </w:r>
      <w:r w:rsidRPr="00AC57EA">
        <w:rPr>
          <w:sz w:val="20"/>
          <w:szCs w:val="20"/>
          <w:lang w:val="en-US"/>
        </w:rPr>
        <w:t xml:space="preserve"> In this regard, it should be mentioned that, in an order of </w:t>
      </w:r>
      <w:r w:rsidR="000E74DA" w:rsidRPr="00AC57EA">
        <w:rPr>
          <w:sz w:val="20"/>
          <w:szCs w:val="20"/>
          <w:lang w:val="en-US"/>
        </w:rPr>
        <w:t>November 21,</w:t>
      </w:r>
      <w:r w:rsidR="00B5625C" w:rsidRPr="00AC57EA">
        <w:rPr>
          <w:sz w:val="20"/>
          <w:szCs w:val="20"/>
          <w:lang w:val="en-US"/>
        </w:rPr>
        <w:t xml:space="preserve"> 2001, </w:t>
      </w:r>
      <w:r w:rsidR="00EB7A83" w:rsidRPr="00AC57EA">
        <w:rPr>
          <w:sz w:val="20"/>
          <w:szCs w:val="20"/>
          <w:lang w:val="en-US"/>
        </w:rPr>
        <w:t>the Jinotega District Criminal Court</w:t>
      </w:r>
      <w:r w:rsidR="00B5625C" w:rsidRPr="00AC57EA">
        <w:rPr>
          <w:sz w:val="20"/>
          <w:szCs w:val="20"/>
          <w:lang w:val="en-US"/>
        </w:rPr>
        <w:t xml:space="preserve"> </w:t>
      </w:r>
      <w:r w:rsidR="00EB7A83" w:rsidRPr="00AC57EA">
        <w:rPr>
          <w:sz w:val="20"/>
          <w:szCs w:val="20"/>
          <w:lang w:val="en-US"/>
        </w:rPr>
        <w:t xml:space="preserve">established that “since </w:t>
      </w:r>
      <w:r w:rsidR="00AD6270" w:rsidRPr="00AC57EA">
        <w:rPr>
          <w:sz w:val="20"/>
          <w:szCs w:val="20"/>
          <w:lang w:val="en-US"/>
        </w:rPr>
        <w:t>the court had</w:t>
      </w:r>
      <w:r w:rsidR="00EB7A83" w:rsidRPr="00AC57EA">
        <w:rPr>
          <w:sz w:val="20"/>
          <w:szCs w:val="20"/>
          <w:lang w:val="en-US"/>
        </w:rPr>
        <w:t xml:space="preserve"> been requested </w:t>
      </w:r>
      <w:r w:rsidR="00AD6270" w:rsidRPr="00AC57EA">
        <w:rPr>
          <w:sz w:val="20"/>
          <w:szCs w:val="20"/>
          <w:lang w:val="en-US"/>
        </w:rPr>
        <w:t>to</w:t>
      </w:r>
      <w:r w:rsidR="00EB7A83" w:rsidRPr="00AC57EA">
        <w:rPr>
          <w:sz w:val="20"/>
          <w:szCs w:val="20"/>
          <w:lang w:val="en-US"/>
        </w:rPr>
        <w:t xml:space="preserve"> restrict the access of the media, and also the general public, this preliminary hearing will be held in private.</w:t>
      </w:r>
      <w:r w:rsidR="00B5625C" w:rsidRPr="00AC57EA">
        <w:rPr>
          <w:sz w:val="20"/>
          <w:szCs w:val="20"/>
          <w:lang w:val="en-US"/>
        </w:rPr>
        <w:t>”</w:t>
      </w:r>
      <w:r w:rsidR="00B5625C" w:rsidRPr="00AC57EA">
        <w:rPr>
          <w:sz w:val="20"/>
          <w:szCs w:val="20"/>
          <w:vertAlign w:val="superscript"/>
          <w:lang w:val="en-US"/>
        </w:rPr>
        <w:footnoteReference w:id="62"/>
      </w:r>
      <w:r w:rsidR="00EB7A83" w:rsidRPr="00AC57EA">
        <w:rPr>
          <w:sz w:val="20"/>
          <w:szCs w:val="20"/>
          <w:lang w:val="en-US"/>
        </w:rPr>
        <w:t xml:space="preserve"> Despite this, the radio station,</w:t>
      </w:r>
      <w:r w:rsidR="00695768" w:rsidRPr="00AC57EA">
        <w:rPr>
          <w:sz w:val="20"/>
          <w:szCs w:val="20"/>
          <w:lang w:val="en-US"/>
        </w:rPr>
        <w:t xml:space="preserve"> </w:t>
      </w:r>
      <w:r w:rsidR="00B5625C" w:rsidRPr="00AC57EA">
        <w:rPr>
          <w:sz w:val="20"/>
          <w:szCs w:val="20"/>
          <w:lang w:val="en-US"/>
        </w:rPr>
        <w:t xml:space="preserve">Radio Stereo Libre, 95.3 FM, </w:t>
      </w:r>
      <w:r w:rsidR="00EB7A83" w:rsidRPr="00AC57EA">
        <w:rPr>
          <w:sz w:val="20"/>
          <w:szCs w:val="20"/>
          <w:lang w:val="en-US"/>
        </w:rPr>
        <w:t>which had connections with the plaintiff’s lawyer</w:t>
      </w:r>
      <w:r w:rsidR="00AD6270" w:rsidRPr="00AC57EA">
        <w:rPr>
          <w:sz w:val="20"/>
          <w:szCs w:val="20"/>
          <w:lang w:val="en-US"/>
        </w:rPr>
        <w:t xml:space="preserve">, </w:t>
      </w:r>
      <w:r w:rsidR="00EB7A83" w:rsidRPr="00AC57EA">
        <w:rPr>
          <w:sz w:val="20"/>
          <w:szCs w:val="20"/>
          <w:lang w:val="en-US"/>
        </w:rPr>
        <w:t xml:space="preserve">covered each stage of the criminal proceedings against </w:t>
      </w:r>
      <w:r w:rsidR="00695768" w:rsidRPr="00AC57EA">
        <w:rPr>
          <w:sz w:val="20"/>
          <w:szCs w:val="20"/>
          <w:lang w:val="en-US"/>
        </w:rPr>
        <w:t>H.R.A.</w:t>
      </w:r>
      <w:r w:rsidR="00B5625C" w:rsidRPr="00AC57EA">
        <w:rPr>
          <w:sz w:val="20"/>
          <w:szCs w:val="20"/>
          <w:lang w:val="en-US"/>
        </w:rPr>
        <w:t xml:space="preserve"> </w:t>
      </w:r>
      <w:r w:rsidR="00EB7A83" w:rsidRPr="00AC57EA">
        <w:rPr>
          <w:sz w:val="20"/>
          <w:szCs w:val="20"/>
          <w:lang w:val="en-US"/>
        </w:rPr>
        <w:t>in</w:t>
      </w:r>
      <w:r w:rsidR="00B5625C" w:rsidRPr="00AC57EA">
        <w:rPr>
          <w:sz w:val="20"/>
          <w:szCs w:val="20"/>
          <w:lang w:val="en-US"/>
        </w:rPr>
        <w:t xml:space="preserve"> 2002</w:t>
      </w:r>
      <w:r w:rsidR="00EB7A83" w:rsidRPr="00AC57EA">
        <w:rPr>
          <w:sz w:val="20"/>
          <w:szCs w:val="20"/>
          <w:lang w:val="en-US"/>
        </w:rPr>
        <w:t>.</w:t>
      </w:r>
      <w:r w:rsidR="00B5625C" w:rsidRPr="00AC57EA">
        <w:rPr>
          <w:sz w:val="20"/>
          <w:szCs w:val="20"/>
          <w:vertAlign w:val="superscript"/>
          <w:lang w:val="en-US"/>
        </w:rPr>
        <w:footnoteReference w:id="63"/>
      </w:r>
    </w:p>
    <w:p w14:paraId="3E8C5711" w14:textId="77777777" w:rsidR="00B5625C" w:rsidRPr="00AC57EA" w:rsidRDefault="00B5625C" w:rsidP="00B5625C">
      <w:pPr>
        <w:spacing w:line="240" w:lineRule="auto"/>
        <w:rPr>
          <w:sz w:val="20"/>
          <w:szCs w:val="20"/>
          <w:lang w:val="en-US"/>
        </w:rPr>
      </w:pPr>
    </w:p>
    <w:p w14:paraId="28F4FED8" w14:textId="2C638DFB" w:rsidR="00B5625C" w:rsidRPr="00AC57EA" w:rsidRDefault="00EB7A83"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r w:rsidRPr="00AC57EA">
        <w:rPr>
          <w:rFonts w:eastAsia="MS Mincho"/>
          <w:b/>
          <w:bCs/>
          <w:i/>
          <w:sz w:val="20"/>
          <w:szCs w:val="20"/>
          <w:lang w:val="en-US"/>
        </w:rPr>
        <w:t>The evidentiary measures ordered</w:t>
      </w:r>
    </w:p>
    <w:p w14:paraId="59E16BE0" w14:textId="77777777" w:rsidR="00B5625C" w:rsidRPr="00AC57EA" w:rsidRDefault="00B5625C" w:rsidP="00B5625C">
      <w:pPr>
        <w:spacing w:line="240" w:lineRule="auto"/>
        <w:ind w:left="1418"/>
        <w:rPr>
          <w:sz w:val="20"/>
          <w:szCs w:val="20"/>
          <w:lang w:val="en-US"/>
        </w:rPr>
      </w:pPr>
    </w:p>
    <w:p w14:paraId="37F44E30" w14:textId="6A339078" w:rsidR="00B5625C" w:rsidRPr="00AC57EA" w:rsidRDefault="00EB7A83" w:rsidP="00390277">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During the preliminary proceedings, orders were issued to receive 21 statements</w:t>
      </w:r>
      <w:r w:rsidR="00B5625C" w:rsidRPr="00AC57EA">
        <w:rPr>
          <w:sz w:val="20"/>
          <w:szCs w:val="20"/>
          <w:vertAlign w:val="superscript"/>
          <w:lang w:val="en-US"/>
        </w:rPr>
        <w:footnoteReference w:id="64"/>
      </w:r>
      <w:r w:rsidR="00171E27" w:rsidRPr="00AC57EA">
        <w:rPr>
          <w:sz w:val="20"/>
          <w:szCs w:val="20"/>
          <w:lang w:val="en-US"/>
        </w:rPr>
        <w:t xml:space="preserve"> and </w:t>
      </w:r>
      <w:r w:rsidRPr="00AC57EA">
        <w:rPr>
          <w:sz w:val="20"/>
          <w:szCs w:val="20"/>
          <w:lang w:val="en-US"/>
        </w:rPr>
        <w:t>also to conduct other evidentiary measures described below.</w:t>
      </w:r>
    </w:p>
    <w:p w14:paraId="32684ACD" w14:textId="77777777" w:rsidR="00B5625C" w:rsidRPr="00AC57EA" w:rsidRDefault="00B5625C" w:rsidP="00B5625C">
      <w:pPr>
        <w:spacing w:line="240" w:lineRule="auto"/>
        <w:rPr>
          <w:sz w:val="20"/>
          <w:szCs w:val="20"/>
          <w:lang w:val="en-US"/>
        </w:rPr>
      </w:pPr>
    </w:p>
    <w:p w14:paraId="660A5943" w14:textId="5231FCB1" w:rsidR="00B5625C" w:rsidRPr="00AC57EA" w:rsidRDefault="00EB7A83" w:rsidP="002C415B">
      <w:pPr>
        <w:widowControl/>
        <w:numPr>
          <w:ilvl w:val="0"/>
          <w:numId w:val="6"/>
        </w:numPr>
        <w:adjustRightInd/>
        <w:spacing w:line="240" w:lineRule="auto"/>
        <w:ind w:left="1701"/>
        <w:jc w:val="left"/>
        <w:textAlignment w:val="auto"/>
        <w:rPr>
          <w:i/>
          <w:sz w:val="20"/>
          <w:szCs w:val="20"/>
          <w:lang w:val="en-US"/>
        </w:rPr>
      </w:pPr>
      <w:r w:rsidRPr="00AC57EA">
        <w:rPr>
          <w:i/>
          <w:sz w:val="20"/>
          <w:szCs w:val="20"/>
          <w:lang w:val="en-US"/>
        </w:rPr>
        <w:t>Medical examination of</w:t>
      </w:r>
      <w:r w:rsidR="00B5625C" w:rsidRPr="00AC57EA">
        <w:rPr>
          <w:i/>
          <w:sz w:val="20"/>
          <w:szCs w:val="20"/>
          <w:lang w:val="en-US"/>
        </w:rPr>
        <w:t xml:space="preserve"> V.R.P.</w:t>
      </w:r>
    </w:p>
    <w:p w14:paraId="360F416C" w14:textId="77777777" w:rsidR="00B5625C" w:rsidRPr="00AC57EA" w:rsidRDefault="00B5625C" w:rsidP="00B5625C">
      <w:pPr>
        <w:spacing w:line="240" w:lineRule="auto"/>
        <w:ind w:left="1701"/>
        <w:rPr>
          <w:i/>
          <w:sz w:val="20"/>
          <w:szCs w:val="20"/>
          <w:lang w:val="en-US"/>
        </w:rPr>
      </w:pPr>
    </w:p>
    <w:p w14:paraId="024D9D29" w14:textId="2A0D10BE" w:rsidR="00D2788D" w:rsidRPr="00AC57EA" w:rsidRDefault="00EB7A83" w:rsidP="00EB7A83">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sz w:val="20"/>
          <w:szCs w:val="20"/>
          <w:lang w:val="en-US"/>
        </w:rPr>
        <w:t>A</w:t>
      </w:r>
      <w:r w:rsidR="00B5625C" w:rsidRPr="00AC57EA">
        <w:rPr>
          <w:sz w:val="20"/>
          <w:szCs w:val="20"/>
          <w:lang w:val="en-US"/>
        </w:rPr>
        <w:t xml:space="preserve"> </w:t>
      </w:r>
      <w:r w:rsidRPr="00AC57EA">
        <w:rPr>
          <w:sz w:val="20"/>
          <w:szCs w:val="20"/>
          <w:lang w:val="en-US"/>
        </w:rPr>
        <w:t>medical examination</w:t>
      </w:r>
      <w:r w:rsidR="00CB1096" w:rsidRPr="00AC57EA">
        <w:rPr>
          <w:sz w:val="20"/>
          <w:szCs w:val="20"/>
          <w:lang w:val="en-US"/>
        </w:rPr>
        <w:t xml:space="preserve"> </w:t>
      </w:r>
      <w:r w:rsidRPr="00AC57EA">
        <w:rPr>
          <w:sz w:val="20"/>
          <w:szCs w:val="20"/>
          <w:lang w:val="en-US"/>
        </w:rPr>
        <w:t>of</w:t>
      </w:r>
      <w:r w:rsidR="00CB1096" w:rsidRPr="00AC57EA">
        <w:rPr>
          <w:sz w:val="20"/>
          <w:szCs w:val="20"/>
          <w:lang w:val="en-US"/>
        </w:rPr>
        <w:t xml:space="preserve"> V.R.P.</w:t>
      </w:r>
      <w:r w:rsidR="00B5625C" w:rsidRPr="00AC57EA">
        <w:rPr>
          <w:sz w:val="20"/>
          <w:szCs w:val="20"/>
          <w:lang w:val="en-US"/>
        </w:rPr>
        <w:t xml:space="preserve"> </w:t>
      </w:r>
      <w:r w:rsidRPr="00AC57EA">
        <w:rPr>
          <w:sz w:val="20"/>
          <w:szCs w:val="20"/>
          <w:lang w:val="en-US"/>
        </w:rPr>
        <w:t xml:space="preserve">was ordered. To this end, </w:t>
      </w:r>
      <w:r w:rsidRPr="00AC57EA">
        <w:rPr>
          <w:kern w:val="2"/>
          <w:sz w:val="20"/>
          <w:szCs w:val="20"/>
          <w:lang w:val="en-US" w:eastAsia="en-US"/>
        </w:rPr>
        <w:t>the district criminal judge</w:t>
      </w:r>
      <w:r w:rsidR="00D2788D" w:rsidRPr="00AC57EA">
        <w:rPr>
          <w:kern w:val="2"/>
          <w:sz w:val="20"/>
          <w:szCs w:val="20"/>
          <w:lang w:val="en-US" w:eastAsia="en-US"/>
        </w:rPr>
        <w:t xml:space="preserve"> </w:t>
      </w:r>
      <w:r w:rsidRPr="00AC57EA">
        <w:rPr>
          <w:kern w:val="2"/>
          <w:sz w:val="20"/>
          <w:szCs w:val="20"/>
          <w:lang w:val="en-US" w:eastAsia="en-US"/>
        </w:rPr>
        <w:t xml:space="preserve">in charge of the proceedings asked the </w:t>
      </w:r>
      <w:r w:rsidR="00D2788D" w:rsidRPr="00AC57EA">
        <w:rPr>
          <w:kern w:val="2"/>
          <w:sz w:val="20"/>
          <w:szCs w:val="20"/>
          <w:lang w:val="en-US" w:eastAsia="en-US"/>
        </w:rPr>
        <w:t>Director</w:t>
      </w:r>
      <w:r w:rsidRPr="00AC57EA">
        <w:rPr>
          <w:kern w:val="2"/>
          <w:sz w:val="20"/>
          <w:szCs w:val="20"/>
          <w:lang w:val="en-US" w:eastAsia="en-US"/>
        </w:rPr>
        <w:t xml:space="preserve"> of the</w:t>
      </w:r>
      <w:r w:rsidR="00D2788D" w:rsidRPr="00AC57EA">
        <w:rPr>
          <w:kern w:val="2"/>
          <w:sz w:val="20"/>
          <w:szCs w:val="20"/>
          <w:lang w:val="en-US" w:eastAsia="en-US"/>
        </w:rPr>
        <w:t xml:space="preserve"> </w:t>
      </w:r>
      <w:r w:rsidRPr="00AC57EA">
        <w:rPr>
          <w:kern w:val="2"/>
          <w:sz w:val="20"/>
          <w:szCs w:val="20"/>
          <w:lang w:val="en-US" w:eastAsia="en-US"/>
        </w:rPr>
        <w:t>Victoria Motta Hospital</w:t>
      </w:r>
      <w:r w:rsidR="00301DCB" w:rsidRPr="00AC57EA">
        <w:rPr>
          <w:kern w:val="2"/>
          <w:sz w:val="20"/>
          <w:szCs w:val="20"/>
          <w:lang w:val="en-US" w:eastAsia="en-US"/>
        </w:rPr>
        <w:t xml:space="preserve"> </w:t>
      </w:r>
      <w:r w:rsidRPr="00AC57EA">
        <w:rPr>
          <w:kern w:val="2"/>
          <w:sz w:val="20"/>
          <w:szCs w:val="20"/>
          <w:lang w:val="en-US" w:eastAsia="en-US"/>
        </w:rPr>
        <w:t xml:space="preserve">to </w:t>
      </w:r>
      <w:r w:rsidR="00D5359E" w:rsidRPr="00AC57EA">
        <w:rPr>
          <w:kern w:val="2"/>
          <w:sz w:val="20"/>
          <w:szCs w:val="20"/>
          <w:lang w:val="en-US" w:eastAsia="en-US"/>
        </w:rPr>
        <w:t>put together</w:t>
      </w:r>
      <w:r w:rsidRPr="00AC57EA">
        <w:rPr>
          <w:kern w:val="2"/>
          <w:sz w:val="20"/>
          <w:szCs w:val="20"/>
          <w:lang w:val="en-US" w:eastAsia="en-US"/>
        </w:rPr>
        <w:t xml:space="preserve"> a medical team composed of a pediatrician, a surgeon and a gynecologist</w:t>
      </w:r>
      <w:r w:rsidR="00D5359E" w:rsidRPr="00AC57EA">
        <w:rPr>
          <w:kern w:val="2"/>
          <w:sz w:val="20"/>
          <w:szCs w:val="20"/>
          <w:lang w:val="en-US" w:eastAsia="en-US"/>
        </w:rPr>
        <w:t xml:space="preserve"> </w:t>
      </w:r>
      <w:r w:rsidRPr="00AC57EA">
        <w:rPr>
          <w:kern w:val="2"/>
          <w:sz w:val="20"/>
          <w:szCs w:val="20"/>
          <w:lang w:val="en-US" w:eastAsia="en-US"/>
        </w:rPr>
        <w:t>t</w:t>
      </w:r>
      <w:r w:rsidR="00D5359E" w:rsidRPr="00AC57EA">
        <w:rPr>
          <w:kern w:val="2"/>
          <w:sz w:val="20"/>
          <w:szCs w:val="20"/>
          <w:lang w:val="en-US" w:eastAsia="en-US"/>
        </w:rPr>
        <w:t>o</w:t>
      </w:r>
      <w:r w:rsidRPr="00AC57EA">
        <w:rPr>
          <w:kern w:val="2"/>
          <w:sz w:val="20"/>
          <w:szCs w:val="20"/>
          <w:lang w:val="en-US" w:eastAsia="en-US"/>
        </w:rPr>
        <w:t xml:space="preserve"> conduct a forensic medic</w:t>
      </w:r>
      <w:r w:rsidR="00A80E9E" w:rsidRPr="00AC57EA">
        <w:rPr>
          <w:kern w:val="2"/>
          <w:sz w:val="20"/>
          <w:szCs w:val="20"/>
          <w:lang w:val="en-US" w:eastAsia="en-US"/>
        </w:rPr>
        <w:t>al</w:t>
      </w:r>
      <w:r w:rsidRPr="00AC57EA">
        <w:rPr>
          <w:kern w:val="2"/>
          <w:sz w:val="20"/>
          <w:szCs w:val="20"/>
          <w:lang w:val="en-US" w:eastAsia="en-US"/>
        </w:rPr>
        <w:t xml:space="preserve"> assessment of</w:t>
      </w:r>
      <w:r w:rsidR="00D2788D" w:rsidRPr="00AC57EA">
        <w:rPr>
          <w:kern w:val="2"/>
          <w:sz w:val="20"/>
          <w:szCs w:val="20"/>
          <w:lang w:val="en-US" w:eastAsia="en-US"/>
        </w:rPr>
        <w:t xml:space="preserve"> V.R.P</w:t>
      </w:r>
      <w:r w:rsidRPr="00AC57EA">
        <w:rPr>
          <w:kern w:val="2"/>
          <w:sz w:val="20"/>
          <w:szCs w:val="20"/>
          <w:lang w:val="en-US" w:eastAsia="en-US"/>
        </w:rPr>
        <w:t>.</w:t>
      </w:r>
      <w:r w:rsidR="00D5359E" w:rsidRPr="00AC57EA">
        <w:rPr>
          <w:kern w:val="2"/>
          <w:sz w:val="20"/>
          <w:szCs w:val="20"/>
          <w:lang w:val="en-US" w:eastAsia="en-US"/>
        </w:rPr>
        <w:t xml:space="preserve"> with the forensic physician.</w:t>
      </w:r>
      <w:r w:rsidR="00D2788D" w:rsidRPr="00AC57EA">
        <w:rPr>
          <w:kern w:val="2"/>
          <w:sz w:val="20"/>
          <w:szCs w:val="20"/>
          <w:vertAlign w:val="superscript"/>
          <w:lang w:val="en-US" w:eastAsia="en-US"/>
        </w:rPr>
        <w:footnoteReference w:id="65"/>
      </w:r>
      <w:r w:rsidRPr="00AC57EA">
        <w:rPr>
          <w:kern w:val="2"/>
          <w:sz w:val="20"/>
          <w:szCs w:val="20"/>
          <w:lang w:val="en-US" w:eastAsia="en-US"/>
        </w:rPr>
        <w:t xml:space="preserve"> The Director of the hospital set up this </w:t>
      </w:r>
      <w:r w:rsidRPr="00AC57EA">
        <w:rPr>
          <w:kern w:val="2"/>
          <w:sz w:val="20"/>
          <w:szCs w:val="20"/>
          <w:lang w:val="en-US" w:eastAsia="en-US"/>
        </w:rPr>
        <w:lastRenderedPageBreak/>
        <w:t>medical team as requested</w:t>
      </w:r>
      <w:r w:rsidR="00D2788D" w:rsidRPr="00AC57EA">
        <w:rPr>
          <w:kern w:val="2"/>
          <w:sz w:val="20"/>
          <w:szCs w:val="20"/>
          <w:vertAlign w:val="superscript"/>
          <w:lang w:val="en-US" w:eastAsia="en-US"/>
        </w:rPr>
        <w:footnoteReference w:id="66"/>
      </w:r>
      <w:r w:rsidR="00171E27" w:rsidRPr="00AC57EA">
        <w:rPr>
          <w:kern w:val="2"/>
          <w:sz w:val="20"/>
          <w:szCs w:val="20"/>
          <w:lang w:val="en-US" w:eastAsia="en-US"/>
        </w:rPr>
        <w:t xml:space="preserve"> and</w:t>
      </w:r>
      <w:r w:rsidRPr="00AC57EA">
        <w:rPr>
          <w:kern w:val="2"/>
          <w:sz w:val="20"/>
          <w:szCs w:val="20"/>
          <w:lang w:val="en-US" w:eastAsia="en-US"/>
        </w:rPr>
        <w:t>,</w:t>
      </w:r>
      <w:r w:rsidR="00171E27" w:rsidRPr="00AC57EA">
        <w:rPr>
          <w:kern w:val="2"/>
          <w:sz w:val="20"/>
          <w:szCs w:val="20"/>
          <w:lang w:val="en-US" w:eastAsia="en-US"/>
        </w:rPr>
        <w:t xml:space="preserve"> </w:t>
      </w:r>
      <w:r w:rsidRPr="00AC57EA">
        <w:rPr>
          <w:kern w:val="2"/>
          <w:sz w:val="20"/>
          <w:szCs w:val="20"/>
          <w:lang w:val="en-US" w:eastAsia="en-US"/>
        </w:rPr>
        <w:t>on November 22,</w:t>
      </w:r>
      <w:r w:rsidR="00D2788D" w:rsidRPr="00AC57EA">
        <w:rPr>
          <w:kern w:val="2"/>
          <w:sz w:val="20"/>
          <w:szCs w:val="20"/>
          <w:lang w:val="en-US" w:eastAsia="en-US"/>
        </w:rPr>
        <w:t xml:space="preserve"> 2001</w:t>
      </w:r>
      <w:r w:rsidRPr="00AC57EA">
        <w:rPr>
          <w:kern w:val="2"/>
          <w:sz w:val="20"/>
          <w:szCs w:val="20"/>
          <w:lang w:val="en-US" w:eastAsia="en-US"/>
        </w:rPr>
        <w:t>, the forensic physician tried to carry out the requested procedure, in which not only three doctors took part (the pediatrician, the surgeon and the gynecologist), but</w:t>
      </w:r>
      <w:r w:rsidR="00D5359E" w:rsidRPr="00AC57EA">
        <w:rPr>
          <w:kern w:val="2"/>
          <w:sz w:val="20"/>
          <w:szCs w:val="20"/>
          <w:lang w:val="en-US" w:eastAsia="en-US"/>
        </w:rPr>
        <w:t xml:space="preserve"> in addition </w:t>
      </w:r>
      <w:r w:rsidRPr="00AC57EA">
        <w:rPr>
          <w:kern w:val="2"/>
          <w:sz w:val="20"/>
          <w:szCs w:val="20"/>
          <w:lang w:val="en-US" w:eastAsia="en-US"/>
        </w:rPr>
        <w:t xml:space="preserve">a psychiatrist, the judge and the judge’s secretary were </w:t>
      </w:r>
      <w:r w:rsidR="00D5359E" w:rsidRPr="00AC57EA">
        <w:rPr>
          <w:kern w:val="2"/>
          <w:sz w:val="20"/>
          <w:szCs w:val="20"/>
          <w:lang w:val="en-US" w:eastAsia="en-US"/>
        </w:rPr>
        <w:t xml:space="preserve">also </w:t>
      </w:r>
      <w:r w:rsidRPr="00AC57EA">
        <w:rPr>
          <w:kern w:val="2"/>
          <w:sz w:val="20"/>
          <w:szCs w:val="20"/>
          <w:lang w:val="en-US" w:eastAsia="en-US"/>
        </w:rPr>
        <w:t>present.</w:t>
      </w:r>
      <w:r w:rsidR="00D2788D" w:rsidRPr="00AC57EA">
        <w:rPr>
          <w:kern w:val="2"/>
          <w:sz w:val="20"/>
          <w:szCs w:val="20"/>
          <w:vertAlign w:val="superscript"/>
          <w:lang w:val="en-US" w:eastAsia="en-US"/>
        </w:rPr>
        <w:footnoteReference w:id="67"/>
      </w:r>
    </w:p>
    <w:p w14:paraId="7692E7F6" w14:textId="77777777" w:rsidR="00D2788D" w:rsidRPr="00AC57EA" w:rsidRDefault="00D2788D" w:rsidP="00D2788D">
      <w:pPr>
        <w:tabs>
          <w:tab w:val="left" w:pos="567"/>
        </w:tabs>
        <w:spacing w:line="240" w:lineRule="auto"/>
        <w:rPr>
          <w:sz w:val="20"/>
          <w:szCs w:val="20"/>
          <w:lang w:val="en-US"/>
        </w:rPr>
      </w:pPr>
    </w:p>
    <w:p w14:paraId="7CD9BFCD" w14:textId="4004963A" w:rsidR="00B5625C" w:rsidRPr="00AC57EA" w:rsidRDefault="00A80E9E" w:rsidP="00A80E9E">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The </w:t>
      </w:r>
      <w:r w:rsidR="002A0685" w:rsidRPr="00AC57EA">
        <w:rPr>
          <w:sz w:val="20"/>
          <w:szCs w:val="20"/>
          <w:lang w:val="en-US"/>
        </w:rPr>
        <w:t>judicial</w:t>
      </w:r>
      <w:r w:rsidRPr="00AC57EA">
        <w:rPr>
          <w:sz w:val="20"/>
          <w:szCs w:val="20"/>
          <w:lang w:val="en-US"/>
        </w:rPr>
        <w:t xml:space="preserve"> record</w:t>
      </w:r>
      <w:r w:rsidR="00CB1096" w:rsidRPr="00AC57EA">
        <w:rPr>
          <w:sz w:val="20"/>
          <w:szCs w:val="20"/>
          <w:lang w:val="en-US"/>
        </w:rPr>
        <w:t xml:space="preserve"> </w:t>
      </w:r>
      <w:r w:rsidR="00EB7A83" w:rsidRPr="00AC57EA">
        <w:rPr>
          <w:sz w:val="20"/>
          <w:szCs w:val="20"/>
          <w:lang w:val="en-US"/>
        </w:rPr>
        <w:t>of November 22,</w:t>
      </w:r>
      <w:r w:rsidR="00CB1096" w:rsidRPr="00AC57EA">
        <w:rPr>
          <w:sz w:val="20"/>
          <w:szCs w:val="20"/>
          <w:lang w:val="en-US"/>
        </w:rPr>
        <w:t xml:space="preserve"> 2001</w:t>
      </w:r>
      <w:r w:rsidRPr="00AC57EA">
        <w:rPr>
          <w:sz w:val="20"/>
          <w:szCs w:val="20"/>
          <w:lang w:val="en-US"/>
        </w:rPr>
        <w:t xml:space="preserve">, noted that the forensic physician, accompanied by </w:t>
      </w:r>
      <w:r w:rsidRPr="00AC57EA">
        <w:rPr>
          <w:kern w:val="2"/>
          <w:sz w:val="20"/>
          <w:szCs w:val="20"/>
          <w:lang w:val="en-US" w:eastAsia="en-US"/>
        </w:rPr>
        <w:t>a gynecologist, a pediatrician and a psychiatrist began the forensic medic</w:t>
      </w:r>
      <w:r w:rsidR="009B7443" w:rsidRPr="00AC57EA">
        <w:rPr>
          <w:kern w:val="2"/>
          <w:sz w:val="20"/>
          <w:szCs w:val="20"/>
          <w:lang w:val="en-US" w:eastAsia="en-US"/>
        </w:rPr>
        <w:t>al</w:t>
      </w:r>
      <w:r w:rsidRPr="00AC57EA">
        <w:rPr>
          <w:kern w:val="2"/>
          <w:sz w:val="20"/>
          <w:szCs w:val="20"/>
          <w:lang w:val="en-US" w:eastAsia="en-US"/>
        </w:rPr>
        <w:t xml:space="preserve"> examination of V.R.P., describing certain findings, but “the whole procedure was suspended owing to the child’s negativity.</w:t>
      </w:r>
      <w:r w:rsidR="00CB1096" w:rsidRPr="00AC57EA">
        <w:rPr>
          <w:sz w:val="20"/>
          <w:szCs w:val="20"/>
          <w:lang w:val="en-US"/>
        </w:rPr>
        <w:t>”</w:t>
      </w:r>
      <w:r w:rsidR="00CB1096" w:rsidRPr="00AC57EA">
        <w:rPr>
          <w:sz w:val="20"/>
          <w:szCs w:val="20"/>
          <w:vertAlign w:val="superscript"/>
          <w:lang w:val="en-US"/>
        </w:rPr>
        <w:footnoteReference w:id="68"/>
      </w:r>
      <w:r w:rsidR="00CB1096" w:rsidRPr="00AC57EA">
        <w:rPr>
          <w:sz w:val="20"/>
          <w:szCs w:val="20"/>
          <w:lang w:val="en-US"/>
        </w:rPr>
        <w:t xml:space="preserve"> </w:t>
      </w:r>
      <w:r w:rsidRPr="00AC57EA">
        <w:rPr>
          <w:sz w:val="20"/>
          <w:szCs w:val="20"/>
          <w:lang w:val="en-US"/>
        </w:rPr>
        <w:t>In a communication presented to the Director of the</w:t>
      </w:r>
      <w:r w:rsidR="00C37DAE" w:rsidRPr="00AC57EA">
        <w:rPr>
          <w:sz w:val="20"/>
          <w:szCs w:val="20"/>
          <w:lang w:val="en-US"/>
        </w:rPr>
        <w:t xml:space="preserve"> </w:t>
      </w:r>
      <w:r w:rsidRPr="00AC57EA">
        <w:rPr>
          <w:sz w:val="20"/>
          <w:szCs w:val="20"/>
          <w:lang w:val="en-US"/>
        </w:rPr>
        <w:t>Local Comprehensive Health Care System</w:t>
      </w:r>
      <w:r w:rsidR="00C37DAE" w:rsidRPr="00AC57EA">
        <w:rPr>
          <w:sz w:val="20"/>
          <w:szCs w:val="20"/>
          <w:lang w:val="en-US"/>
        </w:rPr>
        <w:t xml:space="preserve"> (SILAIS) </w:t>
      </w:r>
      <w:r w:rsidRPr="00AC57EA">
        <w:rPr>
          <w:sz w:val="20"/>
          <w:szCs w:val="20"/>
          <w:lang w:val="en-US"/>
        </w:rPr>
        <w:t>of the</w:t>
      </w:r>
      <w:r w:rsidR="00C37DAE" w:rsidRPr="00AC57EA">
        <w:rPr>
          <w:sz w:val="20"/>
          <w:szCs w:val="20"/>
          <w:lang w:val="en-US"/>
        </w:rPr>
        <w:t xml:space="preserve"> </w:t>
      </w:r>
      <w:r w:rsidRPr="00AC57EA">
        <w:rPr>
          <w:sz w:val="20"/>
          <w:szCs w:val="20"/>
          <w:lang w:val="en-US"/>
        </w:rPr>
        <w:t>Department of</w:t>
      </w:r>
      <w:r w:rsidR="00C37DAE" w:rsidRPr="00AC57EA">
        <w:rPr>
          <w:sz w:val="20"/>
          <w:szCs w:val="20"/>
          <w:lang w:val="en-US"/>
        </w:rPr>
        <w:t xml:space="preserve"> Jinotega, </w:t>
      </w:r>
      <w:r w:rsidRPr="00AC57EA">
        <w:rPr>
          <w:sz w:val="20"/>
          <w:szCs w:val="20"/>
          <w:lang w:val="en-US"/>
        </w:rPr>
        <w:t>V.P.C. explained that the medical professional who intervened had “behaved in an unethical, grotesque and vulgar manner” when examining her daughter</w:t>
      </w:r>
      <w:r w:rsidR="00C37DAE" w:rsidRPr="00AC57EA">
        <w:rPr>
          <w:sz w:val="20"/>
          <w:szCs w:val="20"/>
          <w:vertAlign w:val="superscript"/>
          <w:lang w:val="en-US"/>
        </w:rPr>
        <w:footnoteReference w:id="69"/>
      </w:r>
      <w:r w:rsidR="00C37DAE" w:rsidRPr="00AC57EA">
        <w:rPr>
          <w:sz w:val="20"/>
          <w:szCs w:val="20"/>
          <w:lang w:val="en-US"/>
        </w:rPr>
        <w:t xml:space="preserve"> (</w:t>
      </w:r>
      <w:r w:rsidR="00C37DAE" w:rsidRPr="00AC57EA">
        <w:rPr>
          <w:i/>
          <w:sz w:val="20"/>
          <w:szCs w:val="20"/>
          <w:lang w:val="en-US"/>
        </w:rPr>
        <w:t>infra</w:t>
      </w:r>
      <w:r w:rsidR="00C37DAE" w:rsidRPr="00AC57EA">
        <w:rPr>
          <w:sz w:val="20"/>
          <w:szCs w:val="20"/>
          <w:lang w:val="en-US"/>
        </w:rPr>
        <w:t xml:space="preserve"> </w:t>
      </w:r>
      <w:r w:rsidR="00171E27" w:rsidRPr="00AC57EA">
        <w:rPr>
          <w:sz w:val="20"/>
          <w:szCs w:val="20"/>
          <w:lang w:val="en-US"/>
        </w:rPr>
        <w:t>para.</w:t>
      </w:r>
      <w:r w:rsidR="00C37DAE" w:rsidRPr="00AC57EA">
        <w:rPr>
          <w:sz w:val="20"/>
          <w:szCs w:val="20"/>
          <w:lang w:val="en-US"/>
        </w:rPr>
        <w:t xml:space="preserve"> </w:t>
      </w:r>
      <w:r w:rsidR="0016280F" w:rsidRPr="00AC57EA">
        <w:rPr>
          <w:sz w:val="20"/>
          <w:szCs w:val="20"/>
          <w:lang w:val="en-US"/>
        </w:rPr>
        <w:t>177</w:t>
      </w:r>
      <w:r w:rsidR="00C37DAE" w:rsidRPr="00AC57EA">
        <w:rPr>
          <w:sz w:val="20"/>
          <w:szCs w:val="20"/>
          <w:lang w:val="en-US"/>
        </w:rPr>
        <w:t xml:space="preserve">). </w:t>
      </w:r>
      <w:r w:rsidRPr="00AC57EA">
        <w:rPr>
          <w:sz w:val="20"/>
          <w:szCs w:val="20"/>
          <w:lang w:val="en-US"/>
        </w:rPr>
        <w:t xml:space="preserve">During her appearance before this Court, </w:t>
      </w:r>
      <w:r w:rsidR="00CB1096" w:rsidRPr="00AC57EA">
        <w:rPr>
          <w:sz w:val="20"/>
          <w:szCs w:val="20"/>
          <w:lang w:val="en-US"/>
        </w:rPr>
        <w:t xml:space="preserve">V.R.P. </w:t>
      </w:r>
      <w:r w:rsidRPr="00AC57EA">
        <w:rPr>
          <w:sz w:val="20"/>
          <w:szCs w:val="20"/>
          <w:lang w:val="en-US"/>
        </w:rPr>
        <w:t>recounted the circumstances in which the procedure took place and the reasons why she refused to let the examination continue.</w:t>
      </w:r>
      <w:r w:rsidR="00CB1096" w:rsidRPr="00AC57EA">
        <w:rPr>
          <w:sz w:val="20"/>
          <w:szCs w:val="20"/>
          <w:vertAlign w:val="superscript"/>
          <w:lang w:val="en-US"/>
        </w:rPr>
        <w:footnoteReference w:id="70"/>
      </w:r>
    </w:p>
    <w:p w14:paraId="48A020EB" w14:textId="6700FB99" w:rsidR="00B5625C" w:rsidRPr="00AC57EA" w:rsidRDefault="00B5625C" w:rsidP="00B5625C">
      <w:pPr>
        <w:spacing w:line="240" w:lineRule="auto"/>
        <w:rPr>
          <w:sz w:val="20"/>
          <w:szCs w:val="20"/>
          <w:lang w:val="en-US"/>
        </w:rPr>
      </w:pPr>
    </w:p>
    <w:p w14:paraId="421BC48B" w14:textId="5224F5E4" w:rsidR="00BA1DFE" w:rsidRPr="00AC57EA" w:rsidRDefault="00A80E9E" w:rsidP="009B7443">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The statements received by the Court reveal that, during the first forensic</w:t>
      </w:r>
      <w:r w:rsidR="002E5257" w:rsidRPr="00AC57EA">
        <w:rPr>
          <w:sz w:val="20"/>
          <w:szCs w:val="20"/>
          <w:lang w:val="en-US"/>
        </w:rPr>
        <w:t xml:space="preserve"> </w:t>
      </w:r>
      <w:r w:rsidR="00EB7A83" w:rsidRPr="00AC57EA">
        <w:rPr>
          <w:sz w:val="20"/>
          <w:szCs w:val="20"/>
          <w:lang w:val="en-US"/>
        </w:rPr>
        <w:t>medical examination</w:t>
      </w:r>
      <w:r w:rsidR="009B7443" w:rsidRPr="00AC57EA">
        <w:rPr>
          <w:sz w:val="20"/>
          <w:szCs w:val="20"/>
          <w:lang w:val="en-US"/>
        </w:rPr>
        <w:t>, the physician smelt of alcohol</w:t>
      </w:r>
      <w:r w:rsidR="000615BD" w:rsidRPr="00AC57EA">
        <w:rPr>
          <w:sz w:val="20"/>
          <w:szCs w:val="20"/>
          <w:lang w:val="en-US"/>
        </w:rPr>
        <w:t>; also, he</w:t>
      </w:r>
      <w:r w:rsidR="009B7443" w:rsidRPr="00AC57EA">
        <w:rPr>
          <w:sz w:val="20"/>
          <w:szCs w:val="20"/>
          <w:lang w:val="en-US"/>
        </w:rPr>
        <w:t xml:space="preserve"> did not allow V.R.P</w:t>
      </w:r>
      <w:r w:rsidR="000615BD" w:rsidRPr="00AC57EA">
        <w:rPr>
          <w:sz w:val="20"/>
          <w:szCs w:val="20"/>
          <w:lang w:val="en-US"/>
        </w:rPr>
        <w:t>’s mother</w:t>
      </w:r>
      <w:r w:rsidR="009B7443" w:rsidRPr="00AC57EA">
        <w:rPr>
          <w:sz w:val="20"/>
          <w:szCs w:val="20"/>
          <w:lang w:val="en-US"/>
        </w:rPr>
        <w:t xml:space="preserve"> to place a </w:t>
      </w:r>
      <w:r w:rsidR="00C709C9" w:rsidRPr="00AC57EA">
        <w:rPr>
          <w:sz w:val="20"/>
          <w:szCs w:val="20"/>
          <w:lang w:val="en-US"/>
        </w:rPr>
        <w:t xml:space="preserve">blanket </w:t>
      </w:r>
      <w:r w:rsidR="009B7443" w:rsidRPr="00AC57EA">
        <w:rPr>
          <w:sz w:val="20"/>
          <w:szCs w:val="20"/>
          <w:lang w:val="en-US"/>
        </w:rPr>
        <w:t>and a cushion for the child to lie on, bearing in mind that she was in pai</w:t>
      </w:r>
      <w:r w:rsidR="00C709C9" w:rsidRPr="00AC57EA">
        <w:rPr>
          <w:sz w:val="20"/>
          <w:szCs w:val="20"/>
          <w:lang w:val="en-US"/>
        </w:rPr>
        <w:t>n</w:t>
      </w:r>
      <w:r w:rsidR="009B7443" w:rsidRPr="00AC57EA">
        <w:rPr>
          <w:sz w:val="20"/>
          <w:szCs w:val="20"/>
          <w:lang w:val="en-US"/>
        </w:rPr>
        <w:t xml:space="preserve"> and had sores because she had recent</w:t>
      </w:r>
      <w:r w:rsidR="000615BD" w:rsidRPr="00AC57EA">
        <w:rPr>
          <w:sz w:val="20"/>
          <w:szCs w:val="20"/>
          <w:lang w:val="en-US"/>
        </w:rPr>
        <w:t>ly undergone a</w:t>
      </w:r>
      <w:r w:rsidR="009B7443" w:rsidRPr="00AC57EA">
        <w:rPr>
          <w:sz w:val="20"/>
          <w:szCs w:val="20"/>
          <w:lang w:val="en-US"/>
        </w:rPr>
        <w:t xml:space="preserve"> surgical procedure, and she was told to lie down on a metal gurney. The evidence received by this Court reveals that, during the medical examination, V.R.P., indicated her refusal to allow it owing to the pain she felt due to the violent manner in which the doctor had touched her. Indeed, the statements of V.R.P., V.P.C. and V.R.P.</w:t>
      </w:r>
      <w:r w:rsidR="000615BD" w:rsidRPr="00AC57EA">
        <w:rPr>
          <w:sz w:val="20"/>
          <w:szCs w:val="20"/>
          <w:lang w:val="en-US"/>
        </w:rPr>
        <w:t>’s grandmother</w:t>
      </w:r>
      <w:r w:rsidR="009B7443" w:rsidRPr="00AC57EA">
        <w:rPr>
          <w:sz w:val="20"/>
          <w:szCs w:val="20"/>
          <w:lang w:val="en-US"/>
        </w:rPr>
        <w:t xml:space="preserve"> all agree in indicating that the doctor, when examining V.R.P., “opened her legs,” “used considerable force,” so that the child tended to close her legs because she felt a burning sensation and a great deal of pain in the affected areas.</w:t>
      </w:r>
      <w:r w:rsidR="00BA1DFE" w:rsidRPr="00AC57EA">
        <w:rPr>
          <w:rStyle w:val="Refdenotaalpie"/>
          <w:rFonts w:eastAsia="MS ????"/>
          <w:sz w:val="20"/>
          <w:szCs w:val="20"/>
          <w:lang w:val="en-US"/>
        </w:rPr>
        <w:footnoteReference w:id="71"/>
      </w:r>
      <w:r w:rsidR="002A0685" w:rsidRPr="00AC57EA">
        <w:rPr>
          <w:sz w:val="20"/>
          <w:szCs w:val="20"/>
          <w:lang w:val="en-US"/>
        </w:rPr>
        <w:t xml:space="preserve"> Owing to the violent attitude of the physician, some of </w:t>
      </w:r>
      <w:r w:rsidR="000615BD" w:rsidRPr="00AC57EA">
        <w:rPr>
          <w:sz w:val="20"/>
          <w:szCs w:val="20"/>
          <w:lang w:val="en-US"/>
        </w:rPr>
        <w:t xml:space="preserve">the </w:t>
      </w:r>
      <w:r w:rsidR="002A0685" w:rsidRPr="00AC57EA">
        <w:rPr>
          <w:sz w:val="20"/>
          <w:szCs w:val="20"/>
          <w:lang w:val="en-US"/>
        </w:rPr>
        <w:t>health</w:t>
      </w:r>
      <w:r w:rsidR="000615BD" w:rsidRPr="00AC57EA">
        <w:rPr>
          <w:sz w:val="20"/>
          <w:szCs w:val="20"/>
          <w:lang w:val="en-US"/>
        </w:rPr>
        <w:t xml:space="preserve"> care</w:t>
      </w:r>
      <w:r w:rsidR="002A0685" w:rsidRPr="00AC57EA">
        <w:rPr>
          <w:sz w:val="20"/>
          <w:szCs w:val="20"/>
          <w:lang w:val="en-US"/>
        </w:rPr>
        <w:t xml:space="preserve"> personnel present decided not to continue </w:t>
      </w:r>
      <w:r w:rsidR="000615BD" w:rsidRPr="00AC57EA">
        <w:rPr>
          <w:sz w:val="20"/>
          <w:szCs w:val="20"/>
          <w:lang w:val="en-US"/>
        </w:rPr>
        <w:t xml:space="preserve">participating </w:t>
      </w:r>
      <w:r w:rsidR="002A0685" w:rsidRPr="00AC57EA">
        <w:rPr>
          <w:sz w:val="20"/>
          <w:szCs w:val="20"/>
          <w:lang w:val="en-US"/>
        </w:rPr>
        <w:t>in the procedure.</w:t>
      </w:r>
      <w:r w:rsidR="00BA1DFE" w:rsidRPr="00AC57EA">
        <w:rPr>
          <w:rStyle w:val="Refdenotaalpie"/>
          <w:rFonts w:eastAsia="MS ????"/>
          <w:sz w:val="20"/>
          <w:szCs w:val="20"/>
          <w:lang w:val="en-US"/>
        </w:rPr>
        <w:footnoteReference w:id="72"/>
      </w:r>
    </w:p>
    <w:p w14:paraId="3E4FD4EC" w14:textId="77777777" w:rsidR="00B5625C" w:rsidRPr="00AC57EA" w:rsidRDefault="00B5625C" w:rsidP="009651A9">
      <w:pPr>
        <w:tabs>
          <w:tab w:val="left" w:pos="567"/>
        </w:tabs>
        <w:spacing w:line="240" w:lineRule="auto"/>
        <w:rPr>
          <w:sz w:val="20"/>
          <w:szCs w:val="20"/>
          <w:lang w:val="en-US"/>
        </w:rPr>
      </w:pPr>
    </w:p>
    <w:p w14:paraId="17A84611" w14:textId="29D32CF1" w:rsidR="00B5625C" w:rsidRPr="00AC57EA" w:rsidRDefault="002A0685" w:rsidP="009651A9">
      <w:pPr>
        <w:numPr>
          <w:ilvl w:val="0"/>
          <w:numId w:val="2"/>
        </w:numPr>
        <w:tabs>
          <w:tab w:val="left" w:pos="567"/>
          <w:tab w:val="num" w:pos="12305"/>
        </w:tabs>
        <w:spacing w:line="240" w:lineRule="auto"/>
        <w:ind w:left="0" w:firstLine="0"/>
        <w:rPr>
          <w:sz w:val="16"/>
          <w:szCs w:val="16"/>
          <w:lang w:val="en-US"/>
        </w:rPr>
      </w:pPr>
      <w:r w:rsidRPr="00AC57EA">
        <w:rPr>
          <w:sz w:val="20"/>
          <w:szCs w:val="20"/>
          <w:lang w:val="en-US"/>
        </w:rPr>
        <w:t>Subsequently,</w:t>
      </w:r>
      <w:r w:rsidR="00B5625C" w:rsidRPr="00AC57EA">
        <w:rPr>
          <w:sz w:val="20"/>
          <w:szCs w:val="20"/>
          <w:lang w:val="en-US"/>
        </w:rPr>
        <w:t xml:space="preserve"> V.P.C. </w:t>
      </w:r>
      <w:r w:rsidRPr="00AC57EA">
        <w:rPr>
          <w:sz w:val="20"/>
          <w:szCs w:val="20"/>
          <w:lang w:val="en-US"/>
        </w:rPr>
        <w:t>insisted that</w:t>
      </w:r>
      <w:r w:rsidR="000615BD" w:rsidRPr="00AC57EA">
        <w:rPr>
          <w:sz w:val="20"/>
          <w:szCs w:val="20"/>
          <w:lang w:val="en-US"/>
        </w:rPr>
        <w:t xml:space="preserve"> it should be</w:t>
      </w:r>
      <w:r w:rsidRPr="00AC57EA">
        <w:rPr>
          <w:sz w:val="20"/>
          <w:szCs w:val="20"/>
          <w:lang w:val="en-US"/>
        </w:rPr>
        <w:t xml:space="preserve"> the forensic physician</w:t>
      </w:r>
      <w:r w:rsidR="000615BD" w:rsidRPr="00AC57EA">
        <w:rPr>
          <w:sz w:val="20"/>
          <w:szCs w:val="20"/>
          <w:lang w:val="en-US"/>
        </w:rPr>
        <w:t>’s assistant</w:t>
      </w:r>
      <w:r w:rsidRPr="00AC57EA">
        <w:rPr>
          <w:sz w:val="20"/>
          <w:szCs w:val="20"/>
          <w:lang w:val="en-US"/>
        </w:rPr>
        <w:t xml:space="preserve">, accompanied by the pediatrician and the gynecologist appointed by the hospital, </w:t>
      </w:r>
      <w:r w:rsidR="000615BD" w:rsidRPr="00AC57EA">
        <w:rPr>
          <w:sz w:val="20"/>
          <w:szCs w:val="20"/>
          <w:lang w:val="en-US"/>
        </w:rPr>
        <w:t>who</w:t>
      </w:r>
      <w:r w:rsidRPr="00AC57EA">
        <w:rPr>
          <w:sz w:val="20"/>
          <w:szCs w:val="20"/>
          <w:lang w:val="en-US"/>
        </w:rPr>
        <w:t xml:space="preserve"> conduct</w:t>
      </w:r>
      <w:r w:rsidR="000615BD" w:rsidRPr="00AC57EA">
        <w:rPr>
          <w:sz w:val="20"/>
          <w:szCs w:val="20"/>
          <w:lang w:val="en-US"/>
        </w:rPr>
        <w:t>ed</w:t>
      </w:r>
      <w:r w:rsidRPr="00AC57EA">
        <w:rPr>
          <w:sz w:val="20"/>
          <w:szCs w:val="20"/>
          <w:lang w:val="en-US"/>
        </w:rPr>
        <w:t xml:space="preserve"> the </w:t>
      </w:r>
      <w:r w:rsidR="00EB7A83" w:rsidRPr="00AC57EA">
        <w:rPr>
          <w:sz w:val="20"/>
          <w:szCs w:val="20"/>
          <w:lang w:val="en-US"/>
        </w:rPr>
        <w:t xml:space="preserve">medical </w:t>
      </w:r>
      <w:r w:rsidR="00EB7A83" w:rsidRPr="00AC57EA">
        <w:rPr>
          <w:sz w:val="20"/>
          <w:szCs w:val="20"/>
          <w:lang w:val="en-US"/>
        </w:rPr>
        <w:lastRenderedPageBreak/>
        <w:t>examination</w:t>
      </w:r>
      <w:r w:rsidRPr="00AC57EA">
        <w:rPr>
          <w:sz w:val="20"/>
          <w:szCs w:val="20"/>
          <w:lang w:val="en-US"/>
        </w:rPr>
        <w:t xml:space="preserve"> of</w:t>
      </w:r>
      <w:r w:rsidR="005133A3" w:rsidRPr="00AC57EA">
        <w:rPr>
          <w:sz w:val="20"/>
          <w:szCs w:val="20"/>
          <w:lang w:val="en-US"/>
        </w:rPr>
        <w:t xml:space="preserve"> V.R.P.</w:t>
      </w:r>
      <w:r w:rsidR="00B5625C" w:rsidRPr="00AC57EA">
        <w:rPr>
          <w:sz w:val="20"/>
          <w:szCs w:val="20"/>
          <w:vertAlign w:val="superscript"/>
          <w:lang w:val="en-US"/>
        </w:rPr>
        <w:footnoteReference w:id="73"/>
      </w:r>
      <w:r w:rsidRPr="00AC57EA">
        <w:rPr>
          <w:sz w:val="20"/>
          <w:szCs w:val="20"/>
          <w:lang w:val="en-US"/>
        </w:rPr>
        <w:t xml:space="preserve"> She also requested that her daughter undergo a psychiatric assessment. </w:t>
      </w:r>
      <w:r w:rsidR="00CF4D1B" w:rsidRPr="00AC57EA">
        <w:rPr>
          <w:sz w:val="20"/>
          <w:szCs w:val="20"/>
          <w:lang w:val="en-US"/>
        </w:rPr>
        <w:t xml:space="preserve"> </w:t>
      </w:r>
    </w:p>
    <w:p w14:paraId="2D94B5F8" w14:textId="77777777" w:rsidR="00B5625C" w:rsidRPr="00AC57EA" w:rsidRDefault="00B5625C" w:rsidP="00B5625C">
      <w:pPr>
        <w:spacing w:line="240" w:lineRule="auto"/>
        <w:rPr>
          <w:sz w:val="20"/>
          <w:szCs w:val="20"/>
          <w:lang w:val="en-US"/>
        </w:rPr>
      </w:pPr>
    </w:p>
    <w:p w14:paraId="3D15C2FC" w14:textId="6237835C" w:rsidR="005262C3" w:rsidRPr="00AC57EA" w:rsidRDefault="002A0685" w:rsidP="005262C3">
      <w:pPr>
        <w:numPr>
          <w:ilvl w:val="0"/>
          <w:numId w:val="2"/>
        </w:numPr>
        <w:tabs>
          <w:tab w:val="left" w:pos="567"/>
          <w:tab w:val="num" w:pos="12305"/>
        </w:tabs>
        <w:spacing w:line="240" w:lineRule="auto"/>
        <w:ind w:left="0" w:firstLine="0"/>
        <w:rPr>
          <w:sz w:val="16"/>
          <w:szCs w:val="16"/>
          <w:lang w:val="en-US"/>
        </w:rPr>
      </w:pPr>
      <w:r w:rsidRPr="00AC57EA">
        <w:rPr>
          <w:sz w:val="20"/>
          <w:szCs w:val="20"/>
          <w:lang w:val="en-US"/>
        </w:rPr>
        <w:t>On November 23,</w:t>
      </w:r>
      <w:r w:rsidR="005262C3" w:rsidRPr="00AC57EA">
        <w:rPr>
          <w:sz w:val="20"/>
          <w:szCs w:val="20"/>
          <w:lang w:val="en-US"/>
        </w:rPr>
        <w:t xml:space="preserve"> 2001</w:t>
      </w:r>
      <w:r w:rsidR="00240CED" w:rsidRPr="00AC57EA">
        <w:rPr>
          <w:sz w:val="20"/>
          <w:szCs w:val="20"/>
          <w:lang w:val="en-US"/>
        </w:rPr>
        <w:t>,</w:t>
      </w:r>
      <w:r w:rsidR="005262C3" w:rsidRPr="00AC57EA">
        <w:rPr>
          <w:sz w:val="20"/>
          <w:szCs w:val="20"/>
          <w:lang w:val="en-US"/>
        </w:rPr>
        <w:t xml:space="preserve"> </w:t>
      </w:r>
      <w:r w:rsidR="00240CED" w:rsidRPr="00AC57EA">
        <w:rPr>
          <w:sz w:val="20"/>
          <w:szCs w:val="20"/>
          <w:lang w:val="en-US"/>
        </w:rPr>
        <w:t>the Jinotega District Criminal Court</w:t>
      </w:r>
      <w:r w:rsidR="005262C3" w:rsidRPr="00AC57EA">
        <w:rPr>
          <w:sz w:val="20"/>
          <w:szCs w:val="20"/>
          <w:lang w:val="en-US"/>
        </w:rPr>
        <w:t xml:space="preserve"> </w:t>
      </w:r>
      <w:r w:rsidR="00240CED" w:rsidRPr="00AC57EA">
        <w:rPr>
          <w:sz w:val="20"/>
          <w:szCs w:val="20"/>
          <w:lang w:val="en-US"/>
        </w:rPr>
        <w:t xml:space="preserve">ordered that the Director of the </w:t>
      </w:r>
      <w:r w:rsidR="00EB7A83" w:rsidRPr="00AC57EA">
        <w:rPr>
          <w:sz w:val="20"/>
          <w:szCs w:val="20"/>
          <w:lang w:val="en-US"/>
        </w:rPr>
        <w:t>Victoria Motta Hospital</w:t>
      </w:r>
      <w:r w:rsidR="005262C3" w:rsidRPr="00AC57EA">
        <w:rPr>
          <w:sz w:val="20"/>
          <w:szCs w:val="20"/>
          <w:lang w:val="en-US"/>
        </w:rPr>
        <w:t xml:space="preserve"> </w:t>
      </w:r>
      <w:r w:rsidR="00240CED" w:rsidRPr="00AC57EA">
        <w:rPr>
          <w:sz w:val="20"/>
          <w:szCs w:val="20"/>
          <w:lang w:val="en-US"/>
        </w:rPr>
        <w:t xml:space="preserve">be asked to authorize a psychiatrist to monitor </w:t>
      </w:r>
      <w:r w:rsidR="005262C3" w:rsidRPr="00AC57EA">
        <w:rPr>
          <w:sz w:val="20"/>
          <w:szCs w:val="20"/>
          <w:lang w:val="en-US"/>
        </w:rPr>
        <w:t xml:space="preserve">V.R.P., </w:t>
      </w:r>
      <w:r w:rsidR="00240CED" w:rsidRPr="00AC57EA">
        <w:rPr>
          <w:sz w:val="20"/>
          <w:szCs w:val="20"/>
          <w:lang w:val="en-US"/>
        </w:rPr>
        <w:t>and, eventually, to provide a report on the child’s emotional status.</w:t>
      </w:r>
      <w:r w:rsidR="005262C3" w:rsidRPr="00AC57EA">
        <w:rPr>
          <w:sz w:val="20"/>
          <w:szCs w:val="20"/>
          <w:vertAlign w:val="superscript"/>
          <w:lang w:val="en-US"/>
        </w:rPr>
        <w:footnoteReference w:id="74"/>
      </w:r>
    </w:p>
    <w:p w14:paraId="06E619DD" w14:textId="031ED9C0" w:rsidR="005262C3" w:rsidRPr="00AC57EA" w:rsidRDefault="00240CED" w:rsidP="00240CED">
      <w:pPr>
        <w:tabs>
          <w:tab w:val="left" w:pos="8299"/>
        </w:tabs>
        <w:spacing w:line="240" w:lineRule="auto"/>
        <w:rPr>
          <w:sz w:val="20"/>
          <w:szCs w:val="20"/>
          <w:lang w:val="en-US"/>
        </w:rPr>
      </w:pPr>
      <w:r w:rsidRPr="00AC57EA">
        <w:rPr>
          <w:sz w:val="20"/>
          <w:szCs w:val="20"/>
          <w:lang w:val="en-US"/>
        </w:rPr>
        <w:tab/>
      </w:r>
    </w:p>
    <w:p w14:paraId="447ADE5E" w14:textId="2BB4D7B0" w:rsidR="00B5625C" w:rsidRPr="00AC57EA" w:rsidRDefault="00240CED" w:rsidP="009651A9">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Another examination was scheduled for November 24, </w:t>
      </w:r>
      <w:r w:rsidR="00B5625C" w:rsidRPr="00AC57EA">
        <w:rPr>
          <w:sz w:val="20"/>
          <w:szCs w:val="20"/>
          <w:lang w:val="en-US"/>
        </w:rPr>
        <w:t>2001</w:t>
      </w:r>
      <w:r w:rsidRPr="00AC57EA">
        <w:rPr>
          <w:sz w:val="20"/>
          <w:szCs w:val="20"/>
          <w:lang w:val="en-US"/>
        </w:rPr>
        <w:t>,</w:t>
      </w:r>
      <w:r w:rsidR="00B5625C" w:rsidRPr="00AC57EA">
        <w:rPr>
          <w:sz w:val="20"/>
          <w:szCs w:val="20"/>
          <w:lang w:val="en-US"/>
        </w:rPr>
        <w:t xml:space="preserve"> </w:t>
      </w:r>
      <w:r w:rsidRPr="00AC57EA">
        <w:rPr>
          <w:sz w:val="20"/>
          <w:szCs w:val="20"/>
          <w:lang w:val="en-US"/>
        </w:rPr>
        <w:t xml:space="preserve">at the Women’s Center. On that occasion, </w:t>
      </w:r>
      <w:r w:rsidR="00B5625C" w:rsidRPr="00AC57EA">
        <w:rPr>
          <w:sz w:val="20"/>
          <w:szCs w:val="20"/>
          <w:lang w:val="en-US"/>
        </w:rPr>
        <w:t xml:space="preserve">V.R.P. </w:t>
      </w:r>
      <w:r w:rsidRPr="00AC57EA">
        <w:rPr>
          <w:sz w:val="20"/>
          <w:szCs w:val="20"/>
          <w:lang w:val="en-US"/>
        </w:rPr>
        <w:t>also refused to submit to the examination because she was emotionally affected by the treatment she had received at the hands of the forensic physician.</w:t>
      </w:r>
      <w:r w:rsidR="00B5625C" w:rsidRPr="00AC57EA">
        <w:rPr>
          <w:sz w:val="20"/>
          <w:szCs w:val="20"/>
          <w:vertAlign w:val="superscript"/>
          <w:lang w:val="en-US"/>
        </w:rPr>
        <w:footnoteReference w:id="75"/>
      </w:r>
    </w:p>
    <w:p w14:paraId="38B1A6FF" w14:textId="77777777" w:rsidR="00B5625C" w:rsidRPr="00AC57EA" w:rsidRDefault="00B5625C" w:rsidP="00B5625C">
      <w:pPr>
        <w:spacing w:line="240" w:lineRule="auto"/>
        <w:rPr>
          <w:sz w:val="20"/>
          <w:szCs w:val="20"/>
          <w:lang w:val="en-US"/>
        </w:rPr>
      </w:pPr>
    </w:p>
    <w:p w14:paraId="12605F3A" w14:textId="06D26A2C" w:rsidR="00B5625C" w:rsidRPr="00AC57EA" w:rsidRDefault="000E74DA" w:rsidP="00BE11B3">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26,</w:t>
      </w:r>
      <w:r w:rsidR="00B5625C" w:rsidRPr="00AC57EA">
        <w:rPr>
          <w:sz w:val="20"/>
          <w:szCs w:val="20"/>
          <w:lang w:val="en-US"/>
        </w:rPr>
        <w:t xml:space="preserve"> 2001</w:t>
      </w:r>
      <w:r w:rsidR="00240CED" w:rsidRPr="00AC57EA">
        <w:rPr>
          <w:sz w:val="20"/>
          <w:szCs w:val="20"/>
          <w:lang w:val="en-US"/>
        </w:rPr>
        <w:t xml:space="preserve">, an outpatient psychiatric evaluation was conducted at the </w:t>
      </w:r>
      <w:r w:rsidR="00EB7A83" w:rsidRPr="00AC57EA">
        <w:rPr>
          <w:sz w:val="20"/>
          <w:szCs w:val="20"/>
          <w:lang w:val="en-US"/>
        </w:rPr>
        <w:t>Victoria Motta Hospital</w:t>
      </w:r>
      <w:r w:rsidR="00301DCB" w:rsidRPr="00AC57EA">
        <w:rPr>
          <w:sz w:val="20"/>
          <w:szCs w:val="20"/>
          <w:lang w:val="en-US"/>
        </w:rPr>
        <w:t xml:space="preserve"> </w:t>
      </w:r>
      <w:r w:rsidR="00240CED" w:rsidRPr="00AC57EA">
        <w:rPr>
          <w:sz w:val="20"/>
          <w:szCs w:val="20"/>
          <w:lang w:val="en-US"/>
        </w:rPr>
        <w:t>in</w:t>
      </w:r>
      <w:r w:rsidR="00B5625C" w:rsidRPr="00AC57EA">
        <w:rPr>
          <w:sz w:val="20"/>
          <w:szCs w:val="20"/>
          <w:lang w:val="en-US"/>
        </w:rPr>
        <w:t xml:space="preserve"> Jinotega. </w:t>
      </w:r>
      <w:r w:rsidR="00BE11B3" w:rsidRPr="00AC57EA">
        <w:rPr>
          <w:sz w:val="20"/>
          <w:szCs w:val="20"/>
          <w:lang w:val="en-US"/>
        </w:rPr>
        <w:t xml:space="preserve">The report indicated that </w:t>
      </w:r>
      <w:r w:rsidR="00B5625C" w:rsidRPr="00AC57EA">
        <w:rPr>
          <w:sz w:val="20"/>
          <w:szCs w:val="20"/>
          <w:lang w:val="en-US"/>
        </w:rPr>
        <w:t>V.R.P</w:t>
      </w:r>
      <w:r w:rsidR="00BE11B3" w:rsidRPr="00AC57EA">
        <w:rPr>
          <w:sz w:val="20"/>
          <w:szCs w:val="20"/>
          <w:lang w:val="en-US"/>
        </w:rPr>
        <w:t>.</w:t>
      </w:r>
      <w:r w:rsidR="00B5625C" w:rsidRPr="00AC57EA">
        <w:rPr>
          <w:sz w:val="20"/>
          <w:szCs w:val="20"/>
          <w:lang w:val="en-US"/>
        </w:rPr>
        <w:t xml:space="preserve"> “</w:t>
      </w:r>
      <w:r w:rsidR="00BE11B3" w:rsidRPr="00AC57EA">
        <w:rPr>
          <w:sz w:val="20"/>
          <w:szCs w:val="20"/>
          <w:lang w:val="en-US"/>
        </w:rPr>
        <w:t>clearly identified the person responsible as her father and specified that her father has the same disease from which she is currently suffering” and that “her account is reliable, very clear and truthful.</w:t>
      </w:r>
      <w:r w:rsidR="00B5625C" w:rsidRPr="00AC57EA">
        <w:rPr>
          <w:sz w:val="20"/>
          <w:szCs w:val="20"/>
          <w:lang w:val="en-US"/>
        </w:rPr>
        <w:t>”</w:t>
      </w:r>
      <w:r w:rsidR="00B5625C" w:rsidRPr="00AC57EA">
        <w:rPr>
          <w:sz w:val="20"/>
          <w:szCs w:val="20"/>
          <w:vertAlign w:val="superscript"/>
          <w:lang w:val="en-US"/>
        </w:rPr>
        <w:footnoteReference w:id="76"/>
      </w:r>
    </w:p>
    <w:p w14:paraId="1631FEB4" w14:textId="77777777" w:rsidR="00B5625C" w:rsidRPr="00AC57EA" w:rsidRDefault="00B5625C" w:rsidP="00B5625C">
      <w:pPr>
        <w:spacing w:line="240" w:lineRule="auto"/>
        <w:rPr>
          <w:sz w:val="20"/>
          <w:szCs w:val="20"/>
          <w:lang w:val="en-US"/>
        </w:rPr>
      </w:pPr>
    </w:p>
    <w:p w14:paraId="1704EF93" w14:textId="27AE7242" w:rsidR="00B5625C" w:rsidRPr="00AC57EA" w:rsidRDefault="002A0685" w:rsidP="0080752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27,</w:t>
      </w:r>
      <w:r w:rsidR="00E83E4F" w:rsidRPr="00AC57EA">
        <w:rPr>
          <w:sz w:val="20"/>
          <w:szCs w:val="20"/>
          <w:lang w:val="en-US"/>
        </w:rPr>
        <w:t xml:space="preserve"> 2001</w:t>
      </w:r>
      <w:r w:rsidR="00BE11B3" w:rsidRPr="00AC57EA">
        <w:rPr>
          <w:sz w:val="20"/>
          <w:szCs w:val="20"/>
          <w:lang w:val="en-US"/>
        </w:rPr>
        <w:t xml:space="preserve">, </w:t>
      </w:r>
      <w:r w:rsidR="00807528" w:rsidRPr="00AC57EA">
        <w:rPr>
          <w:sz w:val="20"/>
          <w:szCs w:val="20"/>
          <w:lang w:val="en-US"/>
        </w:rPr>
        <w:t xml:space="preserve">the </w:t>
      </w:r>
      <w:r w:rsidR="00EB7A83" w:rsidRPr="00AC57EA">
        <w:rPr>
          <w:sz w:val="20"/>
          <w:szCs w:val="20"/>
          <w:lang w:val="en-US"/>
        </w:rPr>
        <w:t>medical examination</w:t>
      </w:r>
      <w:r w:rsidR="00E83E4F" w:rsidRPr="00AC57EA">
        <w:rPr>
          <w:sz w:val="20"/>
          <w:szCs w:val="20"/>
          <w:lang w:val="en-US"/>
        </w:rPr>
        <w:t xml:space="preserve"> </w:t>
      </w:r>
      <w:r w:rsidR="00807528" w:rsidRPr="00AC57EA">
        <w:rPr>
          <w:sz w:val="20"/>
          <w:szCs w:val="20"/>
          <w:lang w:val="en-US"/>
        </w:rPr>
        <w:t>was carried out at the Institute of Forensic Medicine</w:t>
      </w:r>
      <w:r w:rsidR="00B5625C" w:rsidRPr="00AC57EA">
        <w:rPr>
          <w:sz w:val="20"/>
          <w:szCs w:val="20"/>
          <w:lang w:val="en-US"/>
        </w:rPr>
        <w:t xml:space="preserve"> </w:t>
      </w:r>
      <w:r w:rsidR="00B7258C" w:rsidRPr="00AC57EA">
        <w:rPr>
          <w:sz w:val="20"/>
          <w:szCs w:val="20"/>
          <w:lang w:val="en-US"/>
        </w:rPr>
        <w:t xml:space="preserve">of </w:t>
      </w:r>
      <w:r w:rsidR="000E74DA" w:rsidRPr="00AC57EA">
        <w:rPr>
          <w:sz w:val="20"/>
          <w:szCs w:val="20"/>
          <w:lang w:val="en-US"/>
        </w:rPr>
        <w:t>the Supreme Court of Justice</w:t>
      </w:r>
      <w:r w:rsidR="00B5625C" w:rsidRPr="00AC57EA">
        <w:rPr>
          <w:sz w:val="20"/>
          <w:szCs w:val="20"/>
          <w:lang w:val="en-US"/>
        </w:rPr>
        <w:t xml:space="preserve"> </w:t>
      </w:r>
      <w:r w:rsidR="00807528" w:rsidRPr="00AC57EA">
        <w:rPr>
          <w:sz w:val="20"/>
          <w:szCs w:val="20"/>
          <w:lang w:val="en-US"/>
        </w:rPr>
        <w:t>i</w:t>
      </w:r>
      <w:r w:rsidR="00B5625C" w:rsidRPr="00AC57EA">
        <w:rPr>
          <w:sz w:val="20"/>
          <w:szCs w:val="20"/>
          <w:lang w:val="en-US"/>
        </w:rPr>
        <w:t xml:space="preserve">n Managua. </w:t>
      </w:r>
      <w:r w:rsidR="00807528" w:rsidRPr="00AC57EA">
        <w:rPr>
          <w:sz w:val="20"/>
          <w:szCs w:val="20"/>
          <w:lang w:val="en-US"/>
        </w:rPr>
        <w:t xml:space="preserve">There, the physician was able to verify the injuries suffered by </w:t>
      </w:r>
      <w:r w:rsidR="00B5625C" w:rsidRPr="00AC57EA">
        <w:rPr>
          <w:sz w:val="20"/>
          <w:szCs w:val="20"/>
          <w:lang w:val="en-US"/>
        </w:rPr>
        <w:t>V.R.P</w:t>
      </w:r>
      <w:r w:rsidR="00807528" w:rsidRPr="00AC57EA">
        <w:rPr>
          <w:sz w:val="20"/>
          <w:szCs w:val="20"/>
          <w:lang w:val="en-US"/>
        </w:rPr>
        <w:t>.</w:t>
      </w:r>
      <w:r w:rsidR="00B5625C" w:rsidRPr="00AC57EA">
        <w:rPr>
          <w:sz w:val="20"/>
          <w:szCs w:val="20"/>
          <w:vertAlign w:val="superscript"/>
          <w:lang w:val="en-US"/>
        </w:rPr>
        <w:footnoteReference w:id="77"/>
      </w:r>
      <w:r w:rsidR="00807528" w:rsidRPr="00AC57EA">
        <w:rPr>
          <w:sz w:val="20"/>
          <w:szCs w:val="20"/>
          <w:lang w:val="en-US"/>
        </w:rPr>
        <w:t xml:space="preserve"> On that occasion, the genital area was examined under anesthesia</w:t>
      </w:r>
      <w:r w:rsidR="00B5625C" w:rsidRPr="00AC57EA">
        <w:rPr>
          <w:sz w:val="20"/>
          <w:szCs w:val="20"/>
          <w:vertAlign w:val="superscript"/>
          <w:lang w:val="en-US"/>
        </w:rPr>
        <w:footnoteReference w:id="78"/>
      </w:r>
      <w:r w:rsidR="00807528" w:rsidRPr="00AC57EA">
        <w:rPr>
          <w:sz w:val="20"/>
          <w:szCs w:val="20"/>
          <w:lang w:val="en-US"/>
        </w:rPr>
        <w:t xml:space="preserve"> as requested,</w:t>
      </w:r>
      <w:r w:rsidR="00E83E4F" w:rsidRPr="00AC57EA">
        <w:rPr>
          <w:sz w:val="20"/>
          <w:szCs w:val="20"/>
          <w:vertAlign w:val="superscript"/>
          <w:lang w:val="en-US"/>
        </w:rPr>
        <w:footnoteReference w:id="79"/>
      </w:r>
      <w:r w:rsidR="00171E27" w:rsidRPr="00AC57EA">
        <w:rPr>
          <w:sz w:val="20"/>
          <w:szCs w:val="20"/>
          <w:lang w:val="en-US"/>
        </w:rPr>
        <w:t xml:space="preserve"> and </w:t>
      </w:r>
      <w:r w:rsidR="00807528" w:rsidRPr="00AC57EA">
        <w:rPr>
          <w:sz w:val="20"/>
          <w:szCs w:val="20"/>
          <w:lang w:val="en-US"/>
        </w:rPr>
        <w:t xml:space="preserve">it was found that </w:t>
      </w:r>
      <w:r w:rsidR="00B5625C" w:rsidRPr="00AC57EA">
        <w:rPr>
          <w:sz w:val="20"/>
          <w:szCs w:val="20"/>
          <w:lang w:val="en-US"/>
        </w:rPr>
        <w:t xml:space="preserve">V.R.P. </w:t>
      </w:r>
      <w:r w:rsidR="00807528" w:rsidRPr="00AC57EA">
        <w:rPr>
          <w:sz w:val="20"/>
          <w:szCs w:val="20"/>
          <w:lang w:val="en-US"/>
        </w:rPr>
        <w:t xml:space="preserve">had </w:t>
      </w:r>
      <w:r w:rsidR="00B5625C" w:rsidRPr="00AC57EA">
        <w:rPr>
          <w:sz w:val="20"/>
          <w:szCs w:val="20"/>
          <w:lang w:val="en-US"/>
        </w:rPr>
        <w:t>“</w:t>
      </w:r>
      <w:r w:rsidR="00807528" w:rsidRPr="00AC57EA">
        <w:rPr>
          <w:sz w:val="20"/>
          <w:szCs w:val="20"/>
          <w:lang w:val="en-US"/>
        </w:rPr>
        <w:t>hymen ruptured some time previously; three whitish lesions in the cervix; vaginal walls very painful on inspection, and anus with an area of ulceration.” In addition, the presence of the human papillomavirus and condyloma acuminat</w:t>
      </w:r>
      <w:r w:rsidR="00B1399D" w:rsidRPr="00AC57EA">
        <w:rPr>
          <w:sz w:val="20"/>
          <w:szCs w:val="20"/>
          <w:lang w:val="en-US"/>
        </w:rPr>
        <w:t>e</w:t>
      </w:r>
      <w:r w:rsidR="00807528" w:rsidRPr="00AC57EA">
        <w:rPr>
          <w:sz w:val="20"/>
          <w:szCs w:val="20"/>
          <w:lang w:val="en-US"/>
        </w:rPr>
        <w:t>, sexually transmitted diseases</w:t>
      </w:r>
      <w:r w:rsidR="00012E64" w:rsidRPr="00AC57EA">
        <w:rPr>
          <w:sz w:val="20"/>
          <w:szCs w:val="20"/>
          <w:lang w:val="en-US"/>
        </w:rPr>
        <w:t>, was noted</w:t>
      </w:r>
      <w:r w:rsidR="00807528" w:rsidRPr="00AC57EA">
        <w:rPr>
          <w:sz w:val="20"/>
          <w:szCs w:val="20"/>
          <w:lang w:val="en-US"/>
        </w:rPr>
        <w:t xml:space="preserve">. All of which </w:t>
      </w:r>
      <w:r w:rsidR="00E631A5" w:rsidRPr="00AC57EA">
        <w:rPr>
          <w:sz w:val="20"/>
          <w:szCs w:val="20"/>
          <w:lang w:val="en-US"/>
        </w:rPr>
        <w:t>allowed it to be concluded that the child had been the victim of sexual assault.</w:t>
      </w:r>
      <w:r w:rsidR="00B5625C" w:rsidRPr="00AC57EA">
        <w:rPr>
          <w:sz w:val="20"/>
          <w:szCs w:val="20"/>
          <w:vertAlign w:val="superscript"/>
          <w:lang w:val="en-US"/>
        </w:rPr>
        <w:footnoteReference w:id="80"/>
      </w:r>
    </w:p>
    <w:p w14:paraId="33678603" w14:textId="77777777" w:rsidR="00B5625C" w:rsidRPr="00AC57EA" w:rsidRDefault="00B5625C" w:rsidP="00B5625C">
      <w:pPr>
        <w:tabs>
          <w:tab w:val="left" w:pos="567"/>
        </w:tabs>
        <w:spacing w:line="240" w:lineRule="auto"/>
        <w:rPr>
          <w:sz w:val="20"/>
          <w:szCs w:val="20"/>
          <w:lang w:val="en-US"/>
        </w:rPr>
      </w:pPr>
    </w:p>
    <w:p w14:paraId="258CEFFE" w14:textId="0E5CE994" w:rsidR="00B5625C" w:rsidRPr="00AC57EA" w:rsidRDefault="00E631A5" w:rsidP="00E631A5">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the same date, V.R.P. underwent a psychological evaluation which concluded that the child was suffering from post-traumatic stress disorder, accompanied by significant symptoms of depression, and that there wer</w:t>
      </w:r>
      <w:r w:rsidR="00E131BB" w:rsidRPr="00AC57EA">
        <w:rPr>
          <w:sz w:val="20"/>
          <w:szCs w:val="20"/>
          <w:lang w:val="en-US"/>
        </w:rPr>
        <w:t>e</w:t>
      </w:r>
      <w:r w:rsidRPr="00AC57EA">
        <w:rPr>
          <w:sz w:val="20"/>
          <w:szCs w:val="20"/>
          <w:lang w:val="en-US"/>
        </w:rPr>
        <w:t xml:space="preserve"> emotional i</w:t>
      </w:r>
      <w:r w:rsidR="00E131BB" w:rsidRPr="00AC57EA">
        <w:rPr>
          <w:sz w:val="20"/>
          <w:szCs w:val="20"/>
          <w:lang w:val="en-US"/>
        </w:rPr>
        <w:t xml:space="preserve">ndicators of shame, fear and feelings of guilt, related to the stressful experience, compatible with chronic sexual assault. </w:t>
      </w:r>
      <w:r w:rsidR="00012E64" w:rsidRPr="00AC57EA">
        <w:rPr>
          <w:sz w:val="20"/>
          <w:szCs w:val="20"/>
          <w:lang w:val="en-US"/>
        </w:rPr>
        <w:t>The</w:t>
      </w:r>
      <w:r w:rsidR="00E131BB" w:rsidRPr="00AC57EA">
        <w:rPr>
          <w:sz w:val="20"/>
          <w:szCs w:val="20"/>
          <w:lang w:val="en-US"/>
        </w:rPr>
        <w:t xml:space="preserve"> report </w:t>
      </w:r>
      <w:r w:rsidR="00012E64" w:rsidRPr="00AC57EA">
        <w:rPr>
          <w:sz w:val="20"/>
          <w:szCs w:val="20"/>
          <w:lang w:val="en-US"/>
        </w:rPr>
        <w:t xml:space="preserve">also indicated </w:t>
      </w:r>
      <w:r w:rsidR="00E131BB" w:rsidRPr="00AC57EA">
        <w:rPr>
          <w:sz w:val="20"/>
          <w:szCs w:val="20"/>
          <w:lang w:val="en-US"/>
        </w:rPr>
        <w:t>that her statement was coherent, clear and substantiated. Consequently, it indicated that she required long-term therapy.</w:t>
      </w:r>
      <w:r w:rsidR="00B5625C" w:rsidRPr="00AC57EA">
        <w:rPr>
          <w:sz w:val="20"/>
          <w:szCs w:val="20"/>
          <w:vertAlign w:val="superscript"/>
          <w:lang w:val="en-US"/>
        </w:rPr>
        <w:footnoteReference w:id="81"/>
      </w:r>
    </w:p>
    <w:p w14:paraId="2ADFA104" w14:textId="77777777" w:rsidR="00B5625C" w:rsidRPr="00AC57EA" w:rsidRDefault="00B5625C" w:rsidP="00B5625C">
      <w:pPr>
        <w:tabs>
          <w:tab w:val="left" w:pos="567"/>
        </w:tabs>
        <w:spacing w:line="240" w:lineRule="auto"/>
        <w:rPr>
          <w:sz w:val="20"/>
          <w:szCs w:val="20"/>
          <w:lang w:val="en-US"/>
        </w:rPr>
      </w:pPr>
    </w:p>
    <w:p w14:paraId="6030E3B4" w14:textId="1D799528" w:rsidR="00DA305A" w:rsidRPr="00AC57EA" w:rsidRDefault="00E131BB" w:rsidP="00DA305A">
      <w:pPr>
        <w:numPr>
          <w:ilvl w:val="0"/>
          <w:numId w:val="2"/>
        </w:numPr>
        <w:tabs>
          <w:tab w:val="left" w:pos="567"/>
          <w:tab w:val="num" w:pos="12305"/>
        </w:tabs>
        <w:spacing w:line="240" w:lineRule="auto"/>
        <w:ind w:left="0" w:firstLine="0"/>
        <w:rPr>
          <w:kern w:val="2"/>
          <w:sz w:val="20"/>
          <w:szCs w:val="20"/>
          <w:lang w:val="en-US" w:eastAsia="en-US"/>
        </w:rPr>
      </w:pPr>
      <w:r w:rsidRPr="00AC57EA">
        <w:rPr>
          <w:kern w:val="2"/>
          <w:sz w:val="20"/>
          <w:szCs w:val="20"/>
          <w:lang w:val="en-US" w:eastAsia="en-US"/>
        </w:rPr>
        <w:t>The day that</w:t>
      </w:r>
      <w:r w:rsidR="00DA305A" w:rsidRPr="00AC57EA">
        <w:rPr>
          <w:kern w:val="2"/>
          <w:sz w:val="20"/>
          <w:szCs w:val="20"/>
          <w:lang w:val="en-US" w:eastAsia="en-US"/>
        </w:rPr>
        <w:t xml:space="preserve"> V.R.P. </w:t>
      </w:r>
      <w:r w:rsidRPr="00AC57EA">
        <w:rPr>
          <w:kern w:val="2"/>
          <w:sz w:val="20"/>
          <w:szCs w:val="20"/>
          <w:lang w:val="en-US" w:eastAsia="en-US"/>
        </w:rPr>
        <w:t xml:space="preserve">underwent this examination at the Institute of Forensic Medicine </w:t>
      </w:r>
      <w:r w:rsidR="00B7258C" w:rsidRPr="00AC57EA">
        <w:rPr>
          <w:kern w:val="2"/>
          <w:sz w:val="20"/>
          <w:szCs w:val="20"/>
          <w:lang w:val="en-US" w:eastAsia="en-US"/>
        </w:rPr>
        <w:t xml:space="preserve">of </w:t>
      </w:r>
      <w:r w:rsidR="000E74DA" w:rsidRPr="00AC57EA">
        <w:rPr>
          <w:kern w:val="2"/>
          <w:sz w:val="20"/>
          <w:szCs w:val="20"/>
          <w:lang w:val="en-US" w:eastAsia="en-US"/>
        </w:rPr>
        <w:t>the Supreme Court of Justice</w:t>
      </w:r>
      <w:r w:rsidR="00DA305A" w:rsidRPr="00AC57EA">
        <w:rPr>
          <w:kern w:val="2"/>
          <w:sz w:val="20"/>
          <w:szCs w:val="20"/>
          <w:lang w:val="en-US" w:eastAsia="en-US"/>
        </w:rPr>
        <w:t xml:space="preserve">, </w:t>
      </w:r>
      <w:r w:rsidRPr="00AC57EA">
        <w:rPr>
          <w:kern w:val="2"/>
          <w:sz w:val="20"/>
          <w:szCs w:val="20"/>
          <w:lang w:val="en-US" w:eastAsia="en-US"/>
        </w:rPr>
        <w:t xml:space="preserve">her father and presumed aggressor, </w:t>
      </w:r>
      <w:r w:rsidR="00DA305A" w:rsidRPr="00AC57EA">
        <w:rPr>
          <w:kern w:val="2"/>
          <w:sz w:val="20"/>
          <w:szCs w:val="20"/>
          <w:lang w:val="en-US" w:eastAsia="en-US"/>
        </w:rPr>
        <w:t xml:space="preserve">H.R.A., </w:t>
      </w:r>
      <w:r w:rsidRPr="00AC57EA">
        <w:rPr>
          <w:kern w:val="2"/>
          <w:sz w:val="20"/>
          <w:szCs w:val="20"/>
          <w:lang w:val="en-US" w:eastAsia="en-US"/>
        </w:rPr>
        <w:t xml:space="preserve">was summoned to undergo a </w:t>
      </w:r>
      <w:r w:rsidRPr="00AC57EA">
        <w:rPr>
          <w:kern w:val="2"/>
          <w:sz w:val="20"/>
          <w:szCs w:val="20"/>
          <w:lang w:val="en-US" w:eastAsia="en-US"/>
        </w:rPr>
        <w:lastRenderedPageBreak/>
        <w:t xml:space="preserve">medical examination by the same entity, as revealed by Forensic Medical Report </w:t>
      </w:r>
      <w:r w:rsidR="00DA305A" w:rsidRPr="00AC57EA">
        <w:rPr>
          <w:kern w:val="2"/>
          <w:sz w:val="20"/>
          <w:szCs w:val="20"/>
          <w:lang w:val="en-US" w:eastAsia="en-US"/>
        </w:rPr>
        <w:t>No.16271-2001</w:t>
      </w:r>
      <w:r w:rsidRPr="00AC57EA">
        <w:rPr>
          <w:kern w:val="2"/>
          <w:sz w:val="20"/>
          <w:szCs w:val="20"/>
          <w:lang w:val="en-US" w:eastAsia="en-US"/>
        </w:rPr>
        <w:t>.</w:t>
      </w:r>
      <w:r w:rsidR="00DA305A" w:rsidRPr="00AC57EA">
        <w:rPr>
          <w:kern w:val="2"/>
          <w:sz w:val="20"/>
          <w:szCs w:val="20"/>
          <w:vertAlign w:val="superscript"/>
          <w:lang w:val="en-US" w:eastAsia="en-US"/>
        </w:rPr>
        <w:footnoteReference w:id="82"/>
      </w:r>
    </w:p>
    <w:p w14:paraId="5C5BD075" w14:textId="77777777" w:rsidR="00012E64" w:rsidRPr="00AC57EA" w:rsidRDefault="00012E64" w:rsidP="00012E64">
      <w:pPr>
        <w:tabs>
          <w:tab w:val="left" w:pos="567"/>
        </w:tabs>
        <w:spacing w:line="240" w:lineRule="auto"/>
        <w:rPr>
          <w:kern w:val="2"/>
          <w:sz w:val="20"/>
          <w:szCs w:val="20"/>
          <w:lang w:val="en-US" w:eastAsia="en-US"/>
        </w:rPr>
      </w:pPr>
    </w:p>
    <w:p w14:paraId="5E681921" w14:textId="454CD54E" w:rsidR="00B5625C" w:rsidRPr="00AC57EA" w:rsidRDefault="00E131BB" w:rsidP="002B73A2">
      <w:pPr>
        <w:numPr>
          <w:ilvl w:val="0"/>
          <w:numId w:val="2"/>
        </w:numPr>
        <w:tabs>
          <w:tab w:val="left" w:pos="567"/>
          <w:tab w:val="num" w:pos="12305"/>
        </w:tabs>
        <w:spacing w:line="240" w:lineRule="auto"/>
        <w:ind w:left="0" w:firstLine="0"/>
        <w:rPr>
          <w:kern w:val="2"/>
          <w:sz w:val="20"/>
          <w:szCs w:val="20"/>
          <w:lang w:val="en-US" w:eastAsia="en-US"/>
        </w:rPr>
      </w:pPr>
      <w:r w:rsidRPr="00AC57EA">
        <w:rPr>
          <w:kern w:val="2"/>
          <w:sz w:val="20"/>
          <w:szCs w:val="20"/>
          <w:lang w:val="en-US"/>
        </w:rPr>
        <w:t>On February 21,</w:t>
      </w:r>
      <w:r w:rsidR="00B5625C" w:rsidRPr="00AC57EA">
        <w:rPr>
          <w:kern w:val="2"/>
          <w:sz w:val="20"/>
          <w:szCs w:val="20"/>
          <w:lang w:val="en-US"/>
        </w:rPr>
        <w:t xml:space="preserve"> 2002</w:t>
      </w:r>
      <w:r w:rsidRPr="00AC57EA">
        <w:rPr>
          <w:kern w:val="2"/>
          <w:sz w:val="20"/>
          <w:szCs w:val="20"/>
          <w:lang w:val="en-US"/>
        </w:rPr>
        <w:t>, the psychiatrist assigned to the case, issued a final monitoring report on V.R.P. in which she indicated that the child “will</w:t>
      </w:r>
      <w:r w:rsidR="004B446D" w:rsidRPr="00AC57EA">
        <w:rPr>
          <w:kern w:val="2"/>
          <w:sz w:val="20"/>
          <w:szCs w:val="20"/>
          <w:lang w:val="en-US"/>
        </w:rPr>
        <w:t xml:space="preserve"> almost certainly require psychotherapeutic help until she attains her emotional and biological maturity, because the harm caused to her physical and mental health has led to long-lasting injuries and aftereffects […]. If she does not receive therapy, she may develop suicidal ideas or sink into an endogenous depression</w:t>
      </w:r>
      <w:r w:rsidRPr="00AC57EA">
        <w:rPr>
          <w:kern w:val="2"/>
          <w:sz w:val="20"/>
          <w:szCs w:val="20"/>
          <w:lang w:val="en-US"/>
        </w:rPr>
        <w:t xml:space="preserve">. </w:t>
      </w:r>
      <w:r w:rsidR="00012E64" w:rsidRPr="00AC57EA">
        <w:rPr>
          <w:kern w:val="2"/>
          <w:sz w:val="20"/>
          <w:szCs w:val="20"/>
          <w:lang w:val="en-US"/>
        </w:rPr>
        <w:t>A</w:t>
      </w:r>
      <w:r w:rsidR="004B446D" w:rsidRPr="00AC57EA">
        <w:rPr>
          <w:kern w:val="2"/>
          <w:sz w:val="20"/>
          <w:szCs w:val="20"/>
          <w:lang w:val="en-US"/>
        </w:rPr>
        <w:t>s a precaution in order not to cause her more harm, the revictimization of the patient must be avoided, and she must not be allowed to continue recalling the events that occurred or the harm done to her or questioning herself in this regard</w:t>
      </w:r>
      <w:r w:rsidR="00685A3E" w:rsidRPr="00AC57EA">
        <w:rPr>
          <w:kern w:val="2"/>
          <w:sz w:val="20"/>
          <w:szCs w:val="20"/>
          <w:lang w:val="en-US"/>
        </w:rPr>
        <w:t>.</w:t>
      </w:r>
      <w:r w:rsidR="00B5625C" w:rsidRPr="00AC57EA">
        <w:rPr>
          <w:kern w:val="2"/>
          <w:sz w:val="20"/>
          <w:szCs w:val="20"/>
          <w:lang w:val="en-US"/>
        </w:rPr>
        <w:t>”</w:t>
      </w:r>
      <w:r w:rsidR="00B5625C" w:rsidRPr="00AC57EA">
        <w:rPr>
          <w:kern w:val="2"/>
          <w:sz w:val="20"/>
          <w:szCs w:val="20"/>
          <w:vertAlign w:val="superscript"/>
          <w:lang w:val="en-US"/>
        </w:rPr>
        <w:footnoteReference w:id="83"/>
      </w:r>
    </w:p>
    <w:p w14:paraId="5A98E300" w14:textId="77777777" w:rsidR="00B5625C" w:rsidRPr="00AC57EA" w:rsidRDefault="00B5625C" w:rsidP="00B5625C">
      <w:pPr>
        <w:tabs>
          <w:tab w:val="left" w:pos="567"/>
        </w:tabs>
        <w:spacing w:line="240" w:lineRule="auto"/>
        <w:rPr>
          <w:sz w:val="20"/>
          <w:szCs w:val="20"/>
          <w:lang w:val="en-US"/>
        </w:rPr>
      </w:pPr>
    </w:p>
    <w:p w14:paraId="364952F0" w14:textId="44528389" w:rsidR="00B5625C" w:rsidRPr="00AC57EA" w:rsidRDefault="00685A3E" w:rsidP="00685A3E">
      <w:pPr>
        <w:numPr>
          <w:ilvl w:val="0"/>
          <w:numId w:val="2"/>
        </w:numPr>
        <w:tabs>
          <w:tab w:val="left" w:pos="567"/>
          <w:tab w:val="num" w:pos="12305"/>
        </w:tabs>
        <w:spacing w:line="240" w:lineRule="auto"/>
        <w:ind w:left="0" w:firstLine="0"/>
        <w:rPr>
          <w:sz w:val="20"/>
          <w:szCs w:val="20"/>
          <w:lang w:val="en-US"/>
        </w:rPr>
      </w:pPr>
      <w:r w:rsidRPr="00AC57EA">
        <w:rPr>
          <w:kern w:val="2"/>
          <w:sz w:val="20"/>
          <w:szCs w:val="20"/>
          <w:lang w:val="en-US"/>
        </w:rPr>
        <w:t>On April 22,</w:t>
      </w:r>
      <w:r w:rsidR="00B5625C" w:rsidRPr="00AC57EA">
        <w:rPr>
          <w:kern w:val="2"/>
          <w:sz w:val="20"/>
          <w:szCs w:val="20"/>
          <w:lang w:val="en-US"/>
        </w:rPr>
        <w:t xml:space="preserve"> 2002</w:t>
      </w:r>
      <w:r w:rsidRPr="00AC57EA">
        <w:rPr>
          <w:kern w:val="2"/>
          <w:sz w:val="20"/>
          <w:szCs w:val="20"/>
          <w:lang w:val="en-US"/>
        </w:rPr>
        <w:t>, the psychiatrist assigned to the case issued an epicrisis in which she concluded that V.R.P. suffered psychologically from post-traumatic stress disorder and recommended that she receive psychological treatment for the “prevention of the consequences of sexual abuse that could interfere in her future conduct as regards her communication and relationship with her surroundings</w:t>
      </w:r>
      <w:r w:rsidRPr="00AC57EA">
        <w:rPr>
          <w:sz w:val="20"/>
          <w:szCs w:val="20"/>
          <w:lang w:val="en-US"/>
        </w:rPr>
        <w:t>.</w:t>
      </w:r>
      <w:r w:rsidR="00B5625C" w:rsidRPr="00AC57EA">
        <w:rPr>
          <w:kern w:val="2"/>
          <w:sz w:val="20"/>
          <w:szCs w:val="20"/>
          <w:lang w:val="en-US"/>
        </w:rPr>
        <w:t>”</w:t>
      </w:r>
      <w:r w:rsidR="00B5625C" w:rsidRPr="00AC57EA">
        <w:rPr>
          <w:kern w:val="2"/>
          <w:sz w:val="20"/>
          <w:szCs w:val="20"/>
          <w:vertAlign w:val="superscript"/>
          <w:lang w:val="en-US"/>
        </w:rPr>
        <w:footnoteReference w:id="84"/>
      </w:r>
      <w:r w:rsidR="00986A34" w:rsidRPr="00AC57EA">
        <w:rPr>
          <w:kern w:val="2"/>
          <w:sz w:val="20"/>
          <w:szCs w:val="20"/>
          <w:lang w:val="en-US"/>
        </w:rPr>
        <w:t xml:space="preserve"> There is no record that this therapy was provided</w:t>
      </w:r>
      <w:r w:rsidR="00763EAC" w:rsidRPr="00AC57EA">
        <w:rPr>
          <w:kern w:val="2"/>
          <w:sz w:val="20"/>
          <w:szCs w:val="20"/>
          <w:lang w:val="en-US"/>
        </w:rPr>
        <w:t>.</w:t>
      </w:r>
    </w:p>
    <w:p w14:paraId="35FF9628" w14:textId="77777777" w:rsidR="00B5625C" w:rsidRPr="00AC57EA" w:rsidRDefault="00B5625C" w:rsidP="00B5625C">
      <w:pPr>
        <w:tabs>
          <w:tab w:val="left" w:pos="567"/>
        </w:tabs>
        <w:spacing w:line="240" w:lineRule="auto"/>
        <w:rPr>
          <w:sz w:val="20"/>
          <w:szCs w:val="20"/>
          <w:lang w:val="en-US"/>
        </w:rPr>
      </w:pPr>
    </w:p>
    <w:p w14:paraId="2930559F" w14:textId="23293A6E" w:rsidR="00B5625C" w:rsidRPr="00AC57EA" w:rsidRDefault="00986A34" w:rsidP="002C415B">
      <w:pPr>
        <w:widowControl/>
        <w:numPr>
          <w:ilvl w:val="0"/>
          <w:numId w:val="6"/>
        </w:numPr>
        <w:adjustRightInd/>
        <w:spacing w:line="240" w:lineRule="auto"/>
        <w:ind w:left="1701"/>
        <w:jc w:val="left"/>
        <w:textAlignment w:val="auto"/>
        <w:rPr>
          <w:i/>
          <w:sz w:val="20"/>
          <w:szCs w:val="20"/>
          <w:lang w:val="en-US"/>
        </w:rPr>
      </w:pPr>
      <w:r w:rsidRPr="00AC57EA">
        <w:rPr>
          <w:i/>
          <w:sz w:val="20"/>
          <w:szCs w:val="20"/>
          <w:lang w:val="en-US"/>
        </w:rPr>
        <w:t>Visual inspection and reconstruction of the events</w:t>
      </w:r>
    </w:p>
    <w:p w14:paraId="3E518D7A" w14:textId="77777777" w:rsidR="00B5625C" w:rsidRPr="00AC57EA" w:rsidRDefault="00B5625C" w:rsidP="00B5625C">
      <w:pPr>
        <w:spacing w:line="240" w:lineRule="auto"/>
        <w:rPr>
          <w:sz w:val="20"/>
          <w:szCs w:val="20"/>
          <w:lang w:val="en-US"/>
        </w:rPr>
      </w:pPr>
    </w:p>
    <w:p w14:paraId="59AD5D8E" w14:textId="66FF9175" w:rsidR="00B5625C" w:rsidRPr="00AC57EA" w:rsidRDefault="00986A34" w:rsidP="00986A34">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29,</w:t>
      </w:r>
      <w:r w:rsidR="00B5625C" w:rsidRPr="00AC57EA">
        <w:rPr>
          <w:sz w:val="20"/>
          <w:szCs w:val="20"/>
          <w:lang w:val="en-US"/>
        </w:rPr>
        <w:t xml:space="preserve"> 2001</w:t>
      </w:r>
      <w:r w:rsidRPr="00AC57EA">
        <w:rPr>
          <w:sz w:val="20"/>
          <w:szCs w:val="20"/>
          <w:lang w:val="en-US"/>
        </w:rPr>
        <w:t>, a judicial visual inspection and reconstruction of the events</w:t>
      </w:r>
      <w:r w:rsidR="00B5625C" w:rsidRPr="00AC57EA">
        <w:rPr>
          <w:sz w:val="20"/>
          <w:szCs w:val="20"/>
          <w:lang w:val="en-US"/>
        </w:rPr>
        <w:t xml:space="preserve"> </w:t>
      </w:r>
      <w:r w:rsidRPr="00AC57EA">
        <w:rPr>
          <w:sz w:val="20"/>
          <w:szCs w:val="20"/>
          <w:lang w:val="en-US"/>
        </w:rPr>
        <w:t xml:space="preserve">was </w:t>
      </w:r>
      <w:r w:rsidR="00B1399D" w:rsidRPr="00AC57EA">
        <w:rPr>
          <w:sz w:val="20"/>
          <w:szCs w:val="20"/>
          <w:lang w:val="en-US"/>
        </w:rPr>
        <w:t>performed</w:t>
      </w:r>
      <w:r w:rsidRPr="00AC57EA">
        <w:rPr>
          <w:sz w:val="20"/>
          <w:szCs w:val="20"/>
          <w:lang w:val="en-US"/>
        </w:rPr>
        <w:t>.</w:t>
      </w:r>
      <w:r w:rsidR="00B5625C" w:rsidRPr="00AC57EA">
        <w:rPr>
          <w:sz w:val="20"/>
          <w:szCs w:val="20"/>
          <w:vertAlign w:val="superscript"/>
          <w:lang w:val="en-US"/>
        </w:rPr>
        <w:footnoteReference w:id="85"/>
      </w:r>
      <w:r w:rsidRPr="00AC57EA">
        <w:rPr>
          <w:sz w:val="20"/>
          <w:szCs w:val="20"/>
          <w:lang w:val="en-US"/>
        </w:rPr>
        <w:t xml:space="preserve"> The record of the procedure reveals that the defendant’s </w:t>
      </w:r>
      <w:r w:rsidR="00B1399D" w:rsidRPr="00AC57EA">
        <w:rPr>
          <w:sz w:val="20"/>
          <w:szCs w:val="20"/>
          <w:lang w:val="en-US"/>
        </w:rPr>
        <w:t>counsel</w:t>
      </w:r>
      <w:r w:rsidRPr="00AC57EA">
        <w:rPr>
          <w:sz w:val="20"/>
          <w:szCs w:val="20"/>
          <w:lang w:val="en-US"/>
        </w:rPr>
        <w:t xml:space="preserve">, V.P.C.’s </w:t>
      </w:r>
      <w:r w:rsidR="00B1399D" w:rsidRPr="00AC57EA">
        <w:rPr>
          <w:sz w:val="20"/>
          <w:szCs w:val="20"/>
          <w:lang w:val="en-US"/>
        </w:rPr>
        <w:t>counse</w:t>
      </w:r>
      <w:r w:rsidRPr="00AC57EA">
        <w:rPr>
          <w:sz w:val="20"/>
          <w:szCs w:val="20"/>
          <w:lang w:val="en-US"/>
        </w:rPr>
        <w:t>l, the judge and the judge’s secretary were present, a</w:t>
      </w:r>
      <w:r w:rsidR="00B1399D" w:rsidRPr="00AC57EA">
        <w:rPr>
          <w:sz w:val="20"/>
          <w:szCs w:val="20"/>
          <w:lang w:val="en-US"/>
        </w:rPr>
        <w:t>s</w:t>
      </w:r>
      <w:r w:rsidRPr="00AC57EA">
        <w:rPr>
          <w:sz w:val="20"/>
          <w:szCs w:val="20"/>
          <w:lang w:val="en-US"/>
        </w:rPr>
        <w:t xml:space="preserve"> was the psychiatrist assigned to the case. However, the presence of the respective prosecutor is not recorded.</w:t>
      </w:r>
      <w:r w:rsidR="00B5625C" w:rsidRPr="00AC57EA">
        <w:rPr>
          <w:spacing w:val="-2"/>
          <w:sz w:val="20"/>
          <w:szCs w:val="20"/>
          <w:vertAlign w:val="superscript"/>
          <w:lang w:val="en-US"/>
        </w:rPr>
        <w:footnoteReference w:id="86"/>
      </w:r>
      <w:r w:rsidRPr="00AC57EA">
        <w:rPr>
          <w:spacing w:val="-2"/>
          <w:sz w:val="20"/>
          <w:szCs w:val="20"/>
          <w:lang w:val="en-US"/>
        </w:rPr>
        <w:t xml:space="preserve"> From the description of the procedure in the record, the Court notes that V.R.P., a child of 9 years of age, was asked to recount what had happened with her father</w:t>
      </w:r>
      <w:r w:rsidR="00B1399D" w:rsidRPr="00AC57EA">
        <w:rPr>
          <w:spacing w:val="-2"/>
          <w:sz w:val="20"/>
          <w:szCs w:val="20"/>
          <w:lang w:val="en-US"/>
        </w:rPr>
        <w:t>;</w:t>
      </w:r>
      <w:r w:rsidRPr="00AC57EA">
        <w:rPr>
          <w:spacing w:val="-2"/>
          <w:sz w:val="20"/>
          <w:szCs w:val="20"/>
          <w:lang w:val="en-US"/>
        </w:rPr>
        <w:t xml:space="preserve"> she was asked to walk through and identify the places that she had been taken by her father to recreate what had happened; also, she had to wear the clothes she was wearing when the facts took place, and she was even asked to place herself in “the position in which she was when she awoke.</w:t>
      </w:r>
      <w:r w:rsidR="00B5625C" w:rsidRPr="00AC57EA">
        <w:rPr>
          <w:spacing w:val="-2"/>
          <w:sz w:val="20"/>
          <w:szCs w:val="20"/>
          <w:lang w:val="en-US"/>
        </w:rPr>
        <w:t>”</w:t>
      </w:r>
      <w:r w:rsidR="00B5625C" w:rsidRPr="00AC57EA">
        <w:rPr>
          <w:spacing w:val="-2"/>
          <w:sz w:val="20"/>
          <w:szCs w:val="20"/>
          <w:vertAlign w:val="superscript"/>
          <w:lang w:val="en-US"/>
        </w:rPr>
        <w:footnoteReference w:id="87"/>
      </w:r>
      <w:r w:rsidR="00B5625C" w:rsidRPr="00AC57EA">
        <w:rPr>
          <w:spacing w:val="-2"/>
          <w:sz w:val="20"/>
          <w:szCs w:val="20"/>
          <w:lang w:val="en-US"/>
        </w:rPr>
        <w:t xml:space="preserve"> </w:t>
      </w:r>
      <w:r w:rsidRPr="00AC57EA">
        <w:rPr>
          <w:spacing w:val="-2"/>
          <w:sz w:val="20"/>
          <w:szCs w:val="20"/>
          <w:lang w:val="en-US"/>
        </w:rPr>
        <w:t>In addition, photographs were taken of the place and the child in the position in which the judge had asked her to place herself. The Court notes that, even though the child’s father was not present with her in the procedure, he was nearby and took part in the reconstruction the same day and immediately after the participation of</w:t>
      </w:r>
      <w:r w:rsidR="00B5625C" w:rsidRPr="00AC57EA">
        <w:rPr>
          <w:spacing w:val="-2"/>
          <w:sz w:val="20"/>
          <w:szCs w:val="20"/>
          <w:lang w:val="en-US"/>
        </w:rPr>
        <w:t xml:space="preserve"> V.R.P. </w:t>
      </w:r>
      <w:r w:rsidRPr="00AC57EA">
        <w:rPr>
          <w:spacing w:val="-2"/>
          <w:sz w:val="20"/>
          <w:szCs w:val="20"/>
          <w:lang w:val="en-US"/>
        </w:rPr>
        <w:t>had ended.</w:t>
      </w:r>
      <w:r w:rsidR="00B5625C" w:rsidRPr="00AC57EA">
        <w:rPr>
          <w:spacing w:val="-2"/>
          <w:sz w:val="20"/>
          <w:szCs w:val="20"/>
          <w:vertAlign w:val="superscript"/>
          <w:lang w:val="en-US"/>
        </w:rPr>
        <w:footnoteReference w:id="88"/>
      </w:r>
    </w:p>
    <w:p w14:paraId="6AEB016D" w14:textId="77777777" w:rsidR="00B5625C" w:rsidRPr="00AC57EA" w:rsidRDefault="00B5625C" w:rsidP="00B5625C">
      <w:pPr>
        <w:spacing w:line="240" w:lineRule="auto"/>
        <w:rPr>
          <w:sz w:val="20"/>
          <w:szCs w:val="20"/>
          <w:lang w:val="en-US"/>
        </w:rPr>
      </w:pPr>
    </w:p>
    <w:p w14:paraId="54A2A191" w14:textId="674610C5" w:rsidR="00B5625C" w:rsidRPr="00AC57EA" w:rsidRDefault="00EB7A83" w:rsidP="002C415B">
      <w:pPr>
        <w:widowControl/>
        <w:numPr>
          <w:ilvl w:val="0"/>
          <w:numId w:val="6"/>
        </w:numPr>
        <w:adjustRightInd/>
        <w:spacing w:line="240" w:lineRule="auto"/>
        <w:ind w:left="1701"/>
        <w:jc w:val="left"/>
        <w:textAlignment w:val="auto"/>
        <w:rPr>
          <w:i/>
          <w:sz w:val="20"/>
          <w:szCs w:val="20"/>
          <w:lang w:val="en-US"/>
        </w:rPr>
      </w:pPr>
      <w:r w:rsidRPr="00AC57EA">
        <w:rPr>
          <w:i/>
          <w:sz w:val="20"/>
          <w:szCs w:val="20"/>
          <w:lang w:val="en-US"/>
        </w:rPr>
        <w:t xml:space="preserve">Medical </w:t>
      </w:r>
      <w:r w:rsidR="00986A34" w:rsidRPr="00AC57EA">
        <w:rPr>
          <w:i/>
          <w:sz w:val="20"/>
          <w:szCs w:val="20"/>
          <w:lang w:val="en-US"/>
        </w:rPr>
        <w:t>examination of the defendant</w:t>
      </w:r>
    </w:p>
    <w:p w14:paraId="7E1D11F6" w14:textId="609D8168" w:rsidR="00B5625C" w:rsidRPr="00AC57EA" w:rsidRDefault="00B5625C" w:rsidP="00B5625C">
      <w:pPr>
        <w:spacing w:line="240" w:lineRule="auto"/>
        <w:ind w:left="1701"/>
        <w:rPr>
          <w:sz w:val="20"/>
          <w:szCs w:val="20"/>
          <w:lang w:val="en-US"/>
        </w:rPr>
      </w:pPr>
    </w:p>
    <w:p w14:paraId="3C4705D9" w14:textId="3636F42E" w:rsidR="00B5625C" w:rsidRPr="00AC57EA" w:rsidRDefault="0035434D"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Two medical examinations were conducted on the defendant to determine whether he was a </w:t>
      </w:r>
      <w:r w:rsidR="00B1399D" w:rsidRPr="00AC57EA">
        <w:rPr>
          <w:sz w:val="20"/>
          <w:szCs w:val="20"/>
          <w:lang w:val="en-US"/>
        </w:rPr>
        <w:lastRenderedPageBreak/>
        <w:t>c</w:t>
      </w:r>
      <w:r w:rsidRPr="00AC57EA">
        <w:rPr>
          <w:sz w:val="20"/>
          <w:szCs w:val="20"/>
          <w:lang w:val="en-US"/>
        </w:rPr>
        <w:t>arrier of the venereal disease detected in the child.</w:t>
      </w:r>
    </w:p>
    <w:p w14:paraId="0BB83CDD" w14:textId="77777777" w:rsidR="00B5625C" w:rsidRPr="00AC57EA" w:rsidRDefault="00B5625C" w:rsidP="00B5625C">
      <w:pPr>
        <w:spacing w:line="240" w:lineRule="auto"/>
        <w:rPr>
          <w:sz w:val="20"/>
          <w:szCs w:val="20"/>
          <w:lang w:val="en-US"/>
        </w:rPr>
      </w:pPr>
    </w:p>
    <w:p w14:paraId="36039465" w14:textId="10A81F6E" w:rsidR="00B5625C" w:rsidRPr="00AC57EA" w:rsidRDefault="0035434D" w:rsidP="0035434D">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The first </w:t>
      </w:r>
      <w:r w:rsidR="00B1399D" w:rsidRPr="00AC57EA">
        <w:rPr>
          <w:sz w:val="20"/>
          <w:szCs w:val="20"/>
          <w:lang w:val="en-US"/>
        </w:rPr>
        <w:t>examination</w:t>
      </w:r>
      <w:r w:rsidRPr="00AC57EA">
        <w:rPr>
          <w:sz w:val="20"/>
          <w:szCs w:val="20"/>
          <w:lang w:val="en-US"/>
        </w:rPr>
        <w:t xml:space="preserve"> took place on</w:t>
      </w:r>
      <w:r w:rsidR="002A0685" w:rsidRPr="00AC57EA">
        <w:rPr>
          <w:sz w:val="20"/>
          <w:szCs w:val="20"/>
          <w:lang w:val="en-US"/>
        </w:rPr>
        <w:t xml:space="preserve"> November 23,</w:t>
      </w:r>
      <w:r w:rsidR="00B5625C" w:rsidRPr="00AC57EA">
        <w:rPr>
          <w:sz w:val="20"/>
          <w:szCs w:val="20"/>
          <w:lang w:val="en-US"/>
        </w:rPr>
        <w:t xml:space="preserve"> 2001. </w:t>
      </w:r>
      <w:r w:rsidRPr="00AC57EA">
        <w:rPr>
          <w:sz w:val="20"/>
          <w:szCs w:val="20"/>
          <w:lang w:val="en-US"/>
        </w:rPr>
        <w:t xml:space="preserve">It was carried out by the </w:t>
      </w:r>
      <w:r w:rsidR="00B1399D" w:rsidRPr="00AC57EA">
        <w:rPr>
          <w:sz w:val="20"/>
          <w:szCs w:val="20"/>
          <w:lang w:val="en-US"/>
        </w:rPr>
        <w:t>physician</w:t>
      </w:r>
      <w:r w:rsidRPr="00AC57EA">
        <w:rPr>
          <w:sz w:val="20"/>
          <w:szCs w:val="20"/>
          <w:lang w:val="en-US"/>
        </w:rPr>
        <w:t xml:space="preserve"> who tried to evaluate the child the first time. He concluded that “currently, the defendant does not suffer from human papillomavirus and condyloma acuminate and it is not possible to determine whether the defendant has suffered from this disease.</w:t>
      </w:r>
      <w:r w:rsidR="00B5625C" w:rsidRPr="00AC57EA">
        <w:rPr>
          <w:sz w:val="20"/>
          <w:szCs w:val="20"/>
          <w:lang w:val="en-US"/>
        </w:rPr>
        <w:t>”</w:t>
      </w:r>
      <w:r w:rsidR="00B5625C" w:rsidRPr="00AC57EA">
        <w:rPr>
          <w:sz w:val="20"/>
          <w:szCs w:val="20"/>
          <w:vertAlign w:val="superscript"/>
          <w:lang w:val="en-US"/>
        </w:rPr>
        <w:footnoteReference w:id="89"/>
      </w:r>
    </w:p>
    <w:p w14:paraId="4260C3AD" w14:textId="77777777" w:rsidR="00B5625C" w:rsidRPr="00AC57EA" w:rsidRDefault="00B5625C" w:rsidP="00B5625C">
      <w:pPr>
        <w:spacing w:line="240" w:lineRule="auto"/>
        <w:rPr>
          <w:sz w:val="20"/>
          <w:szCs w:val="20"/>
          <w:lang w:val="en-US"/>
        </w:rPr>
      </w:pPr>
    </w:p>
    <w:p w14:paraId="153FADA6" w14:textId="66D80AA6" w:rsidR="00B5625C" w:rsidRPr="00AC57EA" w:rsidRDefault="0035434D" w:rsidP="0035434D">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The second examination was carried out by a forensic physician of the Institute of Forensic Medicine</w:t>
      </w:r>
      <w:r w:rsidR="00B5625C" w:rsidRPr="00AC57EA">
        <w:rPr>
          <w:sz w:val="20"/>
          <w:szCs w:val="20"/>
          <w:lang w:val="en-US"/>
        </w:rPr>
        <w:t xml:space="preserve">, </w:t>
      </w:r>
      <w:r w:rsidRPr="00AC57EA">
        <w:rPr>
          <w:sz w:val="20"/>
          <w:szCs w:val="20"/>
          <w:lang w:val="en-US"/>
        </w:rPr>
        <w:t xml:space="preserve">who indicated that, “at the time of </w:t>
      </w:r>
      <w:r w:rsidR="00B1399D" w:rsidRPr="00AC57EA">
        <w:rPr>
          <w:sz w:val="20"/>
          <w:szCs w:val="20"/>
          <w:lang w:val="en-US"/>
        </w:rPr>
        <w:t>the</w:t>
      </w:r>
      <w:r w:rsidRPr="00AC57EA">
        <w:rPr>
          <w:sz w:val="20"/>
          <w:szCs w:val="20"/>
          <w:lang w:val="en-US"/>
        </w:rPr>
        <w:t xml:space="preserve"> forensic medical examination, no pathology is observed in the genital and surrounding area in keeping with venereal disease.</w:t>
      </w:r>
      <w:r w:rsidR="00585CB9" w:rsidRPr="00AC57EA">
        <w:rPr>
          <w:sz w:val="20"/>
          <w:szCs w:val="20"/>
          <w:lang w:val="en-US"/>
        </w:rPr>
        <w:t>”</w:t>
      </w:r>
      <w:r w:rsidR="0074764E" w:rsidRPr="00AC57EA">
        <w:rPr>
          <w:sz w:val="20"/>
          <w:szCs w:val="20"/>
          <w:vertAlign w:val="superscript"/>
          <w:lang w:val="en-US"/>
        </w:rPr>
        <w:footnoteReference w:id="90"/>
      </w:r>
      <w:r w:rsidRPr="00AC57EA">
        <w:rPr>
          <w:sz w:val="20"/>
          <w:szCs w:val="20"/>
          <w:lang w:val="en-US"/>
        </w:rPr>
        <w:t xml:space="preserve"> In addition, he recommended a “laboratory test to identify the presence of venereal papillomavirus in semen samples and a skin smear from the genital organs to rule out a possible pathology of being a healthy carrier of venereal papillomavirus.</w:t>
      </w:r>
      <w:r w:rsidR="00B5625C" w:rsidRPr="00AC57EA">
        <w:rPr>
          <w:sz w:val="20"/>
          <w:szCs w:val="20"/>
          <w:lang w:val="en-US"/>
        </w:rPr>
        <w:t>”</w:t>
      </w:r>
      <w:r w:rsidR="00B5625C" w:rsidRPr="00AC57EA">
        <w:rPr>
          <w:sz w:val="20"/>
          <w:szCs w:val="20"/>
          <w:vertAlign w:val="superscript"/>
          <w:lang w:val="en-US"/>
        </w:rPr>
        <w:footnoteReference w:id="91"/>
      </w:r>
      <w:r w:rsidRPr="00AC57EA">
        <w:rPr>
          <w:sz w:val="20"/>
          <w:szCs w:val="20"/>
          <w:lang w:val="en-US"/>
        </w:rPr>
        <w:t xml:space="preserve"> The laboratory study recommended on this second occasion was never ordered</w:t>
      </w:r>
      <w:r w:rsidR="00B5625C" w:rsidRPr="00AC57EA">
        <w:rPr>
          <w:sz w:val="20"/>
          <w:szCs w:val="20"/>
          <w:lang w:val="en-US"/>
        </w:rPr>
        <w:t>.</w:t>
      </w:r>
    </w:p>
    <w:p w14:paraId="46F57F10" w14:textId="77777777" w:rsidR="00B5625C" w:rsidRPr="00AC57EA" w:rsidRDefault="00B5625C" w:rsidP="00B5625C">
      <w:pPr>
        <w:spacing w:line="240" w:lineRule="auto"/>
        <w:rPr>
          <w:sz w:val="20"/>
          <w:szCs w:val="20"/>
          <w:lang w:val="en-US"/>
        </w:rPr>
      </w:pPr>
    </w:p>
    <w:p w14:paraId="531866C6" w14:textId="44BA0FC4" w:rsidR="00B5625C" w:rsidRPr="00AC57EA" w:rsidRDefault="0035434D"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r w:rsidRPr="00AC57EA">
        <w:rPr>
          <w:rFonts w:eastAsia="MS Mincho"/>
          <w:b/>
          <w:bCs/>
          <w:i/>
          <w:sz w:val="20"/>
          <w:szCs w:val="20"/>
          <w:lang w:val="en-US"/>
        </w:rPr>
        <w:t xml:space="preserve">The preventive </w:t>
      </w:r>
      <w:r w:rsidR="009E1B73" w:rsidRPr="00AC57EA">
        <w:rPr>
          <w:rFonts w:eastAsia="MS Mincho"/>
          <w:b/>
          <w:bCs/>
          <w:i/>
          <w:sz w:val="20"/>
          <w:szCs w:val="20"/>
          <w:lang w:val="en-US"/>
        </w:rPr>
        <w:t>detention of the accused</w:t>
      </w:r>
    </w:p>
    <w:p w14:paraId="6A2B8B3A" w14:textId="77777777" w:rsidR="00B5625C" w:rsidRPr="00AC57EA" w:rsidRDefault="00B5625C" w:rsidP="00B5625C">
      <w:pPr>
        <w:spacing w:line="240" w:lineRule="auto"/>
        <w:rPr>
          <w:sz w:val="20"/>
          <w:szCs w:val="20"/>
          <w:lang w:val="en-US"/>
        </w:rPr>
      </w:pPr>
    </w:p>
    <w:p w14:paraId="23890CFC" w14:textId="090A082A" w:rsidR="00B5625C" w:rsidRPr="00AC57EA" w:rsidRDefault="0035434D" w:rsidP="00DA3B61">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30,</w:t>
      </w:r>
      <w:r w:rsidR="00B5625C" w:rsidRPr="00AC57EA">
        <w:rPr>
          <w:sz w:val="20"/>
          <w:szCs w:val="20"/>
          <w:lang w:val="en-US"/>
        </w:rPr>
        <w:t xml:space="preserve"> 2001</w:t>
      </w:r>
      <w:r w:rsidR="00DA3B61" w:rsidRPr="00AC57EA">
        <w:rPr>
          <w:sz w:val="20"/>
          <w:szCs w:val="20"/>
          <w:lang w:val="en-US"/>
        </w:rPr>
        <w:t>,</w:t>
      </w:r>
      <w:r w:rsidR="00B5625C" w:rsidRPr="00AC57EA">
        <w:rPr>
          <w:sz w:val="20"/>
          <w:szCs w:val="20"/>
          <w:lang w:val="en-US"/>
        </w:rPr>
        <w:t xml:space="preserve"> </w:t>
      </w:r>
      <w:r w:rsidR="002A0685" w:rsidRPr="00AC57EA">
        <w:rPr>
          <w:sz w:val="20"/>
          <w:szCs w:val="20"/>
          <w:lang w:val="en-US"/>
        </w:rPr>
        <w:t>the Jinotega District Criminal Court</w:t>
      </w:r>
      <w:r w:rsidR="00B5625C" w:rsidRPr="00AC57EA">
        <w:rPr>
          <w:sz w:val="20"/>
          <w:szCs w:val="20"/>
          <w:lang w:val="en-US"/>
        </w:rPr>
        <w:t xml:space="preserve"> </w:t>
      </w:r>
      <w:r w:rsidR="00DA3B61" w:rsidRPr="00AC57EA">
        <w:rPr>
          <w:sz w:val="20"/>
          <w:szCs w:val="20"/>
          <w:lang w:val="en-US"/>
        </w:rPr>
        <w:t xml:space="preserve">issued interlocutory judgment No. 714 in which it order the imprisonment of </w:t>
      </w:r>
      <w:r w:rsidR="00B5625C" w:rsidRPr="00AC57EA">
        <w:rPr>
          <w:sz w:val="20"/>
          <w:szCs w:val="20"/>
          <w:lang w:val="en-US"/>
        </w:rPr>
        <w:t>H.R.A.</w:t>
      </w:r>
      <w:r w:rsidR="00B5625C" w:rsidRPr="00AC57EA">
        <w:rPr>
          <w:sz w:val="20"/>
          <w:szCs w:val="20"/>
          <w:vertAlign w:val="superscript"/>
          <w:lang w:val="en-US"/>
        </w:rPr>
        <w:footnoteReference w:id="92"/>
      </w:r>
      <w:r w:rsidR="00DA3B61" w:rsidRPr="00AC57EA">
        <w:rPr>
          <w:sz w:val="20"/>
          <w:szCs w:val="20"/>
          <w:lang w:val="en-US"/>
        </w:rPr>
        <w:t xml:space="preserve"> When taking this decisi</w:t>
      </w:r>
      <w:r w:rsidR="000C7467" w:rsidRPr="00AC57EA">
        <w:rPr>
          <w:sz w:val="20"/>
          <w:szCs w:val="20"/>
          <w:lang w:val="en-US"/>
        </w:rPr>
        <w:t>o</w:t>
      </w:r>
      <w:r w:rsidR="00DA3B61" w:rsidRPr="00AC57EA">
        <w:rPr>
          <w:sz w:val="20"/>
          <w:szCs w:val="20"/>
          <w:lang w:val="en-US"/>
        </w:rPr>
        <w:t>n, the judge considered that the crime of rape was “fully proved” by the forensic medical report; that the victim’s statement was “very coherent, clear and substantiated, that it [was] corroborated by</w:t>
      </w:r>
      <w:r w:rsidR="00B1399D" w:rsidRPr="00AC57EA">
        <w:rPr>
          <w:sz w:val="20"/>
          <w:szCs w:val="20"/>
          <w:lang w:val="en-US"/>
        </w:rPr>
        <w:t xml:space="preserve"> the</w:t>
      </w:r>
      <w:r w:rsidR="00DA3B61" w:rsidRPr="00AC57EA">
        <w:rPr>
          <w:sz w:val="20"/>
          <w:szCs w:val="20"/>
          <w:lang w:val="en-US"/>
        </w:rPr>
        <w:t xml:space="preserve"> victim’s intense emotional state” and that “the presence of the human papillomavirus and </w:t>
      </w:r>
      <w:r w:rsidR="000C7467" w:rsidRPr="00AC57EA">
        <w:rPr>
          <w:sz w:val="20"/>
          <w:szCs w:val="20"/>
          <w:lang w:val="en-US"/>
        </w:rPr>
        <w:t>condyloma acuminate indicate sexually transmitted diseases, in which the carrier may be asymptomatic and the recipient is the one who develops the disease, in this case the child.</w:t>
      </w:r>
      <w:r w:rsidR="00B5625C" w:rsidRPr="00AC57EA">
        <w:rPr>
          <w:sz w:val="20"/>
          <w:szCs w:val="20"/>
          <w:lang w:val="en-US"/>
        </w:rPr>
        <w:t>”</w:t>
      </w:r>
      <w:r w:rsidR="00B5625C" w:rsidRPr="00AC57EA">
        <w:rPr>
          <w:sz w:val="20"/>
          <w:szCs w:val="20"/>
          <w:vertAlign w:val="superscript"/>
          <w:lang w:val="en-US"/>
        </w:rPr>
        <w:footnoteReference w:id="93"/>
      </w:r>
    </w:p>
    <w:p w14:paraId="5BC3DC03" w14:textId="77777777" w:rsidR="00B5625C" w:rsidRPr="00AC57EA" w:rsidRDefault="00B5625C" w:rsidP="00B5625C">
      <w:pPr>
        <w:spacing w:line="240" w:lineRule="auto"/>
        <w:rPr>
          <w:sz w:val="20"/>
          <w:szCs w:val="20"/>
          <w:lang w:val="en-US"/>
        </w:rPr>
      </w:pPr>
    </w:p>
    <w:p w14:paraId="03DC4F56" w14:textId="0E82C8C0" w:rsidR="00B5625C" w:rsidRPr="00AC57EA" w:rsidRDefault="000C7467"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On December 6, that year, the case was referred to </w:t>
      </w:r>
      <w:r w:rsidR="00B1399D" w:rsidRPr="00AC57EA">
        <w:rPr>
          <w:sz w:val="20"/>
          <w:szCs w:val="20"/>
          <w:lang w:val="en-US"/>
        </w:rPr>
        <w:t xml:space="preserve">a </w:t>
      </w:r>
      <w:r w:rsidRPr="00AC57EA">
        <w:rPr>
          <w:sz w:val="20"/>
          <w:szCs w:val="20"/>
          <w:lang w:val="en-US"/>
        </w:rPr>
        <w:t>court.</w:t>
      </w:r>
      <w:r w:rsidR="00B5625C" w:rsidRPr="00AC57EA">
        <w:rPr>
          <w:sz w:val="20"/>
          <w:szCs w:val="20"/>
          <w:vertAlign w:val="superscript"/>
          <w:lang w:val="en-US"/>
        </w:rPr>
        <w:footnoteReference w:id="94"/>
      </w:r>
    </w:p>
    <w:p w14:paraId="35DC4D77" w14:textId="77777777" w:rsidR="00B5625C" w:rsidRPr="00AC57EA" w:rsidRDefault="00B5625C" w:rsidP="00B5625C">
      <w:pPr>
        <w:spacing w:line="240" w:lineRule="auto"/>
        <w:rPr>
          <w:sz w:val="20"/>
          <w:szCs w:val="20"/>
          <w:lang w:val="en-US"/>
        </w:rPr>
      </w:pPr>
    </w:p>
    <w:p w14:paraId="5F94A30C" w14:textId="04AC2D40" w:rsidR="00B5625C" w:rsidRPr="00AC57EA" w:rsidRDefault="00D05EE6"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r w:rsidRPr="00AC57EA">
        <w:rPr>
          <w:rFonts w:eastAsia="MS Mincho"/>
          <w:b/>
          <w:bCs/>
          <w:i/>
          <w:sz w:val="20"/>
          <w:szCs w:val="20"/>
          <w:lang w:val="en-US"/>
        </w:rPr>
        <w:t xml:space="preserve"> </w:t>
      </w:r>
      <w:r w:rsidRPr="00AC57EA">
        <w:rPr>
          <w:rFonts w:eastAsia="MS Mincho"/>
          <w:b/>
          <w:bCs/>
          <w:i/>
          <w:sz w:val="20"/>
          <w:szCs w:val="20"/>
          <w:lang w:val="en-US"/>
        </w:rPr>
        <w:tab/>
      </w:r>
      <w:r w:rsidR="000C7467" w:rsidRPr="00AC57EA">
        <w:rPr>
          <w:rFonts w:eastAsia="MS Mincho"/>
          <w:b/>
          <w:bCs/>
          <w:i/>
          <w:sz w:val="20"/>
          <w:szCs w:val="20"/>
          <w:lang w:val="en-US"/>
        </w:rPr>
        <w:t xml:space="preserve">The trial by jury court and </w:t>
      </w:r>
      <w:r w:rsidR="009E1B73" w:rsidRPr="00AC57EA">
        <w:rPr>
          <w:rFonts w:eastAsia="MS Mincho"/>
          <w:b/>
          <w:bCs/>
          <w:i/>
          <w:sz w:val="20"/>
          <w:szCs w:val="20"/>
          <w:lang w:val="en-US"/>
        </w:rPr>
        <w:t>the acquittal of the accused</w:t>
      </w:r>
    </w:p>
    <w:p w14:paraId="643FF4E0" w14:textId="77777777" w:rsidR="00B5625C" w:rsidRPr="00AC57EA" w:rsidRDefault="00B5625C" w:rsidP="00B5625C">
      <w:pPr>
        <w:spacing w:line="240" w:lineRule="auto"/>
        <w:rPr>
          <w:sz w:val="20"/>
          <w:szCs w:val="20"/>
          <w:lang w:val="en-US"/>
        </w:rPr>
      </w:pPr>
    </w:p>
    <w:p w14:paraId="04A21656" w14:textId="39E708F1" w:rsidR="00B5625C" w:rsidRPr="00AC57EA" w:rsidRDefault="000C7467"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April 9,</w:t>
      </w:r>
      <w:r w:rsidR="00B5625C" w:rsidRPr="00AC57EA">
        <w:rPr>
          <w:sz w:val="20"/>
          <w:szCs w:val="20"/>
          <w:lang w:val="en-US"/>
        </w:rPr>
        <w:t xml:space="preserve"> 2002</w:t>
      </w:r>
      <w:r w:rsidRPr="00AC57EA">
        <w:rPr>
          <w:sz w:val="20"/>
          <w:szCs w:val="20"/>
          <w:lang w:val="en-US"/>
        </w:rPr>
        <w:t>,</w:t>
      </w:r>
      <w:r w:rsidR="00B5625C" w:rsidRPr="00AC57EA">
        <w:rPr>
          <w:sz w:val="20"/>
          <w:szCs w:val="20"/>
          <w:lang w:val="en-US"/>
        </w:rPr>
        <w:t xml:space="preserve"> </w:t>
      </w:r>
      <w:r w:rsidRPr="00AC57EA">
        <w:rPr>
          <w:sz w:val="20"/>
          <w:szCs w:val="20"/>
          <w:lang w:val="en-US"/>
        </w:rPr>
        <w:t>ten members of the jury were chosen by lottery.</w:t>
      </w:r>
      <w:r w:rsidR="00B5625C" w:rsidRPr="00AC57EA">
        <w:rPr>
          <w:sz w:val="20"/>
          <w:szCs w:val="20"/>
          <w:vertAlign w:val="superscript"/>
          <w:lang w:val="en-US"/>
        </w:rPr>
        <w:footnoteReference w:id="95"/>
      </w:r>
      <w:r w:rsidR="00B5625C" w:rsidRPr="00AC57EA">
        <w:rPr>
          <w:sz w:val="20"/>
          <w:szCs w:val="20"/>
          <w:lang w:val="en-US"/>
        </w:rPr>
        <w:t xml:space="preserve"> </w:t>
      </w:r>
      <w:r w:rsidRPr="00AC57EA">
        <w:rPr>
          <w:sz w:val="20"/>
          <w:szCs w:val="20"/>
          <w:lang w:val="en-US"/>
        </w:rPr>
        <w:t xml:space="preserve">Both the defendant and the plaintiff </w:t>
      </w:r>
      <w:r w:rsidR="00E12432" w:rsidRPr="00AC57EA">
        <w:rPr>
          <w:sz w:val="20"/>
          <w:szCs w:val="20"/>
          <w:lang w:val="en-US"/>
        </w:rPr>
        <w:t xml:space="preserve">each </w:t>
      </w:r>
      <w:r w:rsidR="00554351" w:rsidRPr="00AC57EA">
        <w:rPr>
          <w:sz w:val="20"/>
          <w:szCs w:val="20"/>
          <w:lang w:val="en-US"/>
        </w:rPr>
        <w:t>vetoed</w:t>
      </w:r>
      <w:r w:rsidRPr="00AC57EA">
        <w:rPr>
          <w:sz w:val="20"/>
          <w:szCs w:val="20"/>
          <w:lang w:val="en-US"/>
        </w:rPr>
        <w:t xml:space="preserve"> </w:t>
      </w:r>
      <w:r w:rsidR="00B1399D" w:rsidRPr="00AC57EA">
        <w:rPr>
          <w:sz w:val="20"/>
          <w:szCs w:val="20"/>
          <w:lang w:val="en-US"/>
        </w:rPr>
        <w:t>one</w:t>
      </w:r>
      <w:r w:rsidRPr="00AC57EA">
        <w:rPr>
          <w:sz w:val="20"/>
          <w:szCs w:val="20"/>
          <w:lang w:val="en-US"/>
        </w:rPr>
        <w:t xml:space="preserve"> juror without cause. The Jinotega District Criminal Court</w:t>
      </w:r>
      <w:r w:rsidR="00B5625C" w:rsidRPr="00AC57EA">
        <w:rPr>
          <w:sz w:val="20"/>
          <w:szCs w:val="20"/>
          <w:lang w:val="en-US"/>
        </w:rPr>
        <w:t xml:space="preserve"> </w:t>
      </w:r>
      <w:r w:rsidRPr="00AC57EA">
        <w:rPr>
          <w:sz w:val="20"/>
          <w:szCs w:val="20"/>
          <w:lang w:val="en-US"/>
        </w:rPr>
        <w:t xml:space="preserve">scheduled the hearing to swear in the jury for April 10, </w:t>
      </w:r>
      <w:r w:rsidR="00B5625C" w:rsidRPr="00AC57EA">
        <w:rPr>
          <w:sz w:val="20"/>
          <w:szCs w:val="20"/>
          <w:lang w:val="en-US"/>
        </w:rPr>
        <w:t>2002.</w:t>
      </w:r>
    </w:p>
    <w:p w14:paraId="593F965D" w14:textId="77777777" w:rsidR="00B5625C" w:rsidRPr="00AC57EA" w:rsidRDefault="00B5625C" w:rsidP="00B5625C">
      <w:pPr>
        <w:tabs>
          <w:tab w:val="left" w:pos="567"/>
        </w:tabs>
        <w:spacing w:line="240" w:lineRule="auto"/>
        <w:rPr>
          <w:sz w:val="20"/>
          <w:szCs w:val="20"/>
          <w:lang w:val="en-US"/>
        </w:rPr>
      </w:pPr>
    </w:p>
    <w:p w14:paraId="777865AB" w14:textId="3CD73D1C" w:rsidR="00B5625C" w:rsidRPr="00AC57EA" w:rsidRDefault="000C7467" w:rsidP="000C7467">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April 10,</w:t>
      </w:r>
      <w:r w:rsidR="00B5625C" w:rsidRPr="00AC57EA">
        <w:rPr>
          <w:sz w:val="20"/>
          <w:szCs w:val="20"/>
          <w:lang w:val="en-US"/>
        </w:rPr>
        <w:t xml:space="preserve"> 2002</w:t>
      </w:r>
      <w:r w:rsidRPr="00AC57EA">
        <w:rPr>
          <w:sz w:val="20"/>
          <w:szCs w:val="20"/>
          <w:lang w:val="en-US"/>
        </w:rPr>
        <w:t>,</w:t>
      </w:r>
      <w:r w:rsidR="00B5625C" w:rsidRPr="00AC57EA">
        <w:rPr>
          <w:sz w:val="20"/>
          <w:szCs w:val="20"/>
          <w:lang w:val="en-US"/>
        </w:rPr>
        <w:t xml:space="preserve"> </w:t>
      </w:r>
      <w:r w:rsidRPr="00AC57EA">
        <w:rPr>
          <w:sz w:val="20"/>
          <w:szCs w:val="20"/>
          <w:lang w:val="en-US"/>
        </w:rPr>
        <w:t>the scheduled jury session was suspended owing “to the pressure of the public who were outside the court, for reasons of prudence.</w:t>
      </w:r>
      <w:r w:rsidR="00B5625C" w:rsidRPr="00AC57EA">
        <w:rPr>
          <w:sz w:val="20"/>
          <w:szCs w:val="20"/>
          <w:lang w:val="en-US"/>
        </w:rPr>
        <w:t>”</w:t>
      </w:r>
      <w:r w:rsidR="00B5625C" w:rsidRPr="00AC57EA">
        <w:rPr>
          <w:sz w:val="20"/>
          <w:szCs w:val="20"/>
          <w:vertAlign w:val="superscript"/>
          <w:lang w:val="en-US"/>
        </w:rPr>
        <w:footnoteReference w:id="96"/>
      </w:r>
      <w:r w:rsidRPr="00AC57EA">
        <w:rPr>
          <w:sz w:val="20"/>
          <w:szCs w:val="20"/>
          <w:lang w:val="en-US"/>
        </w:rPr>
        <w:t xml:space="preserve"> Later the same day, a lottery was held for the ten members of the jury.</w:t>
      </w:r>
      <w:r w:rsidR="00B5625C" w:rsidRPr="00AC57EA">
        <w:rPr>
          <w:sz w:val="20"/>
          <w:szCs w:val="20"/>
          <w:vertAlign w:val="superscript"/>
          <w:lang w:val="en-US"/>
        </w:rPr>
        <w:footnoteReference w:id="97"/>
      </w:r>
      <w:r w:rsidR="00B5625C" w:rsidRPr="00AC57EA">
        <w:rPr>
          <w:sz w:val="20"/>
          <w:szCs w:val="20"/>
          <w:lang w:val="en-US"/>
        </w:rPr>
        <w:t xml:space="preserve"> </w:t>
      </w:r>
      <w:r w:rsidRPr="00AC57EA">
        <w:rPr>
          <w:sz w:val="20"/>
          <w:szCs w:val="20"/>
          <w:lang w:val="en-US"/>
        </w:rPr>
        <w:t xml:space="preserve">The record shows that the defendant was present during </w:t>
      </w:r>
      <w:r w:rsidRPr="00AC57EA">
        <w:rPr>
          <w:sz w:val="20"/>
          <w:szCs w:val="20"/>
          <w:lang w:val="en-US"/>
        </w:rPr>
        <w:lastRenderedPageBreak/>
        <w:t xml:space="preserve">this procedure, but he </w:t>
      </w:r>
      <w:r w:rsidR="00E12432" w:rsidRPr="00AC57EA">
        <w:rPr>
          <w:sz w:val="20"/>
          <w:szCs w:val="20"/>
          <w:lang w:val="en-US"/>
        </w:rPr>
        <w:t>withdrew</w:t>
      </w:r>
      <w:r w:rsidRPr="00AC57EA">
        <w:rPr>
          <w:sz w:val="20"/>
          <w:szCs w:val="20"/>
          <w:lang w:val="en-US"/>
        </w:rPr>
        <w:t xml:space="preserve"> spontaneously. The hearing was scheduled for 3 p.m. that same day but, owing to the medical certificate presented by the defense counsel, who had a tension headache, it was suspended until another date was established.</w:t>
      </w:r>
      <w:r w:rsidR="00B5625C" w:rsidRPr="00AC57EA">
        <w:rPr>
          <w:sz w:val="20"/>
          <w:szCs w:val="20"/>
          <w:vertAlign w:val="superscript"/>
          <w:lang w:val="en-US"/>
        </w:rPr>
        <w:footnoteReference w:id="98"/>
      </w:r>
    </w:p>
    <w:p w14:paraId="60E142EF" w14:textId="77777777" w:rsidR="00B5625C" w:rsidRPr="00AC57EA" w:rsidRDefault="00B5625C" w:rsidP="00B5625C">
      <w:pPr>
        <w:spacing w:line="240" w:lineRule="auto"/>
        <w:rPr>
          <w:sz w:val="20"/>
          <w:szCs w:val="20"/>
          <w:lang w:val="en-US"/>
        </w:rPr>
      </w:pPr>
    </w:p>
    <w:p w14:paraId="3CD1C7BB" w14:textId="35858EE9" w:rsidR="00B5625C" w:rsidRPr="00AC57EA" w:rsidRDefault="005E1AD7"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April 11,</w:t>
      </w:r>
      <w:r w:rsidR="00B5625C" w:rsidRPr="00AC57EA">
        <w:rPr>
          <w:sz w:val="20"/>
          <w:szCs w:val="20"/>
          <w:lang w:val="en-US"/>
        </w:rPr>
        <w:t xml:space="preserve"> 2002</w:t>
      </w:r>
      <w:r w:rsidR="008B4A2A" w:rsidRPr="00AC57EA">
        <w:rPr>
          <w:sz w:val="20"/>
          <w:szCs w:val="20"/>
          <w:lang w:val="en-US"/>
        </w:rPr>
        <w:t xml:space="preserve">, a lottery was </w:t>
      </w:r>
      <w:r w:rsidR="00E12432" w:rsidRPr="00AC57EA">
        <w:rPr>
          <w:sz w:val="20"/>
          <w:szCs w:val="20"/>
          <w:lang w:val="en-US"/>
        </w:rPr>
        <w:t xml:space="preserve">again </w:t>
      </w:r>
      <w:r w:rsidR="008B4A2A" w:rsidRPr="00AC57EA">
        <w:rPr>
          <w:sz w:val="20"/>
          <w:szCs w:val="20"/>
          <w:lang w:val="en-US"/>
        </w:rPr>
        <w:t>held to select the ten members of the jury,</w:t>
      </w:r>
      <w:r w:rsidR="00B5625C" w:rsidRPr="00AC57EA">
        <w:rPr>
          <w:sz w:val="20"/>
          <w:szCs w:val="20"/>
          <w:vertAlign w:val="superscript"/>
          <w:lang w:val="en-US"/>
        </w:rPr>
        <w:footnoteReference w:id="99"/>
      </w:r>
      <w:r w:rsidR="008B4A2A" w:rsidRPr="00AC57EA">
        <w:rPr>
          <w:sz w:val="20"/>
          <w:szCs w:val="20"/>
          <w:lang w:val="en-US"/>
        </w:rPr>
        <w:t xml:space="preserve"> in the presence of the counsel for the accused, the accused, and the </w:t>
      </w:r>
      <w:r w:rsidR="00C90D2B" w:rsidRPr="00AC57EA">
        <w:rPr>
          <w:sz w:val="20"/>
          <w:szCs w:val="20"/>
          <w:lang w:val="en-US"/>
        </w:rPr>
        <w:t>prosecutor</w:t>
      </w:r>
      <w:r w:rsidR="008B4A2A" w:rsidRPr="00AC57EA">
        <w:rPr>
          <w:sz w:val="20"/>
          <w:szCs w:val="20"/>
          <w:lang w:val="en-US"/>
        </w:rPr>
        <w:t xml:space="preserve">. Both the counsel for the accused and the </w:t>
      </w:r>
      <w:r w:rsidR="00C90D2B" w:rsidRPr="00AC57EA">
        <w:rPr>
          <w:sz w:val="20"/>
          <w:szCs w:val="20"/>
          <w:lang w:val="en-US"/>
        </w:rPr>
        <w:t>prosecutor</w:t>
      </w:r>
      <w:r w:rsidR="008B4A2A" w:rsidRPr="00AC57EA">
        <w:rPr>
          <w:sz w:val="20"/>
          <w:szCs w:val="20"/>
          <w:lang w:val="en-US"/>
        </w:rPr>
        <w:t xml:space="preserve"> </w:t>
      </w:r>
      <w:r w:rsidR="00E12432" w:rsidRPr="00AC57EA">
        <w:rPr>
          <w:sz w:val="20"/>
          <w:szCs w:val="20"/>
          <w:lang w:val="en-US"/>
        </w:rPr>
        <w:t xml:space="preserve">each </w:t>
      </w:r>
      <w:r w:rsidR="00554351" w:rsidRPr="00AC57EA">
        <w:rPr>
          <w:sz w:val="20"/>
          <w:szCs w:val="20"/>
          <w:lang w:val="en-US"/>
        </w:rPr>
        <w:t>vetoed</w:t>
      </w:r>
      <w:r w:rsidR="008B4A2A" w:rsidRPr="00AC57EA">
        <w:rPr>
          <w:sz w:val="20"/>
          <w:szCs w:val="20"/>
          <w:lang w:val="en-US"/>
        </w:rPr>
        <w:t xml:space="preserve"> one juror, without giving a reason. </w:t>
      </w:r>
      <w:r w:rsidR="000C7467" w:rsidRPr="00AC57EA">
        <w:rPr>
          <w:sz w:val="20"/>
          <w:szCs w:val="20"/>
          <w:lang w:val="en-US"/>
        </w:rPr>
        <w:t>The Jinotega District Criminal Court</w:t>
      </w:r>
      <w:r w:rsidR="008B4A2A" w:rsidRPr="00AC57EA">
        <w:rPr>
          <w:sz w:val="20"/>
          <w:szCs w:val="20"/>
          <w:lang w:val="en-US"/>
        </w:rPr>
        <w:t xml:space="preserve"> scheduled the hearing to constitute a jury for April 12, 2002.</w:t>
      </w:r>
      <w:r w:rsidR="00B5625C" w:rsidRPr="00AC57EA">
        <w:rPr>
          <w:sz w:val="20"/>
          <w:szCs w:val="20"/>
          <w:vertAlign w:val="superscript"/>
          <w:lang w:val="en-US"/>
        </w:rPr>
        <w:footnoteReference w:id="100"/>
      </w:r>
    </w:p>
    <w:p w14:paraId="56E822E7" w14:textId="77777777" w:rsidR="00B5625C" w:rsidRPr="00AC57EA" w:rsidRDefault="00B5625C" w:rsidP="00B5625C">
      <w:pPr>
        <w:tabs>
          <w:tab w:val="left" w:pos="567"/>
        </w:tabs>
        <w:spacing w:line="240" w:lineRule="auto"/>
        <w:rPr>
          <w:sz w:val="20"/>
          <w:szCs w:val="20"/>
          <w:lang w:val="en-US"/>
        </w:rPr>
      </w:pPr>
    </w:p>
    <w:p w14:paraId="228FED2F" w14:textId="12E6E901" w:rsidR="00B5625C" w:rsidRPr="00AC57EA" w:rsidRDefault="008B4A2A" w:rsidP="008B4A2A">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that date, the defense counsel requested that two other lawyers be permitted to collaborate in the defense of the accused.</w:t>
      </w:r>
      <w:r w:rsidR="00B5625C" w:rsidRPr="00AC57EA">
        <w:rPr>
          <w:sz w:val="20"/>
          <w:szCs w:val="20"/>
          <w:vertAlign w:val="superscript"/>
          <w:lang w:val="en-US"/>
        </w:rPr>
        <w:footnoteReference w:id="101"/>
      </w:r>
      <w:r w:rsidRPr="00AC57EA">
        <w:rPr>
          <w:sz w:val="20"/>
          <w:szCs w:val="20"/>
          <w:lang w:val="en-US"/>
        </w:rPr>
        <w:t xml:space="preserve"> The following day, the </w:t>
      </w:r>
      <w:r w:rsidR="00C90D2B" w:rsidRPr="00AC57EA">
        <w:rPr>
          <w:sz w:val="20"/>
          <w:szCs w:val="20"/>
          <w:lang w:val="en-US"/>
        </w:rPr>
        <w:t>prosecutor</w:t>
      </w:r>
      <w:r w:rsidRPr="00AC57EA">
        <w:rPr>
          <w:sz w:val="20"/>
          <w:szCs w:val="20"/>
          <w:lang w:val="en-US"/>
        </w:rPr>
        <w:t xml:space="preserve"> contested this request in writing</w:t>
      </w:r>
      <w:r w:rsidR="00C90D2B" w:rsidRPr="00AC57EA">
        <w:rPr>
          <w:sz w:val="20"/>
          <w:szCs w:val="20"/>
          <w:lang w:val="en-US"/>
        </w:rPr>
        <w:t xml:space="preserve"> and filed a similar request to be assisted by another lawyer based on the principle of equality.</w:t>
      </w:r>
      <w:r w:rsidR="00B5625C" w:rsidRPr="00AC57EA">
        <w:rPr>
          <w:sz w:val="20"/>
          <w:szCs w:val="20"/>
          <w:vertAlign w:val="superscript"/>
          <w:lang w:val="en-US"/>
        </w:rPr>
        <w:footnoteReference w:id="102"/>
      </w:r>
      <w:r w:rsidR="00B5625C" w:rsidRPr="00AC57EA">
        <w:rPr>
          <w:sz w:val="20"/>
          <w:szCs w:val="20"/>
          <w:lang w:val="en-US"/>
        </w:rPr>
        <w:t xml:space="preserve"> </w:t>
      </w:r>
      <w:r w:rsidR="00C90D2B" w:rsidRPr="00AC57EA">
        <w:rPr>
          <w:sz w:val="20"/>
          <w:szCs w:val="20"/>
          <w:lang w:val="en-US"/>
        </w:rPr>
        <w:t>That same April 12, the defense counsel’s request was granted,</w:t>
      </w:r>
      <w:r w:rsidR="00B5625C" w:rsidRPr="00AC57EA">
        <w:rPr>
          <w:sz w:val="20"/>
          <w:szCs w:val="20"/>
          <w:vertAlign w:val="superscript"/>
          <w:lang w:val="en-US"/>
        </w:rPr>
        <w:footnoteReference w:id="103"/>
      </w:r>
      <w:r w:rsidR="00C90D2B" w:rsidRPr="00AC57EA">
        <w:rPr>
          <w:sz w:val="20"/>
          <w:szCs w:val="20"/>
          <w:lang w:val="en-US"/>
        </w:rPr>
        <w:t xml:space="preserve"> based on the argument that the prosecutor had given his agreement verbally. However, there is no record that </w:t>
      </w:r>
      <w:r w:rsidR="00E12432" w:rsidRPr="00AC57EA">
        <w:rPr>
          <w:sz w:val="20"/>
          <w:szCs w:val="20"/>
          <w:lang w:val="en-US"/>
        </w:rPr>
        <w:t xml:space="preserve">a decision was taken on </w:t>
      </w:r>
      <w:r w:rsidR="00C90D2B" w:rsidRPr="00AC57EA">
        <w:rPr>
          <w:sz w:val="20"/>
          <w:szCs w:val="20"/>
          <w:lang w:val="en-US"/>
        </w:rPr>
        <w:t>the similar request filed by the prosecutor.</w:t>
      </w:r>
      <w:r w:rsidR="00B5625C" w:rsidRPr="00AC57EA">
        <w:rPr>
          <w:sz w:val="20"/>
          <w:szCs w:val="20"/>
          <w:vertAlign w:val="superscript"/>
          <w:lang w:val="en-US"/>
        </w:rPr>
        <w:footnoteReference w:id="104"/>
      </w:r>
    </w:p>
    <w:p w14:paraId="068AE1D2" w14:textId="250397DE" w:rsidR="00B5625C" w:rsidRPr="00AC57EA" w:rsidRDefault="00B5625C" w:rsidP="00B31B77">
      <w:pPr>
        <w:tabs>
          <w:tab w:val="left" w:pos="2419"/>
        </w:tabs>
        <w:spacing w:line="240" w:lineRule="auto"/>
        <w:rPr>
          <w:sz w:val="20"/>
          <w:szCs w:val="20"/>
          <w:lang w:val="en-US"/>
        </w:rPr>
      </w:pPr>
    </w:p>
    <w:p w14:paraId="10DC8E9B" w14:textId="6C83A7F2" w:rsidR="005929E6" w:rsidRPr="00AC57EA" w:rsidRDefault="00C90D2B" w:rsidP="005929E6">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the same da</w:t>
      </w:r>
      <w:r w:rsidR="00E12432" w:rsidRPr="00AC57EA">
        <w:rPr>
          <w:sz w:val="20"/>
          <w:szCs w:val="20"/>
          <w:lang w:val="en-US"/>
        </w:rPr>
        <w:t>y</w:t>
      </w:r>
      <w:r w:rsidRPr="00AC57EA">
        <w:rPr>
          <w:sz w:val="20"/>
          <w:szCs w:val="20"/>
          <w:lang w:val="en-US"/>
        </w:rPr>
        <w:t>, a jury composed of four persons was constituted. Also, the designated judge was appointed president of the court and a secretary was named. The record of the jury’s constitution</w:t>
      </w:r>
      <w:r w:rsidR="007D3367" w:rsidRPr="00AC57EA">
        <w:rPr>
          <w:sz w:val="20"/>
          <w:szCs w:val="20"/>
          <w:lang w:val="en-US"/>
        </w:rPr>
        <w:t xml:space="preserve"> reveals that V.P.C.’s lawyer was present and that he made no observations and filed no </w:t>
      </w:r>
      <w:r w:rsidR="00F34A14" w:rsidRPr="00AC57EA">
        <w:rPr>
          <w:sz w:val="20"/>
          <w:szCs w:val="20"/>
          <w:lang w:val="en-US"/>
        </w:rPr>
        <w:t>vetoe</w:t>
      </w:r>
      <w:r w:rsidR="007D3367" w:rsidRPr="00AC57EA">
        <w:rPr>
          <w:sz w:val="20"/>
          <w:szCs w:val="20"/>
          <w:lang w:val="en-US"/>
        </w:rPr>
        <w:t>s.</w:t>
      </w:r>
      <w:r w:rsidR="00B5625C" w:rsidRPr="00AC57EA">
        <w:rPr>
          <w:sz w:val="20"/>
          <w:szCs w:val="20"/>
          <w:vertAlign w:val="superscript"/>
          <w:lang w:val="en-US"/>
        </w:rPr>
        <w:footnoteReference w:id="105"/>
      </w:r>
    </w:p>
    <w:p w14:paraId="030EA55D" w14:textId="77777777" w:rsidR="00E12432" w:rsidRPr="00AC57EA" w:rsidRDefault="00E12432" w:rsidP="00E12432">
      <w:pPr>
        <w:tabs>
          <w:tab w:val="left" w:pos="567"/>
        </w:tabs>
        <w:spacing w:line="240" w:lineRule="auto"/>
        <w:rPr>
          <w:sz w:val="20"/>
          <w:szCs w:val="20"/>
          <w:lang w:val="en-US"/>
        </w:rPr>
      </w:pPr>
    </w:p>
    <w:p w14:paraId="78578521" w14:textId="7F796479" w:rsidR="00B5625C" w:rsidRPr="00AC57EA" w:rsidRDefault="00B5625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V.P.C. ha</w:t>
      </w:r>
      <w:r w:rsidR="007D3367" w:rsidRPr="00AC57EA">
        <w:rPr>
          <w:sz w:val="20"/>
          <w:szCs w:val="20"/>
          <w:lang w:val="en-US"/>
        </w:rPr>
        <w:t xml:space="preserve">s stated repeatedly that, when the public hearing ended and before the jury met to deliberate in secret, one of the defense counsel handed a </w:t>
      </w:r>
      <w:r w:rsidR="00CD40C3" w:rsidRPr="00AC57EA">
        <w:rPr>
          <w:sz w:val="20"/>
          <w:szCs w:val="20"/>
          <w:lang w:val="en-US"/>
        </w:rPr>
        <w:t xml:space="preserve">package in a </w:t>
      </w:r>
      <w:r w:rsidR="007D3367" w:rsidRPr="00AC57EA">
        <w:rPr>
          <w:sz w:val="20"/>
          <w:szCs w:val="20"/>
          <w:lang w:val="en-US"/>
        </w:rPr>
        <w:t xml:space="preserve">grey bag to the president of the jury, together with two pages of pink paper, which the accused asked should be read </w:t>
      </w:r>
      <w:r w:rsidR="00E12432" w:rsidRPr="00AC57EA">
        <w:rPr>
          <w:sz w:val="20"/>
          <w:szCs w:val="20"/>
          <w:lang w:val="en-US"/>
        </w:rPr>
        <w:t>during</w:t>
      </w:r>
      <w:r w:rsidR="007D3367" w:rsidRPr="00AC57EA">
        <w:rPr>
          <w:sz w:val="20"/>
          <w:szCs w:val="20"/>
          <w:lang w:val="en-US"/>
        </w:rPr>
        <w:t xml:space="preserve"> the private session.</w:t>
      </w:r>
      <w:r w:rsidRPr="00AC57EA">
        <w:rPr>
          <w:sz w:val="20"/>
          <w:szCs w:val="20"/>
          <w:vertAlign w:val="superscript"/>
          <w:lang w:val="en-US"/>
        </w:rPr>
        <w:footnoteReference w:id="106"/>
      </w:r>
      <w:r w:rsidR="007D3367" w:rsidRPr="00AC57EA">
        <w:rPr>
          <w:sz w:val="20"/>
          <w:szCs w:val="20"/>
          <w:lang w:val="en-US"/>
        </w:rPr>
        <w:t xml:space="preserve"> This was corroborated in the domestic sphere by an inspection of the case </w:t>
      </w:r>
      <w:r w:rsidR="007D3367" w:rsidRPr="00AC57EA">
        <w:rPr>
          <w:sz w:val="20"/>
          <w:szCs w:val="20"/>
          <w:lang w:val="en-US"/>
        </w:rPr>
        <w:lastRenderedPageBreak/>
        <w:t xml:space="preserve">file </w:t>
      </w:r>
      <w:r w:rsidRPr="00AC57EA">
        <w:rPr>
          <w:sz w:val="20"/>
          <w:szCs w:val="20"/>
          <w:lang w:val="en-US"/>
        </w:rPr>
        <w:t>(</w:t>
      </w:r>
      <w:r w:rsidRPr="00AC57EA">
        <w:rPr>
          <w:i/>
          <w:sz w:val="20"/>
          <w:szCs w:val="20"/>
          <w:lang w:val="en-US"/>
        </w:rPr>
        <w:t xml:space="preserve">infra </w:t>
      </w:r>
      <w:r w:rsidR="00171E27" w:rsidRPr="00AC57EA">
        <w:rPr>
          <w:sz w:val="20"/>
          <w:szCs w:val="20"/>
          <w:lang w:val="en-US"/>
        </w:rPr>
        <w:t>para.</w:t>
      </w:r>
      <w:r w:rsidR="000C7392" w:rsidRPr="00AC57EA">
        <w:rPr>
          <w:sz w:val="20"/>
          <w:szCs w:val="20"/>
          <w:lang w:val="en-US"/>
        </w:rPr>
        <w:t xml:space="preserve"> 117</w:t>
      </w:r>
      <w:r w:rsidRPr="00AC57EA">
        <w:rPr>
          <w:sz w:val="20"/>
          <w:szCs w:val="20"/>
          <w:lang w:val="en-US"/>
        </w:rPr>
        <w:t>)</w:t>
      </w:r>
      <w:r w:rsidR="00171E27" w:rsidRPr="00AC57EA">
        <w:rPr>
          <w:sz w:val="20"/>
          <w:szCs w:val="20"/>
          <w:lang w:val="en-US"/>
        </w:rPr>
        <w:t xml:space="preserve"> and </w:t>
      </w:r>
      <w:r w:rsidR="007D3367" w:rsidRPr="00AC57EA">
        <w:rPr>
          <w:sz w:val="20"/>
          <w:szCs w:val="20"/>
          <w:lang w:val="en-US"/>
        </w:rPr>
        <w:t>the video</w:t>
      </w:r>
      <w:r w:rsidRPr="00AC57EA">
        <w:rPr>
          <w:sz w:val="20"/>
          <w:szCs w:val="20"/>
          <w:lang w:val="en-US"/>
        </w:rPr>
        <w:t xml:space="preserve"> (</w:t>
      </w:r>
      <w:r w:rsidRPr="00AC57EA">
        <w:rPr>
          <w:i/>
          <w:sz w:val="20"/>
          <w:szCs w:val="20"/>
          <w:lang w:val="en-US"/>
        </w:rPr>
        <w:t xml:space="preserve">infra </w:t>
      </w:r>
      <w:r w:rsidR="00171E27" w:rsidRPr="00AC57EA">
        <w:rPr>
          <w:sz w:val="20"/>
          <w:szCs w:val="20"/>
          <w:lang w:val="en-US"/>
        </w:rPr>
        <w:t>para.</w:t>
      </w:r>
      <w:r w:rsidR="000C7392" w:rsidRPr="00AC57EA">
        <w:rPr>
          <w:sz w:val="20"/>
          <w:szCs w:val="20"/>
          <w:lang w:val="en-US"/>
        </w:rPr>
        <w:t xml:space="preserve"> 118</w:t>
      </w:r>
      <w:r w:rsidRPr="00AC57EA">
        <w:rPr>
          <w:sz w:val="20"/>
          <w:szCs w:val="20"/>
          <w:lang w:val="en-US"/>
        </w:rPr>
        <w:t xml:space="preserve">). </w:t>
      </w:r>
      <w:r w:rsidR="00B7258C" w:rsidRPr="00AC57EA">
        <w:rPr>
          <w:sz w:val="20"/>
          <w:szCs w:val="20"/>
          <w:lang w:val="en-US"/>
        </w:rPr>
        <w:t>The Court</w:t>
      </w:r>
      <w:r w:rsidRPr="00AC57EA">
        <w:rPr>
          <w:sz w:val="20"/>
          <w:szCs w:val="20"/>
          <w:lang w:val="en-US"/>
        </w:rPr>
        <w:t xml:space="preserve"> </w:t>
      </w:r>
      <w:r w:rsidR="007D3367" w:rsidRPr="00AC57EA">
        <w:rPr>
          <w:sz w:val="20"/>
          <w:szCs w:val="20"/>
          <w:lang w:val="en-US"/>
        </w:rPr>
        <w:t>does not have the video of the public hearing, even though it requested this</w:t>
      </w:r>
      <w:r w:rsidRPr="00AC57EA">
        <w:rPr>
          <w:sz w:val="20"/>
          <w:szCs w:val="20"/>
          <w:lang w:val="en-US"/>
        </w:rPr>
        <w:t>.</w:t>
      </w:r>
    </w:p>
    <w:p w14:paraId="509B455D" w14:textId="25BD4F96" w:rsidR="00B5625C" w:rsidRPr="00AC57EA" w:rsidRDefault="00B5625C" w:rsidP="00B5625C">
      <w:pPr>
        <w:tabs>
          <w:tab w:val="left" w:pos="567"/>
        </w:tabs>
        <w:spacing w:line="240" w:lineRule="auto"/>
        <w:rPr>
          <w:sz w:val="20"/>
          <w:szCs w:val="20"/>
          <w:lang w:val="en-US"/>
        </w:rPr>
      </w:pPr>
    </w:p>
    <w:p w14:paraId="5C28771A" w14:textId="6C530A4E" w:rsidR="00362EC1" w:rsidRPr="00AC57EA" w:rsidRDefault="00362EC1"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Regarding the jury’s deliberation, the Ombudsman’s Office, based on the monitoring of the trial by its officials, considered that the following supposed anomalies had occurred</w:t>
      </w:r>
      <w:r w:rsidR="00823E77" w:rsidRPr="00AC57EA">
        <w:rPr>
          <w:sz w:val="20"/>
          <w:szCs w:val="20"/>
          <w:lang w:val="en-US"/>
        </w:rPr>
        <w:t>:</w:t>
      </w:r>
    </w:p>
    <w:p w14:paraId="54E07A2D" w14:textId="77777777" w:rsidR="00B5625C" w:rsidRPr="00AC57EA" w:rsidRDefault="00B5625C" w:rsidP="00B5625C">
      <w:pPr>
        <w:spacing w:line="240" w:lineRule="auto"/>
        <w:rPr>
          <w:sz w:val="20"/>
          <w:szCs w:val="20"/>
          <w:lang w:val="en-US"/>
        </w:rPr>
      </w:pPr>
    </w:p>
    <w:p w14:paraId="42BBE996" w14:textId="33298DA3" w:rsidR="00B5625C" w:rsidRPr="00AC57EA" w:rsidRDefault="00823E77" w:rsidP="00823E77">
      <w:pPr>
        <w:spacing w:line="240" w:lineRule="auto"/>
        <w:ind w:left="567" w:right="616"/>
        <w:rPr>
          <w:sz w:val="16"/>
          <w:szCs w:val="16"/>
          <w:lang w:val="en-US"/>
        </w:rPr>
      </w:pPr>
      <w:r w:rsidRPr="00AC57EA">
        <w:rPr>
          <w:sz w:val="16"/>
          <w:szCs w:val="16"/>
          <w:lang w:val="en-US"/>
        </w:rPr>
        <w:t>(</w:t>
      </w:r>
      <w:r w:rsidR="00B5625C" w:rsidRPr="00AC57EA">
        <w:rPr>
          <w:sz w:val="16"/>
          <w:szCs w:val="16"/>
          <w:lang w:val="en-US"/>
        </w:rPr>
        <w:t xml:space="preserve">a) </w:t>
      </w:r>
      <w:r w:rsidRPr="00AC57EA">
        <w:rPr>
          <w:sz w:val="16"/>
          <w:szCs w:val="16"/>
          <w:lang w:val="en-US"/>
        </w:rPr>
        <w:t>the accused had three defense lawyers, including the accused who defended himself, while the victim only had a prosecutor, although we are aware that the [plaintiff’s lawyer] had request the presence of a legal adviser, but this right was denied; (b) some of the members of the jury receive packages on several occasions</w:t>
      </w:r>
      <w:r w:rsidR="00BD4CBB" w:rsidRPr="00AC57EA">
        <w:rPr>
          <w:sz w:val="16"/>
          <w:szCs w:val="16"/>
          <w:lang w:val="en-US"/>
        </w:rPr>
        <w:t xml:space="preserve"> from</w:t>
      </w:r>
      <w:r w:rsidRPr="00AC57EA">
        <w:rPr>
          <w:sz w:val="16"/>
          <w:szCs w:val="16"/>
          <w:lang w:val="en-US"/>
        </w:rPr>
        <w:t xml:space="preserve"> the accused’s defense counsel; (c) the president of the jury received a closed envelope that was handed over in public by one of the accused’s defense counsel who asked that its content be read by the jury in private, and this was done; (d) one of the accused’s defense team</w:t>
      </w:r>
      <w:r w:rsidR="00BD4CBB" w:rsidRPr="00AC57EA">
        <w:rPr>
          <w:sz w:val="16"/>
          <w:szCs w:val="16"/>
          <w:lang w:val="en-US"/>
        </w:rPr>
        <w:t xml:space="preserve"> questioned the presence of the Ombudsman for Children and Adolescents and other members of his office</w:t>
      </w:r>
      <w:r w:rsidRPr="00AC57EA">
        <w:rPr>
          <w:sz w:val="16"/>
          <w:szCs w:val="16"/>
          <w:lang w:val="en-US"/>
        </w:rPr>
        <w:t>, unaware of the institution</w:t>
      </w:r>
      <w:r w:rsidR="00BD4CBB" w:rsidRPr="00AC57EA">
        <w:rPr>
          <w:sz w:val="16"/>
          <w:szCs w:val="16"/>
          <w:lang w:val="en-US"/>
        </w:rPr>
        <w:t>’s work</w:t>
      </w:r>
      <w:r w:rsidRPr="00AC57EA">
        <w:rPr>
          <w:sz w:val="16"/>
          <w:szCs w:val="16"/>
          <w:lang w:val="en-US"/>
        </w:rPr>
        <w:t>; that is, the mission entrusted to it by law.</w:t>
      </w:r>
      <w:r w:rsidR="00B5625C" w:rsidRPr="00AC57EA">
        <w:rPr>
          <w:sz w:val="16"/>
          <w:szCs w:val="16"/>
          <w:vertAlign w:val="superscript"/>
          <w:lang w:val="en-US"/>
        </w:rPr>
        <w:footnoteReference w:id="107"/>
      </w:r>
    </w:p>
    <w:p w14:paraId="3DFD0625" w14:textId="77777777" w:rsidR="00B5625C" w:rsidRPr="00AC57EA" w:rsidRDefault="00B5625C" w:rsidP="00B5625C">
      <w:pPr>
        <w:spacing w:line="240" w:lineRule="auto"/>
        <w:rPr>
          <w:sz w:val="20"/>
          <w:szCs w:val="20"/>
          <w:lang w:val="en-US"/>
        </w:rPr>
      </w:pPr>
    </w:p>
    <w:p w14:paraId="2EE18D70" w14:textId="26B0DF5F" w:rsidR="00B5625C" w:rsidRPr="00AC57EA" w:rsidRDefault="00823E77"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April 13,</w:t>
      </w:r>
      <w:r w:rsidR="00B5625C" w:rsidRPr="00AC57EA">
        <w:rPr>
          <w:sz w:val="20"/>
          <w:szCs w:val="20"/>
          <w:lang w:val="en-US"/>
        </w:rPr>
        <w:t xml:space="preserve"> 2002</w:t>
      </w:r>
      <w:r w:rsidRPr="00AC57EA">
        <w:rPr>
          <w:sz w:val="20"/>
          <w:szCs w:val="20"/>
          <w:lang w:val="en-US"/>
        </w:rPr>
        <w:t>, the Jury Court</w:t>
      </w:r>
      <w:r w:rsidR="00B5625C" w:rsidRPr="00AC57EA">
        <w:rPr>
          <w:sz w:val="20"/>
          <w:szCs w:val="20"/>
          <w:lang w:val="en-US"/>
        </w:rPr>
        <w:t xml:space="preserve"> </w:t>
      </w:r>
      <w:r w:rsidR="00CA0BBF" w:rsidRPr="00AC57EA">
        <w:rPr>
          <w:sz w:val="20"/>
          <w:szCs w:val="20"/>
          <w:lang w:val="en-US"/>
        </w:rPr>
        <w:t xml:space="preserve">delivered its verdict, based on their </w:t>
      </w:r>
      <w:r w:rsidR="00BD4CBB" w:rsidRPr="00AC57EA">
        <w:rPr>
          <w:sz w:val="20"/>
          <w:szCs w:val="20"/>
          <w:lang w:val="en-US"/>
        </w:rPr>
        <w:t>firm</w:t>
      </w:r>
      <w:r w:rsidR="00CA0BBF" w:rsidRPr="00AC57EA">
        <w:rPr>
          <w:sz w:val="20"/>
          <w:szCs w:val="20"/>
          <w:lang w:val="en-US"/>
        </w:rPr>
        <w:t xml:space="preserve"> conviction, declaring the accused innocent of the crime of rape </w:t>
      </w:r>
      <w:r w:rsidR="00BD4CBB" w:rsidRPr="00AC57EA">
        <w:rPr>
          <w:sz w:val="20"/>
          <w:szCs w:val="20"/>
          <w:lang w:val="en-US"/>
        </w:rPr>
        <w:t xml:space="preserve">committed </w:t>
      </w:r>
      <w:r w:rsidR="00CA0BBF" w:rsidRPr="00AC57EA">
        <w:rPr>
          <w:sz w:val="20"/>
          <w:szCs w:val="20"/>
          <w:lang w:val="en-US"/>
        </w:rPr>
        <w:t xml:space="preserve">against </w:t>
      </w:r>
      <w:r w:rsidR="00B5625C" w:rsidRPr="00AC57EA">
        <w:rPr>
          <w:sz w:val="20"/>
          <w:szCs w:val="20"/>
          <w:lang w:val="en-US"/>
        </w:rPr>
        <w:t>V.R.P.</w:t>
      </w:r>
      <w:r w:rsidR="00B5625C" w:rsidRPr="00AC57EA">
        <w:rPr>
          <w:sz w:val="20"/>
          <w:szCs w:val="20"/>
          <w:vertAlign w:val="superscript"/>
          <w:lang w:val="en-US"/>
        </w:rPr>
        <w:footnoteReference w:id="108"/>
      </w:r>
      <w:r w:rsidR="00CA0BBF" w:rsidRPr="00AC57EA">
        <w:rPr>
          <w:sz w:val="20"/>
          <w:szCs w:val="20"/>
          <w:lang w:val="en-US"/>
        </w:rPr>
        <w:t xml:space="preserve"> </w:t>
      </w:r>
      <w:r w:rsidR="00BD4CBB" w:rsidRPr="00AC57EA">
        <w:rPr>
          <w:sz w:val="20"/>
          <w:szCs w:val="20"/>
          <w:lang w:val="en-US"/>
        </w:rPr>
        <w:t>That same day</w:t>
      </w:r>
      <w:r w:rsidR="00CA0BBF" w:rsidRPr="00AC57EA">
        <w:rPr>
          <w:sz w:val="20"/>
          <w:szCs w:val="20"/>
          <w:lang w:val="en-US"/>
        </w:rPr>
        <w:t xml:space="preserve">, </w:t>
      </w:r>
      <w:r w:rsidR="00240CED" w:rsidRPr="00AC57EA">
        <w:rPr>
          <w:sz w:val="20"/>
          <w:szCs w:val="20"/>
          <w:lang w:val="en-US"/>
        </w:rPr>
        <w:t>the Jinotega District Criminal Court</w:t>
      </w:r>
      <w:r w:rsidR="00B5625C" w:rsidRPr="00AC57EA">
        <w:rPr>
          <w:sz w:val="20"/>
          <w:szCs w:val="20"/>
          <w:lang w:val="en-US"/>
        </w:rPr>
        <w:t xml:space="preserve"> orde</w:t>
      </w:r>
      <w:r w:rsidR="00CA0BBF" w:rsidRPr="00AC57EA">
        <w:rPr>
          <w:sz w:val="20"/>
          <w:szCs w:val="20"/>
          <w:lang w:val="en-US"/>
        </w:rPr>
        <w:t xml:space="preserve">red the release of </w:t>
      </w:r>
      <w:r w:rsidR="00B5625C" w:rsidRPr="00AC57EA">
        <w:rPr>
          <w:sz w:val="20"/>
          <w:szCs w:val="20"/>
          <w:lang w:val="en-US"/>
        </w:rPr>
        <w:t>H.R.A.</w:t>
      </w:r>
      <w:r w:rsidR="00B5625C" w:rsidRPr="00AC57EA">
        <w:rPr>
          <w:sz w:val="20"/>
          <w:szCs w:val="20"/>
          <w:vertAlign w:val="superscript"/>
          <w:lang w:val="en-US"/>
        </w:rPr>
        <w:footnoteReference w:id="109"/>
      </w:r>
    </w:p>
    <w:p w14:paraId="1DFBCCEB" w14:textId="77777777" w:rsidR="00B5625C" w:rsidRPr="00AC57EA" w:rsidRDefault="00B5625C" w:rsidP="00B5625C">
      <w:pPr>
        <w:spacing w:line="240" w:lineRule="auto"/>
        <w:rPr>
          <w:sz w:val="20"/>
          <w:szCs w:val="20"/>
          <w:lang w:val="en-US"/>
        </w:rPr>
      </w:pPr>
    </w:p>
    <w:p w14:paraId="5FF114EF" w14:textId="05274F5C" w:rsidR="00B5625C" w:rsidRPr="00AC57EA" w:rsidRDefault="00B5625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V.P.C.</w:t>
      </w:r>
      <w:r w:rsidR="00171E27" w:rsidRPr="00AC57EA">
        <w:rPr>
          <w:sz w:val="20"/>
          <w:szCs w:val="20"/>
          <w:lang w:val="en-US"/>
        </w:rPr>
        <w:t xml:space="preserve"> and </w:t>
      </w:r>
      <w:r w:rsidR="00CA0BBF" w:rsidRPr="00AC57EA">
        <w:rPr>
          <w:sz w:val="20"/>
          <w:szCs w:val="20"/>
          <w:lang w:val="en-US"/>
        </w:rPr>
        <w:t>her sister filed a complaint with the Jinotega Local Criminal Court</w:t>
      </w:r>
      <w:r w:rsidRPr="00AC57EA">
        <w:rPr>
          <w:sz w:val="20"/>
          <w:szCs w:val="20"/>
          <w:lang w:val="en-US"/>
        </w:rPr>
        <w:t xml:space="preserve"> </w:t>
      </w:r>
      <w:r w:rsidR="00CA0BBF" w:rsidRPr="00AC57EA">
        <w:rPr>
          <w:sz w:val="20"/>
          <w:szCs w:val="20"/>
          <w:lang w:val="en-US"/>
        </w:rPr>
        <w:t xml:space="preserve">against </w:t>
      </w:r>
      <w:r w:rsidRPr="00AC57EA">
        <w:rPr>
          <w:sz w:val="20"/>
          <w:szCs w:val="20"/>
          <w:lang w:val="en-US"/>
        </w:rPr>
        <w:t xml:space="preserve">H.R.A. </w:t>
      </w:r>
      <w:r w:rsidR="00CA0BBF" w:rsidRPr="00AC57EA">
        <w:rPr>
          <w:sz w:val="20"/>
          <w:szCs w:val="20"/>
          <w:lang w:val="en-US"/>
        </w:rPr>
        <w:t>due to threats they received on the evening of April 13, 2002, the date of the acquittal.</w:t>
      </w:r>
      <w:r w:rsidRPr="00AC57EA">
        <w:rPr>
          <w:sz w:val="20"/>
          <w:szCs w:val="20"/>
          <w:vertAlign w:val="superscript"/>
          <w:lang w:val="en-US"/>
        </w:rPr>
        <w:footnoteReference w:id="110"/>
      </w:r>
    </w:p>
    <w:p w14:paraId="3EBCEC31" w14:textId="67AA9896" w:rsidR="00B5625C" w:rsidRPr="00AC57EA" w:rsidRDefault="00B5625C" w:rsidP="00B5625C">
      <w:pPr>
        <w:spacing w:line="240" w:lineRule="auto"/>
        <w:rPr>
          <w:sz w:val="20"/>
          <w:szCs w:val="20"/>
          <w:lang w:val="en-US"/>
        </w:rPr>
      </w:pPr>
    </w:p>
    <w:p w14:paraId="70BDE5B2" w14:textId="0FC0325F" w:rsidR="00B5625C" w:rsidRPr="00AC57EA" w:rsidRDefault="00CA0BBF"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r w:rsidRPr="00AC57EA">
        <w:rPr>
          <w:rFonts w:eastAsia="MS Mincho"/>
          <w:b/>
          <w:bCs/>
          <w:i/>
          <w:sz w:val="20"/>
          <w:szCs w:val="20"/>
          <w:lang w:val="en-US"/>
        </w:rPr>
        <w:t>Continuation of the proceedings and confirmation of the acquittal</w:t>
      </w:r>
    </w:p>
    <w:p w14:paraId="4021CBF5" w14:textId="77777777" w:rsidR="00B5625C" w:rsidRPr="00AC57EA" w:rsidRDefault="00B5625C" w:rsidP="00B5625C">
      <w:pPr>
        <w:spacing w:line="240" w:lineRule="auto"/>
        <w:rPr>
          <w:sz w:val="20"/>
          <w:szCs w:val="20"/>
          <w:lang w:val="en-US"/>
        </w:rPr>
      </w:pPr>
    </w:p>
    <w:p w14:paraId="6B9A5E3A" w14:textId="7B204E3D" w:rsidR="00B5625C" w:rsidRPr="00AC57EA" w:rsidRDefault="00CA0BBF" w:rsidP="00CA0BBF">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Following </w:t>
      </w:r>
      <w:r w:rsidR="00823E77" w:rsidRPr="00AC57EA">
        <w:rPr>
          <w:sz w:val="20"/>
          <w:szCs w:val="20"/>
          <w:lang w:val="en-US"/>
        </w:rPr>
        <w:t>the Jury Court</w:t>
      </w:r>
      <w:r w:rsidRPr="00AC57EA">
        <w:rPr>
          <w:sz w:val="20"/>
          <w:szCs w:val="20"/>
          <w:lang w:val="en-US"/>
        </w:rPr>
        <w:t>’s decision</w:t>
      </w:r>
      <w:r w:rsidR="00B5625C" w:rsidRPr="00AC57EA">
        <w:rPr>
          <w:sz w:val="20"/>
          <w:szCs w:val="20"/>
          <w:lang w:val="en-US"/>
        </w:rPr>
        <w:t xml:space="preserve">, </w:t>
      </w:r>
      <w:r w:rsidRPr="00AC57EA">
        <w:rPr>
          <w:sz w:val="20"/>
          <w:szCs w:val="20"/>
          <w:lang w:val="en-US"/>
        </w:rPr>
        <w:t xml:space="preserve">V.P.C.’s lawyer filed </w:t>
      </w:r>
      <w:r w:rsidR="00B5625C" w:rsidRPr="00AC57EA">
        <w:rPr>
          <w:sz w:val="20"/>
          <w:szCs w:val="20"/>
          <w:lang w:val="en-US"/>
        </w:rPr>
        <w:t>a</w:t>
      </w:r>
      <w:r w:rsidRPr="00AC57EA">
        <w:rPr>
          <w:sz w:val="20"/>
          <w:szCs w:val="20"/>
          <w:lang w:val="en-US"/>
        </w:rPr>
        <w:t>n appeal for annulment based on the</w:t>
      </w:r>
      <w:r w:rsidR="00CF310A" w:rsidRPr="00AC57EA">
        <w:rPr>
          <w:sz w:val="20"/>
          <w:szCs w:val="20"/>
          <w:lang w:val="en-US"/>
        </w:rPr>
        <w:t xml:space="preserve"> supposed bribery of the members of the jury. In the same brief, the lawyer asked that the judge recuse herself from continuing to hear the case in the interests of judicial transparency, based on the following irregularities that had occurred during the proceedings: (a) allowing eight people to attend the first medical examination; (b) allowing H.R.A.’s defense team to use language that discredited V.P.C.; (c) cancelling the hearing scheduled for the morning of April 10, 2002, arguing legal reasons when, in reality, it was cancelled because there was a group of children outside the Court demanding justice in the case, and (d) not allowing the presence of all the parties involved during </w:t>
      </w:r>
      <w:r w:rsidR="00BD4CBB" w:rsidRPr="00AC57EA">
        <w:rPr>
          <w:sz w:val="20"/>
          <w:szCs w:val="20"/>
          <w:lang w:val="en-US"/>
        </w:rPr>
        <w:t xml:space="preserve">jury </w:t>
      </w:r>
      <w:r w:rsidR="00CF310A" w:rsidRPr="00AC57EA">
        <w:rPr>
          <w:sz w:val="20"/>
          <w:szCs w:val="20"/>
          <w:lang w:val="en-US"/>
        </w:rPr>
        <w:t>selection.</w:t>
      </w:r>
      <w:r w:rsidR="00B5625C" w:rsidRPr="00AC57EA">
        <w:rPr>
          <w:sz w:val="20"/>
          <w:szCs w:val="20"/>
          <w:vertAlign w:val="superscript"/>
          <w:lang w:val="en-US"/>
        </w:rPr>
        <w:footnoteReference w:id="111"/>
      </w:r>
    </w:p>
    <w:p w14:paraId="1C1DCA50" w14:textId="77777777" w:rsidR="00B5625C" w:rsidRPr="00AC57EA" w:rsidRDefault="00B5625C" w:rsidP="00B5625C">
      <w:pPr>
        <w:spacing w:line="240" w:lineRule="auto"/>
        <w:rPr>
          <w:sz w:val="20"/>
          <w:szCs w:val="20"/>
          <w:lang w:val="en-US"/>
        </w:rPr>
      </w:pPr>
    </w:p>
    <w:p w14:paraId="3DE720A0" w14:textId="216676EB" w:rsidR="00B5625C" w:rsidRPr="00AC57EA" w:rsidRDefault="00CF310A"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April 14,</w:t>
      </w:r>
      <w:r w:rsidR="00B5625C" w:rsidRPr="00AC57EA">
        <w:rPr>
          <w:sz w:val="20"/>
          <w:szCs w:val="20"/>
          <w:lang w:val="en-US"/>
        </w:rPr>
        <w:t xml:space="preserve"> 2002</w:t>
      </w:r>
      <w:r w:rsidRPr="00AC57EA">
        <w:rPr>
          <w:sz w:val="20"/>
          <w:szCs w:val="20"/>
          <w:lang w:val="en-US"/>
        </w:rPr>
        <w:t>, V</w:t>
      </w:r>
      <w:r w:rsidR="00BD4CBB" w:rsidRPr="00AC57EA">
        <w:rPr>
          <w:sz w:val="20"/>
          <w:szCs w:val="20"/>
          <w:lang w:val="en-US"/>
        </w:rPr>
        <w:t>.</w:t>
      </w:r>
      <w:r w:rsidRPr="00AC57EA">
        <w:rPr>
          <w:sz w:val="20"/>
          <w:szCs w:val="20"/>
          <w:lang w:val="en-US"/>
        </w:rPr>
        <w:t>P.C.’s lawyer</w:t>
      </w:r>
      <w:r w:rsidR="00B5625C" w:rsidRPr="00AC57EA">
        <w:rPr>
          <w:sz w:val="20"/>
          <w:szCs w:val="20"/>
          <w:lang w:val="en-US"/>
        </w:rPr>
        <w:t xml:space="preserve"> </w:t>
      </w:r>
      <w:r w:rsidRPr="00AC57EA">
        <w:rPr>
          <w:sz w:val="20"/>
          <w:szCs w:val="20"/>
          <w:lang w:val="en-US"/>
        </w:rPr>
        <w:t>repeated the appeal for annulment and indicated that “the file has been closed with 616 pages, which do not include a pink handwritten document that the accused’s defense counsel handed to the jury court</w:t>
      </w:r>
      <w:r w:rsidR="00B5625C" w:rsidRPr="00AC57EA">
        <w:rPr>
          <w:sz w:val="20"/>
          <w:szCs w:val="20"/>
          <w:lang w:val="en-US"/>
        </w:rPr>
        <w:t xml:space="preserve"> […]</w:t>
      </w:r>
      <w:r w:rsidRPr="00AC57EA">
        <w:rPr>
          <w:sz w:val="20"/>
          <w:szCs w:val="20"/>
          <w:lang w:val="en-US"/>
        </w:rPr>
        <w:t>.</w:t>
      </w:r>
      <w:r w:rsidR="00B5625C" w:rsidRPr="00AC57EA">
        <w:rPr>
          <w:sz w:val="20"/>
          <w:szCs w:val="20"/>
          <w:lang w:val="en-US"/>
        </w:rPr>
        <w:t>”</w:t>
      </w:r>
      <w:r w:rsidR="00B5625C" w:rsidRPr="00AC57EA">
        <w:rPr>
          <w:sz w:val="20"/>
          <w:szCs w:val="20"/>
          <w:vertAlign w:val="superscript"/>
          <w:lang w:val="en-US"/>
        </w:rPr>
        <w:footnoteReference w:id="112"/>
      </w:r>
    </w:p>
    <w:p w14:paraId="66DB717D" w14:textId="77777777" w:rsidR="00B5625C" w:rsidRPr="00AC57EA" w:rsidRDefault="00B5625C" w:rsidP="00B5625C">
      <w:pPr>
        <w:spacing w:line="240" w:lineRule="auto"/>
        <w:rPr>
          <w:sz w:val="20"/>
          <w:szCs w:val="20"/>
          <w:lang w:val="en-US"/>
        </w:rPr>
      </w:pPr>
    </w:p>
    <w:p w14:paraId="0B9DC0AC" w14:textId="3C811459" w:rsidR="00B5625C" w:rsidRPr="00AC57EA" w:rsidRDefault="00E7170A" w:rsidP="00E7170A">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In an order of April 15,</w:t>
      </w:r>
      <w:r w:rsidR="00B5625C" w:rsidRPr="00AC57EA">
        <w:rPr>
          <w:sz w:val="20"/>
          <w:szCs w:val="20"/>
          <w:lang w:val="en-US"/>
        </w:rPr>
        <w:t xml:space="preserve"> 2002</w:t>
      </w:r>
      <w:r w:rsidRPr="00AC57EA">
        <w:rPr>
          <w:sz w:val="20"/>
          <w:szCs w:val="20"/>
          <w:lang w:val="en-US"/>
        </w:rPr>
        <w:t>,</w:t>
      </w:r>
      <w:r w:rsidR="00B5625C" w:rsidRPr="00AC57EA">
        <w:rPr>
          <w:sz w:val="20"/>
          <w:szCs w:val="20"/>
          <w:vertAlign w:val="superscript"/>
          <w:lang w:val="en-US"/>
        </w:rPr>
        <w:footnoteReference w:id="113"/>
      </w:r>
      <w:r w:rsidR="00B5625C" w:rsidRPr="00AC57EA">
        <w:rPr>
          <w:sz w:val="20"/>
          <w:szCs w:val="20"/>
          <w:lang w:val="en-US"/>
        </w:rPr>
        <w:t xml:space="preserve"> </w:t>
      </w:r>
      <w:r w:rsidRPr="00AC57EA">
        <w:rPr>
          <w:sz w:val="20"/>
          <w:szCs w:val="20"/>
          <w:lang w:val="en-US"/>
        </w:rPr>
        <w:t xml:space="preserve">the Jinotega District Criminal Judge clarified the irregularities </w:t>
      </w:r>
      <w:r w:rsidRPr="00AC57EA">
        <w:rPr>
          <w:sz w:val="20"/>
          <w:szCs w:val="20"/>
          <w:lang w:val="en-US"/>
        </w:rPr>
        <w:lastRenderedPageBreak/>
        <w:t>that had been adduced</w:t>
      </w:r>
      <w:r w:rsidR="00B5625C" w:rsidRPr="00AC57EA">
        <w:rPr>
          <w:sz w:val="20"/>
          <w:szCs w:val="20"/>
          <w:lang w:val="en-US"/>
        </w:rPr>
        <w:t xml:space="preserve"> (</w:t>
      </w:r>
      <w:r w:rsidR="00B5625C" w:rsidRPr="00AC57EA">
        <w:rPr>
          <w:i/>
          <w:sz w:val="20"/>
          <w:szCs w:val="20"/>
          <w:lang w:val="en-US"/>
        </w:rPr>
        <w:t>supra</w:t>
      </w:r>
      <w:r w:rsidR="000C7392" w:rsidRPr="00AC57EA">
        <w:rPr>
          <w:sz w:val="20"/>
          <w:szCs w:val="20"/>
          <w:lang w:val="en-US"/>
        </w:rPr>
        <w:t xml:space="preserve"> </w:t>
      </w:r>
      <w:r w:rsidR="00171E27" w:rsidRPr="00AC57EA">
        <w:rPr>
          <w:sz w:val="20"/>
          <w:szCs w:val="20"/>
          <w:lang w:val="en-US"/>
        </w:rPr>
        <w:t>para.</w:t>
      </w:r>
      <w:r w:rsidR="000C7392" w:rsidRPr="00AC57EA">
        <w:rPr>
          <w:sz w:val="20"/>
          <w:szCs w:val="20"/>
          <w:lang w:val="en-US"/>
        </w:rPr>
        <w:t xml:space="preserve"> 103</w:t>
      </w:r>
      <w:r w:rsidR="00B5625C" w:rsidRPr="00AC57EA">
        <w:rPr>
          <w:sz w:val="20"/>
          <w:szCs w:val="20"/>
          <w:lang w:val="en-US"/>
        </w:rPr>
        <w:t>)</w:t>
      </w:r>
      <w:r w:rsidR="00171E27" w:rsidRPr="00AC57EA">
        <w:rPr>
          <w:sz w:val="20"/>
          <w:szCs w:val="20"/>
          <w:lang w:val="en-US"/>
        </w:rPr>
        <w:t xml:space="preserve"> and</w:t>
      </w:r>
      <w:r w:rsidRPr="00AC57EA">
        <w:rPr>
          <w:sz w:val="20"/>
          <w:szCs w:val="20"/>
          <w:lang w:val="en-US"/>
        </w:rPr>
        <w:t>, based on the request that she recuse herself forwarded the case file to the Jinotega Deputy District Criminal Judge. The following day, the defense counsel asked the deputy judge to recuse himself from hearing the proceedings because he was supposedly biased in favor of one of the parties.</w:t>
      </w:r>
      <w:r w:rsidR="00B5625C" w:rsidRPr="00AC57EA">
        <w:rPr>
          <w:sz w:val="20"/>
          <w:szCs w:val="20"/>
          <w:vertAlign w:val="superscript"/>
          <w:lang w:val="en-US"/>
        </w:rPr>
        <w:footnoteReference w:id="114"/>
      </w:r>
      <w:r w:rsidRPr="00AC57EA">
        <w:rPr>
          <w:sz w:val="20"/>
          <w:szCs w:val="20"/>
          <w:lang w:val="en-US"/>
        </w:rPr>
        <w:t xml:space="preserve"> On April 17, </w:t>
      </w:r>
      <w:r w:rsidR="00B5625C" w:rsidRPr="00AC57EA">
        <w:rPr>
          <w:sz w:val="20"/>
          <w:szCs w:val="20"/>
          <w:lang w:val="en-US"/>
        </w:rPr>
        <w:t>2002</w:t>
      </w:r>
      <w:r w:rsidRPr="00AC57EA">
        <w:rPr>
          <w:sz w:val="20"/>
          <w:szCs w:val="20"/>
          <w:lang w:val="en-US"/>
        </w:rPr>
        <w:t>, the deputy judge denied the motives cited by the defense counsel and sent the case file to the Jinotega District Civil Judge.</w:t>
      </w:r>
      <w:r w:rsidRPr="00AC57EA">
        <w:rPr>
          <w:sz w:val="20"/>
          <w:szCs w:val="20"/>
          <w:vertAlign w:val="superscript"/>
          <w:lang w:val="en-US"/>
        </w:rPr>
        <w:footnoteReference w:id="115"/>
      </w:r>
      <w:r w:rsidRPr="00AC57EA">
        <w:rPr>
          <w:sz w:val="20"/>
          <w:szCs w:val="20"/>
          <w:lang w:val="en-US"/>
        </w:rPr>
        <w:t xml:space="preserve"> The same day, the plaintiff’s lawyer asked that the case be forwarded to the </w:t>
      </w:r>
      <w:r w:rsidR="00187988" w:rsidRPr="00AC57EA">
        <w:rPr>
          <w:sz w:val="20"/>
          <w:szCs w:val="20"/>
          <w:lang w:val="en-US"/>
        </w:rPr>
        <w:t>Appellate Court</w:t>
      </w:r>
      <w:r w:rsidRPr="00AC57EA">
        <w:rPr>
          <w:sz w:val="20"/>
          <w:szCs w:val="20"/>
          <w:lang w:val="en-US"/>
        </w:rPr>
        <w:t xml:space="preserve"> for a decision on the </w:t>
      </w:r>
      <w:r w:rsidR="00C4035B" w:rsidRPr="00AC57EA">
        <w:rPr>
          <w:sz w:val="20"/>
          <w:szCs w:val="20"/>
          <w:lang w:val="en-US"/>
        </w:rPr>
        <w:t xml:space="preserve">legal excuses </w:t>
      </w:r>
      <w:r w:rsidRPr="00AC57EA">
        <w:rPr>
          <w:sz w:val="20"/>
          <w:szCs w:val="20"/>
          <w:lang w:val="en-US"/>
        </w:rPr>
        <w:t>filed by the original judge.</w:t>
      </w:r>
      <w:r w:rsidR="00B5625C" w:rsidRPr="00AC57EA">
        <w:rPr>
          <w:sz w:val="20"/>
          <w:szCs w:val="20"/>
          <w:vertAlign w:val="superscript"/>
          <w:lang w:val="en-US"/>
        </w:rPr>
        <w:footnoteReference w:id="116"/>
      </w:r>
      <w:r w:rsidR="00B5625C" w:rsidRPr="00AC57EA">
        <w:rPr>
          <w:sz w:val="20"/>
          <w:szCs w:val="20"/>
          <w:lang w:val="en-US"/>
        </w:rPr>
        <w:t xml:space="preserve"> </w:t>
      </w:r>
      <w:r w:rsidRPr="00AC57EA">
        <w:rPr>
          <w:sz w:val="20"/>
          <w:szCs w:val="20"/>
          <w:lang w:val="en-US"/>
        </w:rPr>
        <w:t>On April 22,</w:t>
      </w:r>
      <w:r w:rsidR="00B5625C" w:rsidRPr="00AC57EA">
        <w:rPr>
          <w:sz w:val="20"/>
          <w:szCs w:val="20"/>
          <w:lang w:val="en-US"/>
        </w:rPr>
        <w:t xml:space="preserve"> 2002</w:t>
      </w:r>
      <w:r w:rsidRPr="00AC57EA">
        <w:rPr>
          <w:sz w:val="20"/>
          <w:szCs w:val="20"/>
          <w:lang w:val="en-US"/>
        </w:rPr>
        <w:t xml:space="preserve">, the plaintiff’s lawyer sent a new communication to the Jinotega District Civil and Criminal Judge and asked that the case be sent to the </w:t>
      </w:r>
      <w:r w:rsidR="00187988" w:rsidRPr="00AC57EA">
        <w:rPr>
          <w:sz w:val="20"/>
          <w:szCs w:val="20"/>
          <w:lang w:val="en-US"/>
        </w:rPr>
        <w:t>Appellate Court</w:t>
      </w:r>
      <w:r w:rsidRPr="00AC57EA">
        <w:rPr>
          <w:sz w:val="20"/>
          <w:szCs w:val="20"/>
          <w:lang w:val="en-US"/>
        </w:rPr>
        <w:t xml:space="preserve"> for a decision on who should hear the legal excuse</w:t>
      </w:r>
      <w:r w:rsidR="00C4035B" w:rsidRPr="00AC57EA">
        <w:rPr>
          <w:sz w:val="20"/>
          <w:szCs w:val="20"/>
          <w:lang w:val="en-US"/>
        </w:rPr>
        <w:t>s</w:t>
      </w:r>
      <w:r w:rsidRPr="00AC57EA">
        <w:rPr>
          <w:sz w:val="20"/>
          <w:szCs w:val="20"/>
          <w:lang w:val="en-US"/>
        </w:rPr>
        <w:t xml:space="preserve"> filed by the Jinotega District Criminal Judge.</w:t>
      </w:r>
      <w:r w:rsidR="00B5625C" w:rsidRPr="00AC57EA">
        <w:rPr>
          <w:sz w:val="20"/>
          <w:szCs w:val="20"/>
          <w:vertAlign w:val="superscript"/>
          <w:lang w:val="en-US"/>
        </w:rPr>
        <w:footnoteReference w:id="117"/>
      </w:r>
      <w:r w:rsidR="00B5625C" w:rsidRPr="00AC57EA">
        <w:rPr>
          <w:sz w:val="20"/>
          <w:szCs w:val="20"/>
          <w:lang w:val="en-US"/>
        </w:rPr>
        <w:t xml:space="preserve"> </w:t>
      </w:r>
      <w:r w:rsidRPr="00AC57EA">
        <w:rPr>
          <w:sz w:val="20"/>
          <w:szCs w:val="20"/>
          <w:lang w:val="en-US"/>
        </w:rPr>
        <w:t>On April 26,</w:t>
      </w:r>
      <w:r w:rsidR="00B5625C" w:rsidRPr="00AC57EA">
        <w:rPr>
          <w:sz w:val="20"/>
          <w:szCs w:val="20"/>
          <w:lang w:val="en-US"/>
        </w:rPr>
        <w:t xml:space="preserve"> 2002</w:t>
      </w:r>
      <w:r w:rsidRPr="00AC57EA">
        <w:rPr>
          <w:sz w:val="20"/>
          <w:szCs w:val="20"/>
          <w:lang w:val="en-US"/>
        </w:rPr>
        <w:t>, the defense counsel asked the judge to accept the request of V.P.C.’s lawyer to submit the matter to the</w:t>
      </w:r>
      <w:r w:rsidR="00B7258C" w:rsidRPr="00AC57EA">
        <w:rPr>
          <w:sz w:val="20"/>
          <w:szCs w:val="20"/>
          <w:lang w:val="en-US"/>
        </w:rPr>
        <w:t xml:space="preserve"> </w:t>
      </w:r>
      <w:r w:rsidR="00187988" w:rsidRPr="00AC57EA">
        <w:rPr>
          <w:sz w:val="20"/>
          <w:szCs w:val="20"/>
          <w:lang w:val="en-US"/>
        </w:rPr>
        <w:t>Appellate Court</w:t>
      </w:r>
      <w:r w:rsidRPr="00AC57EA">
        <w:rPr>
          <w:sz w:val="20"/>
          <w:szCs w:val="20"/>
          <w:lang w:val="en-US"/>
        </w:rPr>
        <w:t>.</w:t>
      </w:r>
      <w:r w:rsidR="00B5625C" w:rsidRPr="00AC57EA">
        <w:rPr>
          <w:sz w:val="20"/>
          <w:szCs w:val="20"/>
          <w:vertAlign w:val="superscript"/>
          <w:lang w:val="en-US"/>
        </w:rPr>
        <w:footnoteReference w:id="118"/>
      </w:r>
      <w:r w:rsidR="00B5625C" w:rsidRPr="00AC57EA">
        <w:rPr>
          <w:sz w:val="20"/>
          <w:szCs w:val="20"/>
          <w:lang w:val="en-US"/>
        </w:rPr>
        <w:t xml:space="preserve"> </w:t>
      </w:r>
      <w:r w:rsidRPr="00AC57EA">
        <w:rPr>
          <w:sz w:val="20"/>
          <w:szCs w:val="20"/>
          <w:lang w:val="en-US"/>
        </w:rPr>
        <w:t>On April 29,</w:t>
      </w:r>
      <w:r w:rsidR="00B5625C" w:rsidRPr="00AC57EA">
        <w:rPr>
          <w:sz w:val="20"/>
          <w:szCs w:val="20"/>
          <w:lang w:val="en-US"/>
        </w:rPr>
        <w:t xml:space="preserve"> 2002</w:t>
      </w:r>
      <w:r w:rsidRPr="00AC57EA">
        <w:rPr>
          <w:sz w:val="20"/>
          <w:szCs w:val="20"/>
          <w:lang w:val="en-US"/>
        </w:rPr>
        <w:t>, the excuse</w:t>
      </w:r>
      <w:r w:rsidR="00C4035B" w:rsidRPr="00AC57EA">
        <w:rPr>
          <w:sz w:val="20"/>
          <w:szCs w:val="20"/>
          <w:lang w:val="en-US"/>
        </w:rPr>
        <w:t>s</w:t>
      </w:r>
      <w:r w:rsidRPr="00AC57EA">
        <w:rPr>
          <w:sz w:val="20"/>
          <w:szCs w:val="20"/>
          <w:lang w:val="en-US"/>
        </w:rPr>
        <w:t xml:space="preserve"> presented by the</w:t>
      </w:r>
      <w:r w:rsidR="00B5625C" w:rsidRPr="00AC57EA">
        <w:rPr>
          <w:bCs/>
          <w:sz w:val="20"/>
          <w:szCs w:val="20"/>
          <w:lang w:val="en-US"/>
        </w:rPr>
        <w:t xml:space="preserve"> </w:t>
      </w:r>
      <w:r w:rsidRPr="00AC57EA">
        <w:rPr>
          <w:bCs/>
          <w:sz w:val="20"/>
          <w:szCs w:val="20"/>
          <w:lang w:val="en-US"/>
        </w:rPr>
        <w:t>District Criminal Judge w</w:t>
      </w:r>
      <w:r w:rsidR="00C4035B" w:rsidRPr="00AC57EA">
        <w:rPr>
          <w:bCs/>
          <w:sz w:val="20"/>
          <w:szCs w:val="20"/>
          <w:lang w:val="en-US"/>
        </w:rPr>
        <w:t>ere</w:t>
      </w:r>
      <w:r w:rsidRPr="00AC57EA">
        <w:rPr>
          <w:bCs/>
          <w:sz w:val="20"/>
          <w:szCs w:val="20"/>
          <w:lang w:val="en-US"/>
        </w:rPr>
        <w:t xml:space="preserve"> declared inadmissible</w:t>
      </w:r>
      <w:r w:rsidR="00B5625C" w:rsidRPr="00AC57EA">
        <w:rPr>
          <w:sz w:val="20"/>
          <w:szCs w:val="20"/>
          <w:lang w:val="en-US"/>
        </w:rPr>
        <w:t xml:space="preserve">, </w:t>
      </w:r>
      <w:r w:rsidRPr="00AC57EA">
        <w:rPr>
          <w:sz w:val="20"/>
          <w:szCs w:val="20"/>
          <w:lang w:val="en-US"/>
        </w:rPr>
        <w:t>and also the</w:t>
      </w:r>
      <w:r w:rsidR="00C4035B" w:rsidRPr="00AC57EA">
        <w:rPr>
          <w:sz w:val="20"/>
          <w:szCs w:val="20"/>
          <w:lang w:val="en-US"/>
        </w:rPr>
        <w:t xml:space="preserve"> defense counsel’s</w:t>
      </w:r>
      <w:r w:rsidRPr="00AC57EA">
        <w:rPr>
          <w:sz w:val="20"/>
          <w:szCs w:val="20"/>
          <w:lang w:val="en-US"/>
        </w:rPr>
        <w:t xml:space="preserve"> recusal</w:t>
      </w:r>
      <w:r w:rsidR="00C4035B" w:rsidRPr="00AC57EA">
        <w:rPr>
          <w:sz w:val="20"/>
          <w:szCs w:val="20"/>
          <w:lang w:val="en-US"/>
        </w:rPr>
        <w:t xml:space="preserve"> request</w:t>
      </w:r>
      <w:r w:rsidRPr="00AC57EA">
        <w:rPr>
          <w:sz w:val="20"/>
          <w:szCs w:val="20"/>
          <w:lang w:val="en-US"/>
        </w:rPr>
        <w:t>; the order was therefore given to return the file to the said court.</w:t>
      </w:r>
      <w:r w:rsidR="00B5625C" w:rsidRPr="00AC57EA">
        <w:rPr>
          <w:sz w:val="20"/>
          <w:szCs w:val="20"/>
          <w:vertAlign w:val="superscript"/>
          <w:lang w:val="en-US"/>
        </w:rPr>
        <w:footnoteReference w:id="119"/>
      </w:r>
      <w:r w:rsidRPr="00AC57EA">
        <w:rPr>
          <w:sz w:val="20"/>
          <w:szCs w:val="20"/>
          <w:lang w:val="en-US"/>
        </w:rPr>
        <w:t xml:space="preserve"> On May 2, </w:t>
      </w:r>
      <w:r w:rsidR="00B5625C" w:rsidRPr="00AC57EA">
        <w:rPr>
          <w:sz w:val="20"/>
          <w:szCs w:val="20"/>
          <w:lang w:val="en-US"/>
        </w:rPr>
        <w:t>2002</w:t>
      </w:r>
      <w:r w:rsidRPr="00AC57EA">
        <w:rPr>
          <w:sz w:val="20"/>
          <w:szCs w:val="20"/>
          <w:lang w:val="en-US"/>
        </w:rPr>
        <w:t>, V.P.C.’s lawyer filed an appeal against this order.</w:t>
      </w:r>
      <w:r w:rsidRPr="00AC57EA">
        <w:rPr>
          <w:sz w:val="20"/>
          <w:szCs w:val="20"/>
          <w:vertAlign w:val="superscript"/>
          <w:lang w:val="en-US"/>
        </w:rPr>
        <w:footnoteReference w:id="120"/>
      </w:r>
      <w:r w:rsidRPr="00AC57EA">
        <w:rPr>
          <w:sz w:val="20"/>
          <w:szCs w:val="20"/>
          <w:lang w:val="en-US"/>
        </w:rPr>
        <w:t xml:space="preserve"> On May 6, 2002, </w:t>
      </w:r>
      <w:r w:rsidR="000C7467" w:rsidRPr="00AC57EA">
        <w:rPr>
          <w:sz w:val="20"/>
          <w:szCs w:val="20"/>
          <w:lang w:val="en-US"/>
        </w:rPr>
        <w:t>the Jinotega District Criminal Court</w:t>
      </w:r>
      <w:r w:rsidR="00B5625C" w:rsidRPr="00AC57EA">
        <w:rPr>
          <w:sz w:val="20"/>
          <w:szCs w:val="20"/>
          <w:lang w:val="en-US"/>
        </w:rPr>
        <w:t xml:space="preserve"> declar</w:t>
      </w:r>
      <w:r w:rsidRPr="00AC57EA">
        <w:rPr>
          <w:sz w:val="20"/>
          <w:szCs w:val="20"/>
          <w:lang w:val="en-US"/>
        </w:rPr>
        <w:t xml:space="preserve">ed that the request to send the file to the </w:t>
      </w:r>
      <w:r w:rsidR="00187988" w:rsidRPr="00AC57EA">
        <w:rPr>
          <w:sz w:val="20"/>
          <w:szCs w:val="20"/>
          <w:lang w:val="en-US"/>
        </w:rPr>
        <w:t>Appellate Court</w:t>
      </w:r>
      <w:r w:rsidRPr="00AC57EA">
        <w:rPr>
          <w:sz w:val="20"/>
          <w:szCs w:val="20"/>
          <w:lang w:val="en-US"/>
        </w:rPr>
        <w:t xml:space="preserve"> was inadmissible, assumed competence, and ordered </w:t>
      </w:r>
      <w:r w:rsidR="0033253D" w:rsidRPr="00AC57EA">
        <w:rPr>
          <w:sz w:val="20"/>
          <w:szCs w:val="20"/>
          <w:lang w:val="en-US"/>
        </w:rPr>
        <w:t>the opening of</w:t>
      </w:r>
      <w:r w:rsidRPr="00AC57EA">
        <w:rPr>
          <w:sz w:val="20"/>
          <w:szCs w:val="20"/>
          <w:lang w:val="en-US"/>
        </w:rPr>
        <w:t xml:space="preserve"> the</w:t>
      </w:r>
      <w:r w:rsidR="0033253D" w:rsidRPr="00AC57EA">
        <w:rPr>
          <w:sz w:val="20"/>
          <w:szCs w:val="20"/>
          <w:lang w:val="en-US"/>
        </w:rPr>
        <w:t xml:space="preserve"> evidentiary stage of the</w:t>
      </w:r>
      <w:r w:rsidRPr="00AC57EA">
        <w:rPr>
          <w:sz w:val="20"/>
          <w:szCs w:val="20"/>
          <w:lang w:val="en-US"/>
        </w:rPr>
        <w:t xml:space="preserve"> appeal for annulment by V.P.C.’s lawyer.</w:t>
      </w:r>
      <w:r w:rsidR="00B5625C" w:rsidRPr="00AC57EA">
        <w:rPr>
          <w:sz w:val="20"/>
          <w:szCs w:val="20"/>
          <w:vertAlign w:val="superscript"/>
          <w:lang w:val="en-US"/>
        </w:rPr>
        <w:footnoteReference w:id="121"/>
      </w:r>
      <w:r w:rsidRPr="00AC57EA">
        <w:rPr>
          <w:sz w:val="20"/>
          <w:szCs w:val="20"/>
          <w:lang w:val="en-US"/>
        </w:rPr>
        <w:t xml:space="preserve"> The same day, the defense counsel filed an appeal for reversal of this order,</w:t>
      </w:r>
      <w:r w:rsidR="00B5625C" w:rsidRPr="00AC57EA">
        <w:rPr>
          <w:sz w:val="20"/>
          <w:szCs w:val="20"/>
          <w:vertAlign w:val="superscript"/>
          <w:lang w:val="en-US"/>
        </w:rPr>
        <w:footnoteReference w:id="122"/>
      </w:r>
      <w:r w:rsidRPr="00AC57EA">
        <w:rPr>
          <w:sz w:val="20"/>
          <w:szCs w:val="20"/>
          <w:lang w:val="en-US"/>
        </w:rPr>
        <w:t xml:space="preserve"> which had also been filed by V.P.C.’s lawyer. On May 7,</w:t>
      </w:r>
      <w:r w:rsidR="00B5625C" w:rsidRPr="00AC57EA">
        <w:rPr>
          <w:sz w:val="20"/>
          <w:szCs w:val="20"/>
          <w:lang w:val="en-US"/>
        </w:rPr>
        <w:t xml:space="preserve"> 2002</w:t>
      </w:r>
      <w:r w:rsidRPr="00AC57EA">
        <w:rPr>
          <w:sz w:val="20"/>
          <w:szCs w:val="20"/>
          <w:lang w:val="en-US"/>
        </w:rPr>
        <w:t>, the Jinotega</w:t>
      </w:r>
      <w:r w:rsidR="00B5625C" w:rsidRPr="00AC57EA">
        <w:rPr>
          <w:sz w:val="20"/>
          <w:szCs w:val="20"/>
          <w:lang w:val="en-US"/>
        </w:rPr>
        <w:t xml:space="preserve"> </w:t>
      </w:r>
      <w:r w:rsidRPr="00AC57EA">
        <w:rPr>
          <w:sz w:val="20"/>
          <w:szCs w:val="20"/>
          <w:lang w:val="en-US"/>
        </w:rPr>
        <w:t>District Criminal Judge</w:t>
      </w:r>
      <w:r w:rsidR="00700CB0" w:rsidRPr="00AC57EA">
        <w:rPr>
          <w:sz w:val="20"/>
          <w:szCs w:val="20"/>
          <w:lang w:val="en-US"/>
        </w:rPr>
        <w:t xml:space="preserve"> </w:t>
      </w:r>
      <w:r w:rsidRPr="00AC57EA">
        <w:rPr>
          <w:sz w:val="20"/>
          <w:szCs w:val="20"/>
          <w:lang w:val="en-US"/>
        </w:rPr>
        <w:t xml:space="preserve">order that notification be sent to the parties and to the </w:t>
      </w:r>
      <w:r w:rsidR="00151468" w:rsidRPr="00AC57EA">
        <w:rPr>
          <w:sz w:val="20"/>
          <w:szCs w:val="20"/>
          <w:lang w:val="en-US"/>
        </w:rPr>
        <w:t>Public Prosecution Service</w:t>
      </w:r>
      <w:r w:rsidRPr="00AC57EA">
        <w:rPr>
          <w:sz w:val="20"/>
          <w:szCs w:val="20"/>
          <w:lang w:val="en-US"/>
        </w:rPr>
        <w:t xml:space="preserve"> for their observations on the appeals for reversal, and this was done on May 8.</w:t>
      </w:r>
      <w:r w:rsidR="00B5625C" w:rsidRPr="00AC57EA">
        <w:rPr>
          <w:sz w:val="20"/>
          <w:szCs w:val="20"/>
          <w:vertAlign w:val="superscript"/>
          <w:lang w:val="en-US"/>
        </w:rPr>
        <w:footnoteReference w:id="123"/>
      </w:r>
      <w:r w:rsidRPr="00AC57EA">
        <w:rPr>
          <w:sz w:val="20"/>
          <w:szCs w:val="20"/>
          <w:lang w:val="en-US"/>
        </w:rPr>
        <w:t xml:space="preserve"> In his brief, V.P.C.’s lawyer indicated that the members of</w:t>
      </w:r>
      <w:r w:rsidR="00B7258C" w:rsidRPr="00AC57EA">
        <w:rPr>
          <w:sz w:val="20"/>
          <w:szCs w:val="20"/>
          <w:lang w:val="en-US"/>
        </w:rPr>
        <w:t xml:space="preserve"> </w:t>
      </w:r>
      <w:r w:rsidR="00823E77" w:rsidRPr="00AC57EA">
        <w:rPr>
          <w:sz w:val="20"/>
          <w:szCs w:val="20"/>
          <w:lang w:val="en-US"/>
        </w:rPr>
        <w:t>the Jury Court</w:t>
      </w:r>
      <w:r w:rsidR="00B5625C" w:rsidRPr="00AC57EA">
        <w:rPr>
          <w:sz w:val="20"/>
          <w:szCs w:val="20"/>
          <w:lang w:val="en-US"/>
        </w:rPr>
        <w:t xml:space="preserve"> </w:t>
      </w:r>
      <w:r w:rsidRPr="00AC57EA">
        <w:rPr>
          <w:sz w:val="20"/>
          <w:szCs w:val="20"/>
          <w:lang w:val="en-US"/>
        </w:rPr>
        <w:t>had been meeting with the judge and that it had been observed that they had received visits from family members and friends of the accused.</w:t>
      </w:r>
      <w:r w:rsidR="00AE3ACB" w:rsidRPr="00AC57EA">
        <w:rPr>
          <w:rStyle w:val="Refdenotaalpie"/>
          <w:sz w:val="20"/>
          <w:szCs w:val="20"/>
          <w:lang w:val="en-US"/>
        </w:rPr>
        <w:footnoteReference w:id="124"/>
      </w:r>
    </w:p>
    <w:p w14:paraId="3DF54E6A" w14:textId="77777777" w:rsidR="00B5625C" w:rsidRPr="00AC57EA" w:rsidRDefault="00B5625C" w:rsidP="00B5625C">
      <w:pPr>
        <w:spacing w:line="240" w:lineRule="auto"/>
        <w:rPr>
          <w:sz w:val="20"/>
          <w:szCs w:val="20"/>
          <w:lang w:val="en-US"/>
        </w:rPr>
      </w:pPr>
    </w:p>
    <w:p w14:paraId="06CE20BD" w14:textId="10018B97" w:rsidR="00B5625C" w:rsidRPr="00AC57EA" w:rsidRDefault="007B43E7"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May 8,</w:t>
      </w:r>
      <w:r w:rsidR="00B5625C" w:rsidRPr="00AC57EA">
        <w:rPr>
          <w:sz w:val="20"/>
          <w:szCs w:val="20"/>
          <w:lang w:val="en-US"/>
        </w:rPr>
        <w:t xml:space="preserve"> 200</w:t>
      </w:r>
      <w:r w:rsidRPr="00AC57EA">
        <w:rPr>
          <w:sz w:val="20"/>
          <w:szCs w:val="20"/>
          <w:lang w:val="en-US"/>
        </w:rPr>
        <w:t>2, the Jinotega prosecutor sent a c</w:t>
      </w:r>
      <w:r w:rsidR="002A0685" w:rsidRPr="00AC57EA">
        <w:rPr>
          <w:sz w:val="20"/>
          <w:szCs w:val="20"/>
          <w:lang w:val="en-US"/>
        </w:rPr>
        <w:t>ommunication</w:t>
      </w:r>
      <w:r w:rsidR="00B5625C" w:rsidRPr="00AC57EA">
        <w:rPr>
          <w:sz w:val="20"/>
          <w:szCs w:val="20"/>
          <w:lang w:val="en-US"/>
        </w:rPr>
        <w:t xml:space="preserve"> </w:t>
      </w:r>
      <w:r w:rsidRPr="00AC57EA">
        <w:rPr>
          <w:sz w:val="20"/>
          <w:szCs w:val="20"/>
          <w:lang w:val="en-US"/>
        </w:rPr>
        <w:t xml:space="preserve">to the court in which </w:t>
      </w:r>
      <w:r w:rsidR="00C4035B" w:rsidRPr="00AC57EA">
        <w:rPr>
          <w:sz w:val="20"/>
          <w:szCs w:val="20"/>
          <w:lang w:val="en-US"/>
        </w:rPr>
        <w:t>s</w:t>
      </w:r>
      <w:r w:rsidRPr="00AC57EA">
        <w:rPr>
          <w:sz w:val="20"/>
          <w:szCs w:val="20"/>
          <w:lang w:val="en-US"/>
        </w:rPr>
        <w:t xml:space="preserve">he indicated that </w:t>
      </w:r>
      <w:r w:rsidR="00C4035B" w:rsidRPr="00AC57EA">
        <w:rPr>
          <w:sz w:val="20"/>
          <w:szCs w:val="20"/>
          <w:lang w:val="en-US"/>
        </w:rPr>
        <w:t>s</w:t>
      </w:r>
      <w:r w:rsidRPr="00AC57EA">
        <w:rPr>
          <w:sz w:val="20"/>
          <w:szCs w:val="20"/>
          <w:lang w:val="en-US"/>
        </w:rPr>
        <w:t>he considered it necessary that the appeal for annulment be opened to receive evidence and that the members of the jury who took part in the delivery of the verdict be summoned.</w:t>
      </w:r>
      <w:r w:rsidR="00B5625C" w:rsidRPr="00AC57EA">
        <w:rPr>
          <w:sz w:val="20"/>
          <w:szCs w:val="20"/>
          <w:vertAlign w:val="superscript"/>
          <w:lang w:val="en-US"/>
        </w:rPr>
        <w:footnoteReference w:id="125"/>
      </w:r>
      <w:r w:rsidR="00B5625C" w:rsidRPr="00AC57EA">
        <w:rPr>
          <w:sz w:val="20"/>
          <w:szCs w:val="20"/>
          <w:lang w:val="en-US"/>
        </w:rPr>
        <w:t xml:space="preserve"> </w:t>
      </w:r>
      <w:r w:rsidRPr="00AC57EA">
        <w:rPr>
          <w:sz w:val="20"/>
          <w:szCs w:val="20"/>
          <w:lang w:val="en-US"/>
        </w:rPr>
        <w:t>On May 10,</w:t>
      </w:r>
      <w:r w:rsidR="00B5625C" w:rsidRPr="00AC57EA">
        <w:rPr>
          <w:sz w:val="20"/>
          <w:szCs w:val="20"/>
          <w:lang w:val="en-US"/>
        </w:rPr>
        <w:t xml:space="preserve"> 2002</w:t>
      </w:r>
      <w:r w:rsidRPr="00AC57EA">
        <w:rPr>
          <w:sz w:val="20"/>
          <w:szCs w:val="20"/>
          <w:lang w:val="en-US"/>
        </w:rPr>
        <w:t xml:space="preserve">, the defense counsel referred to the appeal for annulment filed by </w:t>
      </w:r>
      <w:r w:rsidRPr="00AC57EA">
        <w:rPr>
          <w:sz w:val="20"/>
          <w:szCs w:val="20"/>
          <w:lang w:val="en-US"/>
        </w:rPr>
        <w:lastRenderedPageBreak/>
        <w:t>the plaintiff’s lawyer.</w:t>
      </w:r>
      <w:r w:rsidR="00B5625C" w:rsidRPr="00AC57EA">
        <w:rPr>
          <w:sz w:val="20"/>
          <w:szCs w:val="20"/>
          <w:vertAlign w:val="superscript"/>
          <w:lang w:val="en-US"/>
        </w:rPr>
        <w:footnoteReference w:id="126"/>
      </w:r>
    </w:p>
    <w:p w14:paraId="2CCA992D" w14:textId="77777777" w:rsidR="00B5625C" w:rsidRPr="00AC57EA" w:rsidRDefault="00B5625C" w:rsidP="00B5625C">
      <w:pPr>
        <w:spacing w:line="240" w:lineRule="auto"/>
        <w:rPr>
          <w:sz w:val="20"/>
          <w:szCs w:val="20"/>
          <w:lang w:val="en-US"/>
        </w:rPr>
      </w:pPr>
    </w:p>
    <w:p w14:paraId="736314C2" w14:textId="3AC72C3D" w:rsidR="00B5625C" w:rsidRPr="00AC57EA" w:rsidRDefault="007B43E7" w:rsidP="002A1A7C">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May 13,</w:t>
      </w:r>
      <w:r w:rsidR="00B5625C" w:rsidRPr="00AC57EA">
        <w:rPr>
          <w:sz w:val="20"/>
          <w:szCs w:val="20"/>
          <w:lang w:val="en-US"/>
        </w:rPr>
        <w:t xml:space="preserve"> 2002</w:t>
      </w:r>
      <w:r w:rsidR="002A1A7C" w:rsidRPr="00AC57EA">
        <w:rPr>
          <w:sz w:val="20"/>
          <w:szCs w:val="20"/>
          <w:lang w:val="en-US"/>
        </w:rPr>
        <w:t>,</w:t>
      </w:r>
      <w:r w:rsidR="00B5625C" w:rsidRPr="00AC57EA">
        <w:rPr>
          <w:sz w:val="20"/>
          <w:szCs w:val="20"/>
          <w:lang w:val="en-US"/>
        </w:rPr>
        <w:t xml:space="preserve"> </w:t>
      </w:r>
      <w:r w:rsidR="000C7467" w:rsidRPr="00AC57EA">
        <w:rPr>
          <w:sz w:val="20"/>
          <w:szCs w:val="20"/>
          <w:lang w:val="en-US"/>
        </w:rPr>
        <w:t>the Jinotega District Criminal Court</w:t>
      </w:r>
      <w:r w:rsidR="00B5625C" w:rsidRPr="00AC57EA">
        <w:rPr>
          <w:sz w:val="20"/>
          <w:szCs w:val="20"/>
          <w:lang w:val="en-US"/>
        </w:rPr>
        <w:t xml:space="preserve"> </w:t>
      </w:r>
      <w:r w:rsidR="002A1A7C" w:rsidRPr="00AC57EA">
        <w:rPr>
          <w:sz w:val="20"/>
          <w:szCs w:val="20"/>
          <w:lang w:val="en-US"/>
        </w:rPr>
        <w:t>declared that the verdict was null in relation to paragraph 8 of a</w:t>
      </w:r>
      <w:r w:rsidR="00171E27" w:rsidRPr="00AC57EA">
        <w:rPr>
          <w:sz w:val="20"/>
          <w:szCs w:val="20"/>
          <w:lang w:val="en-US"/>
        </w:rPr>
        <w:t>rticle</w:t>
      </w:r>
      <w:r w:rsidR="00B5625C" w:rsidRPr="00AC57EA">
        <w:rPr>
          <w:sz w:val="20"/>
          <w:szCs w:val="20"/>
          <w:lang w:val="en-US"/>
        </w:rPr>
        <w:t xml:space="preserve"> 444 </w:t>
      </w:r>
      <w:r w:rsidR="002A1A7C" w:rsidRPr="00AC57EA">
        <w:rPr>
          <w:sz w:val="20"/>
          <w:szCs w:val="20"/>
          <w:lang w:val="en-US"/>
        </w:rPr>
        <w:t>of the</w:t>
      </w:r>
      <w:r w:rsidR="00B5625C" w:rsidRPr="00AC57EA">
        <w:rPr>
          <w:sz w:val="20"/>
          <w:szCs w:val="20"/>
          <w:lang w:val="en-US"/>
        </w:rPr>
        <w:t xml:space="preserve"> </w:t>
      </w:r>
      <w:r w:rsidR="002A1A7C" w:rsidRPr="00AC57EA">
        <w:rPr>
          <w:sz w:val="20"/>
          <w:szCs w:val="20"/>
          <w:lang w:val="en-US"/>
        </w:rPr>
        <w:t>Code of Criminal Procedure</w:t>
      </w:r>
      <w:r w:rsidR="00B5625C" w:rsidRPr="00AC57EA">
        <w:rPr>
          <w:sz w:val="20"/>
          <w:szCs w:val="20"/>
          <w:lang w:val="en-US"/>
        </w:rPr>
        <w:t xml:space="preserve">. </w:t>
      </w:r>
      <w:r w:rsidR="002A1A7C" w:rsidRPr="00AC57EA">
        <w:rPr>
          <w:sz w:val="20"/>
          <w:szCs w:val="20"/>
          <w:lang w:val="en-US"/>
        </w:rPr>
        <w:t xml:space="preserve">Regarding the accusation </w:t>
      </w:r>
      <w:r w:rsidR="00264649" w:rsidRPr="00AC57EA">
        <w:rPr>
          <w:sz w:val="20"/>
          <w:szCs w:val="20"/>
          <w:lang w:val="en-US"/>
        </w:rPr>
        <w:t>that</w:t>
      </w:r>
      <w:r w:rsidR="002A1A7C" w:rsidRPr="00AC57EA">
        <w:rPr>
          <w:sz w:val="20"/>
          <w:szCs w:val="20"/>
          <w:lang w:val="en-US"/>
        </w:rPr>
        <w:t xml:space="preserve"> the members of the jury</w:t>
      </w:r>
      <w:r w:rsidR="00264649" w:rsidRPr="00AC57EA">
        <w:rPr>
          <w:sz w:val="20"/>
          <w:szCs w:val="20"/>
          <w:lang w:val="en-US"/>
        </w:rPr>
        <w:t xml:space="preserve"> had been bribed</w:t>
      </w:r>
      <w:r w:rsidR="002A1A7C" w:rsidRPr="00AC57EA">
        <w:rPr>
          <w:sz w:val="20"/>
          <w:szCs w:val="20"/>
          <w:lang w:val="en-US"/>
        </w:rPr>
        <w:t>, it based itself on the fact that “</w:t>
      </w:r>
      <w:r w:rsidR="006034C1" w:rsidRPr="00AC57EA">
        <w:rPr>
          <w:sz w:val="20"/>
          <w:szCs w:val="20"/>
          <w:lang w:val="en-US"/>
        </w:rPr>
        <w:t>the plaintiff has doubts.” Consequently, it required that a new jury be selected and a new public hearing be held.</w:t>
      </w:r>
      <w:r w:rsidR="00B5625C" w:rsidRPr="00AC57EA">
        <w:rPr>
          <w:sz w:val="20"/>
          <w:szCs w:val="20"/>
          <w:vertAlign w:val="superscript"/>
          <w:lang w:val="en-US"/>
        </w:rPr>
        <w:footnoteReference w:id="127"/>
      </w:r>
      <w:r w:rsidR="00B5625C" w:rsidRPr="00AC57EA">
        <w:rPr>
          <w:sz w:val="20"/>
          <w:szCs w:val="20"/>
          <w:lang w:val="en-US"/>
        </w:rPr>
        <w:t xml:space="preserve"> </w:t>
      </w:r>
      <w:r w:rsidR="006034C1" w:rsidRPr="00AC57EA">
        <w:rPr>
          <w:sz w:val="20"/>
          <w:szCs w:val="20"/>
          <w:lang w:val="en-US"/>
        </w:rPr>
        <w:t>Furthermore, a new arrest warrant was issued for the accused, and he was detained that same day.</w:t>
      </w:r>
      <w:r w:rsidR="00B5625C" w:rsidRPr="00AC57EA">
        <w:rPr>
          <w:sz w:val="20"/>
          <w:szCs w:val="20"/>
          <w:vertAlign w:val="superscript"/>
          <w:lang w:val="en-US"/>
        </w:rPr>
        <w:footnoteReference w:id="128"/>
      </w:r>
    </w:p>
    <w:p w14:paraId="3B204645" w14:textId="77777777" w:rsidR="00B5625C" w:rsidRPr="00AC57EA" w:rsidRDefault="00B5625C" w:rsidP="00B5625C">
      <w:pPr>
        <w:spacing w:line="240" w:lineRule="auto"/>
        <w:rPr>
          <w:sz w:val="20"/>
          <w:szCs w:val="20"/>
          <w:lang w:val="en-US"/>
        </w:rPr>
      </w:pPr>
    </w:p>
    <w:p w14:paraId="60349F34" w14:textId="0909C322" w:rsidR="00B5625C" w:rsidRPr="00AC57EA" w:rsidRDefault="006034C1"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The defense team lodged an appeal against that decision</w:t>
      </w:r>
      <w:r w:rsidR="00B5625C" w:rsidRPr="00AC57EA">
        <w:rPr>
          <w:sz w:val="20"/>
          <w:szCs w:val="20"/>
          <w:lang w:val="en-US"/>
        </w:rPr>
        <w:t xml:space="preserve"> </w:t>
      </w:r>
      <w:r w:rsidR="007B43E7" w:rsidRPr="00AC57EA">
        <w:rPr>
          <w:sz w:val="20"/>
          <w:szCs w:val="20"/>
          <w:lang w:val="en-US"/>
        </w:rPr>
        <w:t>on May 14,</w:t>
      </w:r>
      <w:r w:rsidR="00B5625C" w:rsidRPr="00AC57EA">
        <w:rPr>
          <w:sz w:val="20"/>
          <w:szCs w:val="20"/>
          <w:lang w:val="en-US"/>
        </w:rPr>
        <w:t xml:space="preserve"> 2002</w:t>
      </w:r>
      <w:r w:rsidRPr="00AC57EA">
        <w:rPr>
          <w:sz w:val="20"/>
          <w:szCs w:val="20"/>
          <w:lang w:val="en-US"/>
        </w:rPr>
        <w:t>.</w:t>
      </w:r>
      <w:r w:rsidR="00B5625C" w:rsidRPr="00AC57EA">
        <w:rPr>
          <w:sz w:val="20"/>
          <w:szCs w:val="20"/>
          <w:vertAlign w:val="superscript"/>
          <w:lang w:val="en-US"/>
        </w:rPr>
        <w:footnoteReference w:id="129"/>
      </w:r>
      <w:r w:rsidRPr="00AC57EA">
        <w:rPr>
          <w:sz w:val="20"/>
          <w:szCs w:val="20"/>
          <w:lang w:val="en-US"/>
        </w:rPr>
        <w:t xml:space="preserve"> The plaintiff’s lawyer lodged an appeal for reversal against the order admitting the appeal</w:t>
      </w:r>
      <w:r w:rsidR="00070909" w:rsidRPr="00AC57EA">
        <w:rPr>
          <w:sz w:val="20"/>
          <w:szCs w:val="20"/>
          <w:lang w:val="en-US"/>
        </w:rPr>
        <w:t xml:space="preserve"> by the defense team</w:t>
      </w:r>
      <w:r w:rsidRPr="00AC57EA">
        <w:rPr>
          <w:sz w:val="20"/>
          <w:szCs w:val="20"/>
          <w:lang w:val="en-US"/>
        </w:rPr>
        <w:t>, which was declared inadmi</w:t>
      </w:r>
      <w:r w:rsidR="00070909" w:rsidRPr="00AC57EA">
        <w:rPr>
          <w:sz w:val="20"/>
          <w:szCs w:val="20"/>
          <w:lang w:val="en-US"/>
        </w:rPr>
        <w:t>s</w:t>
      </w:r>
      <w:r w:rsidRPr="00AC57EA">
        <w:rPr>
          <w:sz w:val="20"/>
          <w:szCs w:val="20"/>
          <w:lang w:val="en-US"/>
        </w:rPr>
        <w:t xml:space="preserve">sible </w:t>
      </w:r>
      <w:r w:rsidR="007B43E7" w:rsidRPr="00AC57EA">
        <w:rPr>
          <w:sz w:val="20"/>
          <w:szCs w:val="20"/>
          <w:lang w:val="en-US"/>
        </w:rPr>
        <w:t>on May 15,</w:t>
      </w:r>
      <w:r w:rsidR="00B5625C" w:rsidRPr="00AC57EA">
        <w:rPr>
          <w:sz w:val="20"/>
          <w:szCs w:val="20"/>
          <w:lang w:val="en-US"/>
        </w:rPr>
        <w:t xml:space="preserve"> 2002</w:t>
      </w:r>
      <w:r w:rsidRPr="00AC57EA">
        <w:rPr>
          <w:sz w:val="20"/>
          <w:szCs w:val="20"/>
          <w:lang w:val="en-US"/>
        </w:rPr>
        <w:t>,</w:t>
      </w:r>
      <w:r w:rsidR="00B5625C" w:rsidRPr="00AC57EA">
        <w:rPr>
          <w:sz w:val="20"/>
          <w:szCs w:val="20"/>
          <w:vertAlign w:val="superscript"/>
          <w:lang w:val="en-US"/>
        </w:rPr>
        <w:footnoteReference w:id="130"/>
      </w:r>
      <w:r w:rsidR="00171E27" w:rsidRPr="00AC57EA">
        <w:rPr>
          <w:sz w:val="20"/>
          <w:szCs w:val="20"/>
          <w:lang w:val="en-US"/>
        </w:rPr>
        <w:t xml:space="preserve"> and </w:t>
      </w:r>
      <w:r w:rsidRPr="00AC57EA">
        <w:rPr>
          <w:sz w:val="20"/>
          <w:szCs w:val="20"/>
          <w:lang w:val="en-US"/>
        </w:rPr>
        <w:t xml:space="preserve">the case was forward to the </w:t>
      </w:r>
      <w:r w:rsidR="00187988" w:rsidRPr="00AC57EA">
        <w:rPr>
          <w:sz w:val="20"/>
          <w:szCs w:val="20"/>
          <w:lang w:val="en-US"/>
        </w:rPr>
        <w:t>Appellate Court</w:t>
      </w:r>
      <w:r w:rsidRPr="00AC57EA">
        <w:rPr>
          <w:sz w:val="20"/>
          <w:szCs w:val="20"/>
          <w:lang w:val="en-US"/>
        </w:rPr>
        <w:t>.</w:t>
      </w:r>
      <w:r w:rsidR="00B5625C" w:rsidRPr="00AC57EA">
        <w:rPr>
          <w:sz w:val="20"/>
          <w:szCs w:val="20"/>
          <w:vertAlign w:val="superscript"/>
          <w:lang w:val="en-US"/>
        </w:rPr>
        <w:footnoteReference w:id="131"/>
      </w:r>
    </w:p>
    <w:p w14:paraId="5DCC7B6F" w14:textId="77777777" w:rsidR="00B5625C" w:rsidRPr="00AC57EA" w:rsidRDefault="00B5625C" w:rsidP="00B5625C">
      <w:pPr>
        <w:spacing w:line="240" w:lineRule="auto"/>
        <w:rPr>
          <w:sz w:val="20"/>
          <w:szCs w:val="20"/>
          <w:lang w:val="en-US"/>
        </w:rPr>
      </w:pPr>
    </w:p>
    <w:p w14:paraId="08A84099" w14:textId="2E26A908" w:rsidR="00B5625C" w:rsidRPr="00AC57EA" w:rsidRDefault="007B43E7" w:rsidP="00070909">
      <w:pPr>
        <w:numPr>
          <w:ilvl w:val="0"/>
          <w:numId w:val="2"/>
        </w:numPr>
        <w:tabs>
          <w:tab w:val="left" w:pos="567"/>
          <w:tab w:val="num" w:pos="12305"/>
        </w:tabs>
        <w:spacing w:line="240" w:lineRule="auto"/>
        <w:ind w:left="0" w:firstLine="0"/>
        <w:rPr>
          <w:sz w:val="16"/>
          <w:szCs w:val="16"/>
          <w:lang w:val="en-US"/>
        </w:rPr>
      </w:pPr>
      <w:r w:rsidRPr="00AC57EA">
        <w:rPr>
          <w:rFonts w:cs="Arial"/>
          <w:sz w:val="20"/>
          <w:szCs w:val="20"/>
          <w:lang w:val="en-US"/>
        </w:rPr>
        <w:t>On May 23,</w:t>
      </w:r>
      <w:r w:rsidR="00B5625C" w:rsidRPr="00AC57EA">
        <w:rPr>
          <w:rFonts w:cs="Arial"/>
          <w:sz w:val="20"/>
          <w:szCs w:val="20"/>
          <w:lang w:val="en-US"/>
        </w:rPr>
        <w:t xml:space="preserve"> 2002</w:t>
      </w:r>
      <w:r w:rsidR="00070909" w:rsidRPr="00AC57EA">
        <w:rPr>
          <w:rFonts w:cs="Arial"/>
          <w:sz w:val="20"/>
          <w:szCs w:val="20"/>
          <w:lang w:val="en-US"/>
        </w:rPr>
        <w:t>, three members</w:t>
      </w:r>
      <w:r w:rsidR="00B7258C" w:rsidRPr="00AC57EA">
        <w:rPr>
          <w:rFonts w:cs="Arial"/>
          <w:sz w:val="20"/>
          <w:szCs w:val="20"/>
          <w:lang w:val="en-US"/>
        </w:rPr>
        <w:t xml:space="preserve"> of </w:t>
      </w:r>
      <w:r w:rsidR="00823E77" w:rsidRPr="00AC57EA">
        <w:rPr>
          <w:rFonts w:cs="Arial"/>
          <w:sz w:val="20"/>
          <w:szCs w:val="20"/>
          <w:lang w:val="en-US"/>
        </w:rPr>
        <w:t>the Jury Court</w:t>
      </w:r>
      <w:r w:rsidR="00B5625C" w:rsidRPr="00AC57EA">
        <w:rPr>
          <w:rFonts w:cs="Arial"/>
          <w:sz w:val="20"/>
          <w:szCs w:val="20"/>
          <w:lang w:val="en-US"/>
        </w:rPr>
        <w:t xml:space="preserve"> </w:t>
      </w:r>
      <w:r w:rsidR="00070909" w:rsidRPr="00AC57EA">
        <w:rPr>
          <w:rFonts w:cs="Arial"/>
          <w:sz w:val="20"/>
          <w:szCs w:val="20"/>
          <w:lang w:val="en-US"/>
        </w:rPr>
        <w:t>filed a brief with</w:t>
      </w:r>
      <w:r w:rsidR="00B5625C" w:rsidRPr="00AC57EA">
        <w:rPr>
          <w:rFonts w:cs="Arial"/>
          <w:sz w:val="20"/>
          <w:szCs w:val="20"/>
          <w:lang w:val="en-US"/>
        </w:rPr>
        <w:t xml:space="preserve"> </w:t>
      </w:r>
      <w:r w:rsidR="00B7258C" w:rsidRPr="00AC57EA">
        <w:rPr>
          <w:rFonts w:cs="Arial"/>
          <w:sz w:val="20"/>
          <w:szCs w:val="20"/>
          <w:lang w:val="en-US"/>
        </w:rPr>
        <w:t xml:space="preserve">the </w:t>
      </w:r>
      <w:r w:rsidR="00EF75D6" w:rsidRPr="00AC57EA">
        <w:rPr>
          <w:rFonts w:cs="Arial"/>
          <w:sz w:val="20"/>
          <w:szCs w:val="20"/>
          <w:lang w:val="en-US"/>
        </w:rPr>
        <w:t>Northern District Appellate Court</w:t>
      </w:r>
      <w:r w:rsidR="00B5625C" w:rsidRPr="00AC57EA">
        <w:rPr>
          <w:rFonts w:cs="Arial"/>
          <w:sz w:val="20"/>
          <w:szCs w:val="20"/>
          <w:lang w:val="en-US"/>
        </w:rPr>
        <w:t xml:space="preserve">, </w:t>
      </w:r>
      <w:r w:rsidR="00070909" w:rsidRPr="00AC57EA">
        <w:rPr>
          <w:rFonts w:cs="Arial"/>
          <w:sz w:val="20"/>
          <w:szCs w:val="20"/>
          <w:lang w:val="en-US"/>
        </w:rPr>
        <w:t>Criminal Chamber</w:t>
      </w:r>
      <w:r w:rsidR="00B5625C" w:rsidRPr="00AC57EA">
        <w:rPr>
          <w:rFonts w:cs="Arial"/>
          <w:sz w:val="20"/>
          <w:szCs w:val="20"/>
          <w:lang w:val="en-US"/>
        </w:rPr>
        <w:t xml:space="preserve">, Matagalpa, </w:t>
      </w:r>
      <w:r w:rsidR="00264649" w:rsidRPr="00AC57EA">
        <w:rPr>
          <w:rFonts w:cs="Arial"/>
          <w:sz w:val="20"/>
          <w:szCs w:val="20"/>
          <w:lang w:val="en-US"/>
        </w:rPr>
        <w:t>denying</w:t>
      </w:r>
      <w:r w:rsidR="00070909" w:rsidRPr="00AC57EA">
        <w:rPr>
          <w:rFonts w:cs="Arial"/>
          <w:sz w:val="20"/>
          <w:szCs w:val="20"/>
          <w:lang w:val="en-US"/>
        </w:rPr>
        <w:t xml:space="preserve"> the accusation</w:t>
      </w:r>
      <w:r w:rsidR="00264649" w:rsidRPr="00AC57EA">
        <w:rPr>
          <w:rFonts w:cs="Arial"/>
          <w:sz w:val="20"/>
          <w:szCs w:val="20"/>
          <w:lang w:val="en-US"/>
        </w:rPr>
        <w:t xml:space="preserve"> of bribery by</w:t>
      </w:r>
      <w:r w:rsidR="00070909" w:rsidRPr="00AC57EA">
        <w:rPr>
          <w:rFonts w:cs="Arial"/>
          <w:sz w:val="20"/>
          <w:szCs w:val="20"/>
          <w:lang w:val="en-US"/>
        </w:rPr>
        <w:t xml:space="preserve"> the prosecution and </w:t>
      </w:r>
      <w:r w:rsidR="00264649" w:rsidRPr="00AC57EA">
        <w:rPr>
          <w:rFonts w:cs="Arial"/>
          <w:sz w:val="20"/>
          <w:szCs w:val="20"/>
          <w:lang w:val="en-US"/>
        </w:rPr>
        <w:t xml:space="preserve">rejecting </w:t>
      </w:r>
      <w:r w:rsidR="00070909" w:rsidRPr="00AC57EA">
        <w:rPr>
          <w:rFonts w:cs="Arial"/>
          <w:sz w:val="20"/>
          <w:szCs w:val="20"/>
          <w:lang w:val="en-US"/>
        </w:rPr>
        <w:t xml:space="preserve">the decision </w:t>
      </w:r>
      <w:r w:rsidR="0035434D" w:rsidRPr="00AC57EA">
        <w:rPr>
          <w:rFonts w:cs="Arial"/>
          <w:sz w:val="20"/>
          <w:szCs w:val="20"/>
          <w:lang w:val="en-US"/>
        </w:rPr>
        <w:t xml:space="preserve">of the </w:t>
      </w:r>
      <w:r w:rsidR="00240CED" w:rsidRPr="00AC57EA">
        <w:rPr>
          <w:sz w:val="20"/>
          <w:szCs w:val="20"/>
          <w:lang w:val="en-US"/>
        </w:rPr>
        <w:t>Jinotega District Criminal Court</w:t>
      </w:r>
      <w:r w:rsidR="00B5625C" w:rsidRPr="00AC57EA">
        <w:rPr>
          <w:rFonts w:cs="Arial"/>
          <w:sz w:val="20"/>
          <w:szCs w:val="20"/>
          <w:lang w:val="en-US"/>
        </w:rPr>
        <w:t xml:space="preserve"> </w:t>
      </w:r>
      <w:r w:rsidR="00070909" w:rsidRPr="00AC57EA">
        <w:rPr>
          <w:rFonts w:cs="Arial"/>
          <w:sz w:val="20"/>
          <w:szCs w:val="20"/>
          <w:lang w:val="en-US"/>
        </w:rPr>
        <w:t>declaring the nullity of the jury’s verdict</w:t>
      </w:r>
      <w:r w:rsidR="00264649" w:rsidRPr="00AC57EA">
        <w:rPr>
          <w:rFonts w:cs="Arial"/>
          <w:sz w:val="20"/>
          <w:szCs w:val="20"/>
          <w:lang w:val="en-US"/>
        </w:rPr>
        <w:t>; they</w:t>
      </w:r>
      <w:r w:rsidR="00070909" w:rsidRPr="00AC57EA">
        <w:rPr>
          <w:rFonts w:cs="Arial"/>
          <w:sz w:val="20"/>
          <w:szCs w:val="20"/>
          <w:lang w:val="en-US"/>
        </w:rPr>
        <w:t xml:space="preserve"> therefore request</w:t>
      </w:r>
      <w:r w:rsidR="00264649" w:rsidRPr="00AC57EA">
        <w:rPr>
          <w:rFonts w:cs="Arial"/>
          <w:sz w:val="20"/>
          <w:szCs w:val="20"/>
          <w:lang w:val="en-US"/>
        </w:rPr>
        <w:t>ed</w:t>
      </w:r>
      <w:r w:rsidR="00070909" w:rsidRPr="00AC57EA">
        <w:rPr>
          <w:rFonts w:cs="Arial"/>
          <w:sz w:val="20"/>
          <w:szCs w:val="20"/>
          <w:lang w:val="en-US"/>
        </w:rPr>
        <w:t xml:space="preserve"> that “an investigation be opened and that this slur against us be proved, and our statements be received.</w:t>
      </w:r>
      <w:r w:rsidR="00B5625C" w:rsidRPr="00AC57EA">
        <w:rPr>
          <w:rFonts w:cs="Arial"/>
          <w:sz w:val="20"/>
          <w:szCs w:val="20"/>
          <w:lang w:val="en-US"/>
        </w:rPr>
        <w:t>”</w:t>
      </w:r>
      <w:r w:rsidR="00B5625C" w:rsidRPr="00AC57EA">
        <w:rPr>
          <w:rFonts w:cs="Arial"/>
          <w:sz w:val="20"/>
          <w:szCs w:val="20"/>
          <w:vertAlign w:val="superscript"/>
          <w:lang w:val="en-US"/>
        </w:rPr>
        <w:footnoteReference w:id="132"/>
      </w:r>
      <w:r w:rsidR="00070909" w:rsidRPr="00AC57EA">
        <w:rPr>
          <w:rFonts w:cs="Arial"/>
          <w:sz w:val="20"/>
          <w:szCs w:val="20"/>
          <w:lang w:val="en-US"/>
        </w:rPr>
        <w:t xml:space="preserve"> The lawyer who lodged this brief was H.R.A.’s defense counsel.</w:t>
      </w:r>
    </w:p>
    <w:p w14:paraId="39C2D6F1" w14:textId="77777777" w:rsidR="00B5625C" w:rsidRPr="00AC57EA" w:rsidRDefault="00B5625C" w:rsidP="00B5625C">
      <w:pPr>
        <w:spacing w:line="240" w:lineRule="auto"/>
        <w:rPr>
          <w:sz w:val="20"/>
          <w:szCs w:val="20"/>
          <w:lang w:val="en-US"/>
        </w:rPr>
      </w:pPr>
    </w:p>
    <w:p w14:paraId="02BCBF96" w14:textId="4BDB2558" w:rsidR="00B5625C" w:rsidRPr="00AC57EA" w:rsidRDefault="00070909"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July 29,</w:t>
      </w:r>
      <w:r w:rsidR="00B5625C" w:rsidRPr="00AC57EA">
        <w:rPr>
          <w:sz w:val="20"/>
          <w:szCs w:val="20"/>
          <w:lang w:val="en-US"/>
        </w:rPr>
        <w:t xml:space="preserve"> 2002</w:t>
      </w:r>
      <w:r w:rsidRPr="00AC57EA">
        <w:rPr>
          <w:sz w:val="20"/>
          <w:szCs w:val="20"/>
          <w:lang w:val="en-US"/>
        </w:rPr>
        <w:t xml:space="preserve">, </w:t>
      </w:r>
      <w:r w:rsidR="00B5625C" w:rsidRPr="00AC57EA">
        <w:rPr>
          <w:sz w:val="20"/>
          <w:szCs w:val="20"/>
          <w:lang w:val="en-US"/>
        </w:rPr>
        <w:t xml:space="preserve">V.P.C. </w:t>
      </w:r>
      <w:r w:rsidRPr="00AC57EA">
        <w:rPr>
          <w:sz w:val="20"/>
          <w:szCs w:val="20"/>
          <w:lang w:val="en-US"/>
        </w:rPr>
        <w:t>asked the Prosecutor General to appoint a special prosecutor to prot</w:t>
      </w:r>
      <w:r w:rsidR="0064627F" w:rsidRPr="00AC57EA">
        <w:rPr>
          <w:sz w:val="20"/>
          <w:szCs w:val="20"/>
          <w:lang w:val="en-US"/>
        </w:rPr>
        <w:t>e</w:t>
      </w:r>
      <w:r w:rsidRPr="00AC57EA">
        <w:rPr>
          <w:sz w:val="20"/>
          <w:szCs w:val="20"/>
          <w:lang w:val="en-US"/>
        </w:rPr>
        <w:t>ct and ensure the rights of her daughter during the proceedings.</w:t>
      </w:r>
      <w:r w:rsidR="00B5625C" w:rsidRPr="00AC57EA">
        <w:rPr>
          <w:sz w:val="20"/>
          <w:szCs w:val="20"/>
          <w:vertAlign w:val="superscript"/>
          <w:lang w:val="en-US"/>
        </w:rPr>
        <w:footnoteReference w:id="133"/>
      </w:r>
    </w:p>
    <w:p w14:paraId="1E0E7D6A" w14:textId="77777777" w:rsidR="00B5625C" w:rsidRPr="00AC57EA" w:rsidRDefault="00B5625C" w:rsidP="00B5625C">
      <w:pPr>
        <w:spacing w:line="240" w:lineRule="auto"/>
        <w:rPr>
          <w:sz w:val="20"/>
          <w:szCs w:val="20"/>
          <w:lang w:val="en-US"/>
        </w:rPr>
      </w:pPr>
    </w:p>
    <w:p w14:paraId="43899922" w14:textId="15D6175D" w:rsidR="00B5625C" w:rsidRPr="00AC57EA" w:rsidRDefault="00070909" w:rsidP="00B5625C">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January 13,</w:t>
      </w:r>
      <w:r w:rsidR="00B5625C" w:rsidRPr="00AC57EA">
        <w:rPr>
          <w:sz w:val="20"/>
          <w:szCs w:val="20"/>
          <w:lang w:val="en-US"/>
        </w:rPr>
        <w:t xml:space="preserve"> 2003</w:t>
      </w:r>
      <w:r w:rsidRPr="00AC57EA">
        <w:rPr>
          <w:sz w:val="20"/>
          <w:szCs w:val="20"/>
          <w:lang w:val="en-US"/>
        </w:rPr>
        <w:t>,</w:t>
      </w:r>
      <w:r w:rsidR="00B5625C" w:rsidRPr="00AC57EA">
        <w:rPr>
          <w:sz w:val="20"/>
          <w:szCs w:val="20"/>
          <w:lang w:val="en-US"/>
        </w:rPr>
        <w:t xml:space="preserve"> </w:t>
      </w:r>
      <w:r w:rsidR="003A32C1" w:rsidRPr="00AC57EA">
        <w:rPr>
          <w:sz w:val="20"/>
          <w:szCs w:val="20"/>
          <w:lang w:val="en-US"/>
        </w:rPr>
        <w:t>the Criminal Chamber</w:t>
      </w:r>
      <w:r w:rsidR="00B7258C" w:rsidRPr="00AC57EA">
        <w:rPr>
          <w:sz w:val="20"/>
          <w:szCs w:val="20"/>
          <w:lang w:val="en-US"/>
        </w:rPr>
        <w:t xml:space="preserve"> of the </w:t>
      </w:r>
      <w:r w:rsidRPr="00AC57EA">
        <w:rPr>
          <w:sz w:val="20"/>
          <w:szCs w:val="20"/>
          <w:lang w:val="en-US"/>
        </w:rPr>
        <w:t xml:space="preserve">Matagalpa </w:t>
      </w:r>
      <w:r w:rsidR="00151468" w:rsidRPr="00AC57EA">
        <w:rPr>
          <w:sz w:val="20"/>
          <w:szCs w:val="20"/>
          <w:lang w:val="en-US"/>
        </w:rPr>
        <w:t xml:space="preserve">Northern </w:t>
      </w:r>
      <w:r w:rsidRPr="00AC57EA">
        <w:rPr>
          <w:sz w:val="20"/>
          <w:szCs w:val="20"/>
          <w:lang w:val="en-US"/>
        </w:rPr>
        <w:t xml:space="preserve">District Appellate Court declared the substantial and absolute nullity of the proceedings </w:t>
      </w:r>
      <w:r w:rsidR="0064627F" w:rsidRPr="00AC57EA">
        <w:rPr>
          <w:sz w:val="20"/>
          <w:szCs w:val="20"/>
          <w:lang w:val="en-US"/>
        </w:rPr>
        <w:t>as of</w:t>
      </w:r>
      <w:r w:rsidRPr="00AC57EA">
        <w:rPr>
          <w:sz w:val="20"/>
          <w:szCs w:val="20"/>
          <w:lang w:val="en-US"/>
        </w:rPr>
        <w:t xml:space="preserve"> the order issued </w:t>
      </w:r>
      <w:r w:rsidR="007B43E7" w:rsidRPr="00AC57EA">
        <w:rPr>
          <w:sz w:val="20"/>
          <w:szCs w:val="20"/>
          <w:lang w:val="en-US"/>
        </w:rPr>
        <w:t>on May 13,</w:t>
      </w:r>
      <w:r w:rsidR="00B5625C" w:rsidRPr="00AC57EA">
        <w:rPr>
          <w:sz w:val="20"/>
          <w:szCs w:val="20"/>
          <w:lang w:val="en-US"/>
        </w:rPr>
        <w:t xml:space="preserve"> 2002. </w:t>
      </w:r>
      <w:r w:rsidRPr="00AC57EA">
        <w:rPr>
          <w:sz w:val="20"/>
          <w:szCs w:val="20"/>
          <w:lang w:val="en-US"/>
        </w:rPr>
        <w:t>This was based on</w:t>
      </w:r>
      <w:r w:rsidR="0064627F" w:rsidRPr="00AC57EA">
        <w:rPr>
          <w:sz w:val="20"/>
          <w:szCs w:val="20"/>
          <w:lang w:val="en-US"/>
        </w:rPr>
        <w:t xml:space="preserve"> the fact that</w:t>
      </w:r>
      <w:r w:rsidRPr="00AC57EA">
        <w:rPr>
          <w:sz w:val="20"/>
          <w:szCs w:val="20"/>
          <w:lang w:val="en-US"/>
        </w:rPr>
        <w:t xml:space="preserve"> “reasonable doubt”</w:t>
      </w:r>
      <w:r w:rsidR="0064627F" w:rsidRPr="00AC57EA">
        <w:rPr>
          <w:sz w:val="20"/>
          <w:szCs w:val="20"/>
          <w:lang w:val="en-US"/>
        </w:rPr>
        <w:t xml:space="preserve"> was only admissible in favor of the accused. Also, on that occasion, the Appellate Court took the judge to task for having acted in a notoriously anomalous way and understood that</w:t>
      </w:r>
      <w:r w:rsidR="00264649" w:rsidRPr="00AC57EA">
        <w:rPr>
          <w:sz w:val="20"/>
          <w:szCs w:val="20"/>
          <w:lang w:val="en-US"/>
        </w:rPr>
        <w:t>,</w:t>
      </w:r>
      <w:r w:rsidR="0064627F" w:rsidRPr="00AC57EA">
        <w:rPr>
          <w:sz w:val="20"/>
          <w:szCs w:val="20"/>
          <w:lang w:val="en-US"/>
        </w:rPr>
        <w:t xml:space="preserve"> as it had already </w:t>
      </w:r>
      <w:r w:rsidR="00264649" w:rsidRPr="00AC57EA">
        <w:rPr>
          <w:sz w:val="20"/>
          <w:szCs w:val="20"/>
          <w:lang w:val="en-US"/>
        </w:rPr>
        <w:t>indicated</w:t>
      </w:r>
      <w:r w:rsidR="0064627F" w:rsidRPr="00AC57EA">
        <w:rPr>
          <w:sz w:val="20"/>
          <w:szCs w:val="20"/>
          <w:lang w:val="en-US"/>
        </w:rPr>
        <w:t>, the proceedings should be forwarded to the deputy judge</w:t>
      </w:r>
      <w:r w:rsidR="00264649" w:rsidRPr="00AC57EA">
        <w:rPr>
          <w:sz w:val="20"/>
          <w:szCs w:val="20"/>
          <w:lang w:val="en-US"/>
        </w:rPr>
        <w:t xml:space="preserve">; also, </w:t>
      </w:r>
      <w:r w:rsidR="0064627F" w:rsidRPr="00AC57EA">
        <w:rPr>
          <w:sz w:val="20"/>
          <w:szCs w:val="20"/>
          <w:lang w:val="en-US"/>
        </w:rPr>
        <w:t xml:space="preserve"> the immediate release of the accused</w:t>
      </w:r>
      <w:r w:rsidR="00264649" w:rsidRPr="00AC57EA">
        <w:rPr>
          <w:sz w:val="20"/>
          <w:szCs w:val="20"/>
          <w:lang w:val="en-US"/>
        </w:rPr>
        <w:t xml:space="preserve"> should be ordered,</w:t>
      </w:r>
      <w:r w:rsidR="0064627F" w:rsidRPr="00AC57EA">
        <w:rPr>
          <w:sz w:val="20"/>
          <w:szCs w:val="20"/>
          <w:lang w:val="en-US"/>
        </w:rPr>
        <w:t xml:space="preserve"> and the evidentiary stage of the appeal for annulment</w:t>
      </w:r>
      <w:r w:rsidR="00264649" w:rsidRPr="00AC57EA">
        <w:rPr>
          <w:sz w:val="20"/>
          <w:szCs w:val="20"/>
          <w:lang w:val="en-US"/>
        </w:rPr>
        <w:t xml:space="preserve"> </w:t>
      </w:r>
      <w:r w:rsidR="0064627F" w:rsidRPr="00AC57EA">
        <w:rPr>
          <w:sz w:val="20"/>
          <w:szCs w:val="20"/>
          <w:lang w:val="en-US"/>
        </w:rPr>
        <w:t>opened.</w:t>
      </w:r>
      <w:r w:rsidR="00B5625C" w:rsidRPr="00AC57EA">
        <w:rPr>
          <w:sz w:val="20"/>
          <w:szCs w:val="20"/>
          <w:vertAlign w:val="superscript"/>
          <w:lang w:val="en-US"/>
        </w:rPr>
        <w:footnoteReference w:id="134"/>
      </w:r>
      <w:r w:rsidR="00B5625C" w:rsidRPr="00AC57EA">
        <w:rPr>
          <w:sz w:val="20"/>
          <w:szCs w:val="20"/>
          <w:lang w:val="en-US"/>
        </w:rPr>
        <w:t xml:space="preserve"> </w:t>
      </w:r>
      <w:r w:rsidR="0064627F" w:rsidRPr="00AC57EA">
        <w:rPr>
          <w:sz w:val="20"/>
          <w:szCs w:val="20"/>
          <w:lang w:val="en-US"/>
        </w:rPr>
        <w:t xml:space="preserve">It should be pointed out that the Criminal Chamber placed on record that the departmental assistant prosecutor “had not </w:t>
      </w:r>
      <w:r w:rsidR="0064627F" w:rsidRPr="00AC57EA">
        <w:rPr>
          <w:sz w:val="20"/>
          <w:szCs w:val="20"/>
          <w:lang w:val="en-US"/>
        </w:rPr>
        <w:lastRenderedPageBreak/>
        <w:t>appeared in court.</w:t>
      </w:r>
      <w:r w:rsidR="00B5625C" w:rsidRPr="00AC57EA">
        <w:rPr>
          <w:sz w:val="20"/>
          <w:szCs w:val="20"/>
          <w:lang w:val="en-US"/>
        </w:rPr>
        <w:t>”</w:t>
      </w:r>
      <w:r w:rsidR="00B5625C" w:rsidRPr="00AC57EA">
        <w:rPr>
          <w:sz w:val="20"/>
          <w:szCs w:val="20"/>
          <w:vertAlign w:val="superscript"/>
          <w:lang w:val="en-US"/>
        </w:rPr>
        <w:footnoteReference w:id="135"/>
      </w:r>
    </w:p>
    <w:p w14:paraId="5AB148B8" w14:textId="77777777" w:rsidR="0064627F" w:rsidRPr="00AC57EA" w:rsidRDefault="0064627F" w:rsidP="0064627F">
      <w:pPr>
        <w:tabs>
          <w:tab w:val="left" w:pos="567"/>
        </w:tabs>
        <w:spacing w:line="240" w:lineRule="auto"/>
        <w:rPr>
          <w:sz w:val="20"/>
          <w:szCs w:val="20"/>
          <w:lang w:val="en-US"/>
        </w:rPr>
      </w:pPr>
    </w:p>
    <w:p w14:paraId="10C483D2" w14:textId="4616FAAF" w:rsidR="00B5625C" w:rsidRPr="00AC57EA" w:rsidRDefault="00EF75D6" w:rsidP="00A70E3C">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Thus, the case was forwarded to the deputy judge</w:t>
      </w:r>
      <w:r w:rsidR="00B5625C" w:rsidRPr="00AC57EA">
        <w:rPr>
          <w:sz w:val="20"/>
          <w:szCs w:val="20"/>
          <w:lang w:val="en-US"/>
        </w:rPr>
        <w:t>.</w:t>
      </w:r>
      <w:r w:rsidR="00B5625C" w:rsidRPr="00AC57EA">
        <w:rPr>
          <w:sz w:val="16"/>
          <w:szCs w:val="16"/>
          <w:lang w:val="en-US"/>
        </w:rPr>
        <w:t xml:space="preserve"> </w:t>
      </w:r>
      <w:r w:rsidRPr="00AC57EA">
        <w:rPr>
          <w:sz w:val="20"/>
          <w:szCs w:val="20"/>
          <w:lang w:val="en-US"/>
        </w:rPr>
        <w:t>On May 12,</w:t>
      </w:r>
      <w:r w:rsidR="00B5625C" w:rsidRPr="00AC57EA">
        <w:rPr>
          <w:sz w:val="20"/>
          <w:szCs w:val="20"/>
          <w:lang w:val="en-US"/>
        </w:rPr>
        <w:t xml:space="preserve"> 2003</w:t>
      </w:r>
      <w:r w:rsidRPr="00AC57EA">
        <w:rPr>
          <w:sz w:val="20"/>
          <w:szCs w:val="20"/>
          <w:lang w:val="en-US"/>
        </w:rPr>
        <w:t>,</w:t>
      </w:r>
      <w:r w:rsidR="00B5625C" w:rsidRPr="00AC57EA">
        <w:rPr>
          <w:sz w:val="20"/>
          <w:szCs w:val="20"/>
          <w:lang w:val="en-US"/>
        </w:rPr>
        <w:t xml:space="preserve"> </w:t>
      </w:r>
      <w:r w:rsidRPr="00AC57EA">
        <w:rPr>
          <w:sz w:val="20"/>
          <w:szCs w:val="20"/>
          <w:lang w:val="en-US"/>
        </w:rPr>
        <w:t xml:space="preserve">V.P.C.’s lawyer filed a brief with the Deputy District Civil and Criminal </w:t>
      </w:r>
      <w:r w:rsidR="00B7258C" w:rsidRPr="00AC57EA">
        <w:rPr>
          <w:sz w:val="20"/>
          <w:szCs w:val="20"/>
          <w:lang w:val="en-US"/>
        </w:rPr>
        <w:t>Judge</w:t>
      </w:r>
      <w:r w:rsidR="00B5625C" w:rsidRPr="00AC57EA">
        <w:rPr>
          <w:sz w:val="20"/>
          <w:szCs w:val="20"/>
          <w:lang w:val="en-US"/>
        </w:rPr>
        <w:t xml:space="preserve">, </w:t>
      </w:r>
      <w:r w:rsidRPr="00AC57EA">
        <w:rPr>
          <w:sz w:val="20"/>
          <w:szCs w:val="20"/>
          <w:lang w:val="en-US"/>
        </w:rPr>
        <w:t xml:space="preserve">requesting that he </w:t>
      </w:r>
      <w:r w:rsidR="00A70E3C" w:rsidRPr="00AC57EA">
        <w:rPr>
          <w:sz w:val="20"/>
          <w:szCs w:val="20"/>
          <w:lang w:val="en-US"/>
        </w:rPr>
        <w:t>rule as soon as possible.</w:t>
      </w:r>
      <w:r w:rsidR="00B5625C" w:rsidRPr="00AC57EA">
        <w:rPr>
          <w:sz w:val="20"/>
          <w:szCs w:val="20"/>
          <w:vertAlign w:val="superscript"/>
          <w:lang w:val="en-US"/>
        </w:rPr>
        <w:footnoteReference w:id="136"/>
      </w:r>
      <w:r w:rsidR="00B5625C" w:rsidRPr="00AC57EA">
        <w:rPr>
          <w:sz w:val="20"/>
          <w:szCs w:val="20"/>
          <w:lang w:val="en-US"/>
        </w:rPr>
        <w:t xml:space="preserve"> </w:t>
      </w:r>
      <w:r w:rsidR="00A70E3C" w:rsidRPr="00AC57EA">
        <w:rPr>
          <w:sz w:val="20"/>
          <w:szCs w:val="20"/>
          <w:lang w:val="en-US"/>
        </w:rPr>
        <w:t>On May 19,</w:t>
      </w:r>
      <w:r w:rsidR="00B5625C" w:rsidRPr="00AC57EA">
        <w:rPr>
          <w:sz w:val="20"/>
          <w:szCs w:val="20"/>
          <w:lang w:val="en-US"/>
        </w:rPr>
        <w:t xml:space="preserve"> 2003</w:t>
      </w:r>
      <w:r w:rsidR="00A70E3C" w:rsidRPr="00AC57EA">
        <w:rPr>
          <w:sz w:val="20"/>
          <w:szCs w:val="20"/>
          <w:lang w:val="en-US"/>
        </w:rPr>
        <w:t>,</w:t>
      </w:r>
      <w:r w:rsidR="00B5625C" w:rsidRPr="00AC57EA">
        <w:rPr>
          <w:sz w:val="20"/>
          <w:szCs w:val="20"/>
          <w:lang w:val="en-US"/>
        </w:rPr>
        <w:t xml:space="preserve"> </w:t>
      </w:r>
      <w:r w:rsidR="00A70E3C" w:rsidRPr="00AC57EA">
        <w:rPr>
          <w:sz w:val="20"/>
          <w:szCs w:val="20"/>
          <w:lang w:val="en-US"/>
        </w:rPr>
        <w:t>V.P.C.’s lawyer asked the judge to recuse herself from hearing the case due to her “numerous occupations” and her health;</w:t>
      </w:r>
      <w:r w:rsidR="00B5625C" w:rsidRPr="00AC57EA">
        <w:rPr>
          <w:sz w:val="20"/>
          <w:szCs w:val="20"/>
          <w:vertAlign w:val="superscript"/>
          <w:lang w:val="en-US"/>
        </w:rPr>
        <w:footnoteReference w:id="137"/>
      </w:r>
      <w:r w:rsidR="00A70E3C" w:rsidRPr="00AC57EA">
        <w:rPr>
          <w:sz w:val="20"/>
          <w:szCs w:val="20"/>
          <w:lang w:val="en-US"/>
        </w:rPr>
        <w:t xml:space="preserve"> the judge therefore </w:t>
      </w:r>
      <w:r w:rsidR="00554351" w:rsidRPr="00AC57EA">
        <w:rPr>
          <w:sz w:val="20"/>
          <w:szCs w:val="20"/>
          <w:lang w:val="en-US"/>
        </w:rPr>
        <w:t>vetoed</w:t>
      </w:r>
      <w:r w:rsidR="00A70E3C" w:rsidRPr="00AC57EA">
        <w:rPr>
          <w:sz w:val="20"/>
          <w:szCs w:val="20"/>
          <w:lang w:val="en-US"/>
        </w:rPr>
        <w:t xml:space="preserve"> herself and passed the file to the Deputy District Criminal Judge, who assumed jurisdiction.</w:t>
      </w:r>
      <w:r w:rsidR="00B5625C" w:rsidRPr="00AC57EA">
        <w:rPr>
          <w:sz w:val="20"/>
          <w:szCs w:val="20"/>
          <w:vertAlign w:val="superscript"/>
          <w:lang w:val="en-US"/>
        </w:rPr>
        <w:footnoteReference w:id="138"/>
      </w:r>
      <w:r w:rsidR="00A70E3C" w:rsidRPr="00AC57EA">
        <w:rPr>
          <w:sz w:val="20"/>
          <w:szCs w:val="20"/>
          <w:lang w:val="en-US"/>
        </w:rPr>
        <w:t xml:space="preserve"> </w:t>
      </w:r>
      <w:r w:rsidR="00B5625C" w:rsidRPr="00AC57EA">
        <w:rPr>
          <w:sz w:val="20"/>
          <w:szCs w:val="20"/>
          <w:lang w:val="en-US"/>
        </w:rPr>
        <w:t xml:space="preserve"> </w:t>
      </w:r>
      <w:r w:rsidR="00A70E3C" w:rsidRPr="00AC57EA">
        <w:rPr>
          <w:sz w:val="20"/>
          <w:szCs w:val="20"/>
          <w:lang w:val="en-US"/>
        </w:rPr>
        <w:t xml:space="preserve">On July 11, 2003, the defense counsel asked the deputy judge – who had </w:t>
      </w:r>
      <w:r w:rsidR="00551CB1" w:rsidRPr="00AC57EA">
        <w:rPr>
          <w:sz w:val="20"/>
          <w:szCs w:val="20"/>
          <w:lang w:val="en-US"/>
        </w:rPr>
        <w:t>recused</w:t>
      </w:r>
      <w:r w:rsidR="00A70E3C" w:rsidRPr="00AC57EA">
        <w:rPr>
          <w:sz w:val="20"/>
          <w:szCs w:val="20"/>
          <w:lang w:val="en-US"/>
        </w:rPr>
        <w:t xml:space="preserve"> himself on a previous occasion (</w:t>
      </w:r>
      <w:r w:rsidR="00A70E3C" w:rsidRPr="00AC57EA">
        <w:rPr>
          <w:i/>
          <w:sz w:val="20"/>
          <w:szCs w:val="20"/>
          <w:lang w:val="en-US"/>
        </w:rPr>
        <w:t>supra</w:t>
      </w:r>
      <w:r w:rsidR="00A70E3C" w:rsidRPr="00AC57EA">
        <w:rPr>
          <w:sz w:val="20"/>
          <w:szCs w:val="20"/>
          <w:lang w:val="en-US"/>
        </w:rPr>
        <w:t xml:space="preserve"> para. 105) – to recuse himself from hearing the proceedings.</w:t>
      </w:r>
      <w:r w:rsidR="00B5625C" w:rsidRPr="00AC57EA">
        <w:rPr>
          <w:sz w:val="20"/>
          <w:szCs w:val="20"/>
          <w:vertAlign w:val="superscript"/>
          <w:lang w:val="en-US"/>
        </w:rPr>
        <w:footnoteReference w:id="139"/>
      </w:r>
      <w:r w:rsidR="00A70E3C" w:rsidRPr="00AC57EA">
        <w:rPr>
          <w:sz w:val="20"/>
          <w:szCs w:val="20"/>
          <w:lang w:val="en-US"/>
        </w:rPr>
        <w:t xml:space="preserve"> On August 12, 2003, the deputy judge indicated that the request for recusal was inadmissible.</w:t>
      </w:r>
      <w:r w:rsidR="00B5625C" w:rsidRPr="00AC57EA">
        <w:rPr>
          <w:sz w:val="20"/>
          <w:szCs w:val="20"/>
          <w:vertAlign w:val="superscript"/>
          <w:lang w:val="en-US"/>
        </w:rPr>
        <w:footnoteReference w:id="140"/>
      </w:r>
    </w:p>
    <w:p w14:paraId="5E01DA4A" w14:textId="77777777" w:rsidR="00B5625C" w:rsidRPr="00AC57EA" w:rsidRDefault="00B5625C" w:rsidP="00B5625C">
      <w:pPr>
        <w:tabs>
          <w:tab w:val="left" w:pos="567"/>
        </w:tabs>
        <w:spacing w:line="240" w:lineRule="auto"/>
        <w:rPr>
          <w:sz w:val="20"/>
          <w:szCs w:val="20"/>
          <w:lang w:val="en-US"/>
        </w:rPr>
      </w:pPr>
    </w:p>
    <w:p w14:paraId="08204245" w14:textId="03F5B520" w:rsidR="00B5625C" w:rsidRPr="00AC57EA" w:rsidRDefault="00A70E3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October 16</w:t>
      </w:r>
      <w:r w:rsidR="00B5625C" w:rsidRPr="00AC57EA">
        <w:rPr>
          <w:sz w:val="20"/>
          <w:szCs w:val="20"/>
          <w:vertAlign w:val="superscript"/>
          <w:lang w:val="en-US"/>
        </w:rPr>
        <w:footnoteReference w:id="141"/>
      </w:r>
      <w:r w:rsidR="00171E27" w:rsidRPr="00AC57EA">
        <w:rPr>
          <w:sz w:val="20"/>
          <w:szCs w:val="20"/>
          <w:lang w:val="en-US"/>
        </w:rPr>
        <w:t xml:space="preserve"> and </w:t>
      </w:r>
      <w:r w:rsidRPr="00AC57EA">
        <w:rPr>
          <w:sz w:val="20"/>
          <w:szCs w:val="20"/>
          <w:lang w:val="en-US"/>
        </w:rPr>
        <w:t>November 26,</w:t>
      </w:r>
      <w:r w:rsidR="00B5625C" w:rsidRPr="00AC57EA">
        <w:rPr>
          <w:sz w:val="20"/>
          <w:szCs w:val="20"/>
          <w:lang w:val="en-US"/>
        </w:rPr>
        <w:t xml:space="preserve"> 2003</w:t>
      </w:r>
      <w:r w:rsidRPr="00AC57EA">
        <w:rPr>
          <w:sz w:val="20"/>
          <w:szCs w:val="20"/>
          <w:lang w:val="en-US"/>
        </w:rPr>
        <w:t>,</w:t>
      </w:r>
      <w:r w:rsidR="00B5625C" w:rsidRPr="00AC57EA">
        <w:rPr>
          <w:sz w:val="20"/>
          <w:szCs w:val="20"/>
          <w:vertAlign w:val="superscript"/>
          <w:lang w:val="en-US"/>
        </w:rPr>
        <w:footnoteReference w:id="142"/>
      </w:r>
      <w:r w:rsidR="00B5625C" w:rsidRPr="00AC57EA">
        <w:rPr>
          <w:sz w:val="20"/>
          <w:szCs w:val="20"/>
          <w:lang w:val="en-US"/>
        </w:rPr>
        <w:t xml:space="preserve"> </w:t>
      </w:r>
      <w:r w:rsidRPr="00AC57EA">
        <w:rPr>
          <w:sz w:val="20"/>
          <w:szCs w:val="20"/>
          <w:lang w:val="en-US"/>
        </w:rPr>
        <w:t>V.P.C.’s lawyer sent briefs to the deputy judge requesting that he assume jurisdiction and thus avoid “delaying justice in these proceedings,” and that he process the appeal for the annulment of the verdict.</w:t>
      </w:r>
    </w:p>
    <w:p w14:paraId="589B0E6E" w14:textId="77777777" w:rsidR="00B5625C" w:rsidRPr="00AC57EA" w:rsidRDefault="00B5625C" w:rsidP="00B5625C">
      <w:pPr>
        <w:tabs>
          <w:tab w:val="left" w:pos="567"/>
        </w:tabs>
        <w:spacing w:line="240" w:lineRule="auto"/>
        <w:rPr>
          <w:sz w:val="20"/>
          <w:szCs w:val="20"/>
          <w:lang w:val="en-US"/>
        </w:rPr>
      </w:pPr>
    </w:p>
    <w:p w14:paraId="4F858919" w14:textId="3374411E" w:rsidR="00B5625C" w:rsidRPr="00AC57EA" w:rsidRDefault="00A70E3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However, on January 21, 2004, the proceedings were forwarded to be heard by the District Civil and Criminal Court</w:t>
      </w:r>
      <w:r w:rsidR="00B5625C" w:rsidRPr="00AC57EA">
        <w:rPr>
          <w:sz w:val="20"/>
          <w:szCs w:val="20"/>
          <w:lang w:val="en-US"/>
        </w:rPr>
        <w:t xml:space="preserve">. </w:t>
      </w:r>
      <w:r w:rsidRPr="00AC57EA">
        <w:rPr>
          <w:sz w:val="20"/>
          <w:szCs w:val="20"/>
          <w:lang w:val="en-US"/>
        </w:rPr>
        <w:t>On February 23,</w:t>
      </w:r>
      <w:r w:rsidR="00B5625C" w:rsidRPr="00AC57EA">
        <w:rPr>
          <w:sz w:val="20"/>
          <w:szCs w:val="20"/>
          <w:lang w:val="en-US"/>
        </w:rPr>
        <w:t xml:space="preserve"> 2004</w:t>
      </w:r>
      <w:r w:rsidRPr="00AC57EA">
        <w:rPr>
          <w:sz w:val="20"/>
          <w:szCs w:val="20"/>
          <w:lang w:val="en-US"/>
        </w:rPr>
        <w:t xml:space="preserve">, the judge of that court </w:t>
      </w:r>
      <w:r w:rsidR="00551CB1" w:rsidRPr="00AC57EA">
        <w:rPr>
          <w:sz w:val="20"/>
          <w:szCs w:val="20"/>
          <w:lang w:val="en-US"/>
        </w:rPr>
        <w:t>recused</w:t>
      </w:r>
      <w:r w:rsidRPr="00AC57EA">
        <w:rPr>
          <w:sz w:val="20"/>
          <w:szCs w:val="20"/>
          <w:lang w:val="en-US"/>
        </w:rPr>
        <w:t xml:space="preserve"> himself “without any reason” from hearing the case and forwarded it to the</w:t>
      </w:r>
      <w:r w:rsidR="00CB0579" w:rsidRPr="00AC57EA">
        <w:rPr>
          <w:sz w:val="20"/>
          <w:szCs w:val="20"/>
          <w:lang w:val="en-US"/>
        </w:rPr>
        <w:t xml:space="preserve"> Alternate District Civil Court</w:t>
      </w:r>
      <w:r w:rsidR="00B5625C" w:rsidRPr="00AC57EA">
        <w:rPr>
          <w:sz w:val="20"/>
          <w:szCs w:val="20"/>
          <w:lang w:val="en-US"/>
        </w:rPr>
        <w:t xml:space="preserve">. </w:t>
      </w:r>
      <w:r w:rsidR="00CB0579" w:rsidRPr="00AC57EA">
        <w:rPr>
          <w:sz w:val="20"/>
          <w:szCs w:val="20"/>
          <w:lang w:val="en-US"/>
        </w:rPr>
        <w:t xml:space="preserve">The latter also </w:t>
      </w:r>
      <w:r w:rsidR="00551CB1" w:rsidRPr="00AC57EA">
        <w:rPr>
          <w:sz w:val="20"/>
          <w:szCs w:val="20"/>
          <w:lang w:val="en-US"/>
        </w:rPr>
        <w:t>recused</w:t>
      </w:r>
      <w:r w:rsidR="00CB0579" w:rsidRPr="00AC57EA">
        <w:rPr>
          <w:sz w:val="20"/>
          <w:szCs w:val="20"/>
          <w:lang w:val="en-US"/>
        </w:rPr>
        <w:t xml:space="preserve"> itself from intervening on March 1, 2004, and forwarded the proceedings to the Jinotega District C</w:t>
      </w:r>
      <w:r w:rsidR="00187988" w:rsidRPr="00AC57EA">
        <w:rPr>
          <w:sz w:val="20"/>
          <w:szCs w:val="20"/>
          <w:lang w:val="en-US"/>
        </w:rPr>
        <w:t>riminal</w:t>
      </w:r>
      <w:r w:rsidR="00CB0579" w:rsidRPr="00AC57EA">
        <w:rPr>
          <w:sz w:val="20"/>
          <w:szCs w:val="20"/>
          <w:lang w:val="en-US"/>
        </w:rPr>
        <w:t xml:space="preserve"> Court.</w:t>
      </w:r>
      <w:r w:rsidR="00B5625C" w:rsidRPr="00AC57EA">
        <w:rPr>
          <w:sz w:val="20"/>
          <w:szCs w:val="20"/>
          <w:vertAlign w:val="superscript"/>
          <w:lang w:val="en-US"/>
        </w:rPr>
        <w:footnoteReference w:id="143"/>
      </w:r>
    </w:p>
    <w:p w14:paraId="50E95694" w14:textId="77777777" w:rsidR="00B5625C" w:rsidRPr="00AC57EA" w:rsidRDefault="00B5625C" w:rsidP="00B5625C">
      <w:pPr>
        <w:tabs>
          <w:tab w:val="left" w:pos="567"/>
        </w:tabs>
        <w:spacing w:line="240" w:lineRule="auto"/>
        <w:rPr>
          <w:sz w:val="20"/>
          <w:szCs w:val="20"/>
          <w:lang w:val="en-US"/>
        </w:rPr>
      </w:pPr>
    </w:p>
    <w:p w14:paraId="22AB4515" w14:textId="694231DA" w:rsidR="00B5625C" w:rsidRPr="00AC57EA" w:rsidRDefault="00CB0579"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Septemb</w:t>
      </w:r>
      <w:r w:rsidR="00187988" w:rsidRPr="00AC57EA">
        <w:rPr>
          <w:sz w:val="20"/>
          <w:szCs w:val="20"/>
          <w:lang w:val="en-US"/>
        </w:rPr>
        <w:t>e</w:t>
      </w:r>
      <w:r w:rsidRPr="00AC57EA">
        <w:rPr>
          <w:sz w:val="20"/>
          <w:szCs w:val="20"/>
          <w:lang w:val="en-US"/>
        </w:rPr>
        <w:t>r 23,</w:t>
      </w:r>
      <w:r w:rsidR="00B5625C" w:rsidRPr="00AC57EA">
        <w:rPr>
          <w:sz w:val="20"/>
          <w:szCs w:val="20"/>
          <w:lang w:val="en-US"/>
        </w:rPr>
        <w:t xml:space="preserve"> 2004</w:t>
      </w:r>
      <w:r w:rsidRPr="00AC57EA">
        <w:rPr>
          <w:sz w:val="20"/>
          <w:szCs w:val="20"/>
          <w:lang w:val="en-US"/>
        </w:rPr>
        <w:t>,</w:t>
      </w:r>
      <w:r w:rsidR="00B5625C" w:rsidRPr="00AC57EA">
        <w:rPr>
          <w:sz w:val="20"/>
          <w:szCs w:val="20"/>
          <w:lang w:val="en-US"/>
        </w:rPr>
        <w:t xml:space="preserve"> V.P.C. </w:t>
      </w:r>
      <w:r w:rsidR="00187988" w:rsidRPr="00AC57EA">
        <w:rPr>
          <w:sz w:val="20"/>
          <w:szCs w:val="20"/>
          <w:lang w:val="en-US"/>
        </w:rPr>
        <w:t>submitted a petition to the President of</w:t>
      </w:r>
      <w:r w:rsidR="00B7258C" w:rsidRPr="00AC57EA">
        <w:rPr>
          <w:sz w:val="20"/>
          <w:szCs w:val="20"/>
          <w:lang w:val="en-US"/>
        </w:rPr>
        <w:t xml:space="preserve"> </w:t>
      </w:r>
      <w:r w:rsidR="000E74DA" w:rsidRPr="00AC57EA">
        <w:rPr>
          <w:sz w:val="20"/>
          <w:szCs w:val="20"/>
          <w:lang w:val="en-US"/>
        </w:rPr>
        <w:t>the Supreme Court of Justice</w:t>
      </w:r>
      <w:r w:rsidR="00B5625C" w:rsidRPr="00AC57EA">
        <w:rPr>
          <w:sz w:val="20"/>
          <w:szCs w:val="20"/>
          <w:lang w:val="en-US"/>
        </w:rPr>
        <w:t xml:space="preserve"> </w:t>
      </w:r>
      <w:r w:rsidR="00187988" w:rsidRPr="00AC57EA">
        <w:rPr>
          <w:sz w:val="20"/>
          <w:szCs w:val="20"/>
          <w:lang w:val="en-US"/>
        </w:rPr>
        <w:t>questioning the delay in the proceedings and requesting that the case be expedited.</w:t>
      </w:r>
      <w:r w:rsidR="00B5625C" w:rsidRPr="00AC57EA">
        <w:rPr>
          <w:sz w:val="20"/>
          <w:szCs w:val="20"/>
          <w:vertAlign w:val="superscript"/>
          <w:lang w:val="en-US"/>
        </w:rPr>
        <w:footnoteReference w:id="144"/>
      </w:r>
      <w:r w:rsidR="00187988" w:rsidRPr="00AC57EA">
        <w:rPr>
          <w:sz w:val="20"/>
          <w:szCs w:val="20"/>
          <w:lang w:val="en-US"/>
        </w:rPr>
        <w:t xml:space="preserve"> On October 4, 2004, </w:t>
      </w:r>
      <w:r w:rsidR="00B5625C" w:rsidRPr="00AC57EA">
        <w:rPr>
          <w:sz w:val="20"/>
          <w:szCs w:val="20"/>
          <w:lang w:val="en-US"/>
        </w:rPr>
        <w:t xml:space="preserve">V.P.C. </w:t>
      </w:r>
      <w:r w:rsidR="00187988" w:rsidRPr="00AC57EA">
        <w:rPr>
          <w:sz w:val="20"/>
          <w:szCs w:val="20"/>
          <w:lang w:val="en-US"/>
        </w:rPr>
        <w:t>submitted another petition to</w:t>
      </w:r>
      <w:r w:rsidR="00B5625C" w:rsidRPr="00AC57EA">
        <w:rPr>
          <w:sz w:val="20"/>
          <w:szCs w:val="20"/>
          <w:lang w:val="en-US"/>
        </w:rPr>
        <w:t xml:space="preserve"> </w:t>
      </w:r>
      <w:r w:rsidR="000E74DA" w:rsidRPr="00AC57EA">
        <w:rPr>
          <w:sz w:val="20"/>
          <w:szCs w:val="20"/>
          <w:lang w:val="en-US"/>
        </w:rPr>
        <w:t>the Supreme Court of Justice</w:t>
      </w:r>
      <w:r w:rsidR="00B5625C" w:rsidRPr="00AC57EA">
        <w:rPr>
          <w:sz w:val="20"/>
          <w:szCs w:val="20"/>
          <w:lang w:val="en-US"/>
        </w:rPr>
        <w:t xml:space="preserve"> </w:t>
      </w:r>
      <w:r w:rsidR="00187988" w:rsidRPr="00AC57EA">
        <w:rPr>
          <w:sz w:val="20"/>
          <w:szCs w:val="20"/>
          <w:lang w:val="en-US"/>
        </w:rPr>
        <w:t>owing to the delay in justice.</w:t>
      </w:r>
      <w:r w:rsidR="00B5625C" w:rsidRPr="00AC57EA">
        <w:rPr>
          <w:sz w:val="20"/>
          <w:szCs w:val="20"/>
          <w:vertAlign w:val="superscript"/>
          <w:lang w:val="en-US"/>
        </w:rPr>
        <w:footnoteReference w:id="145"/>
      </w:r>
      <w:r w:rsidR="00B5625C" w:rsidRPr="00AC57EA">
        <w:rPr>
          <w:sz w:val="20"/>
          <w:szCs w:val="20"/>
          <w:lang w:val="en-US"/>
        </w:rPr>
        <w:t xml:space="preserve"> </w:t>
      </w:r>
      <w:r w:rsidR="00187988" w:rsidRPr="00AC57EA">
        <w:rPr>
          <w:sz w:val="20"/>
          <w:szCs w:val="20"/>
          <w:lang w:val="en-US"/>
        </w:rPr>
        <w:t>On November</w:t>
      </w:r>
      <w:r w:rsidR="00B5625C" w:rsidRPr="00AC57EA">
        <w:rPr>
          <w:sz w:val="20"/>
          <w:szCs w:val="20"/>
          <w:lang w:val="en-US"/>
        </w:rPr>
        <w:t xml:space="preserve"> 9</w:t>
      </w:r>
      <w:r w:rsidR="00171E27" w:rsidRPr="00AC57EA">
        <w:rPr>
          <w:sz w:val="20"/>
          <w:szCs w:val="20"/>
          <w:lang w:val="en-US"/>
        </w:rPr>
        <w:t xml:space="preserve"> and </w:t>
      </w:r>
      <w:r w:rsidR="00B5625C" w:rsidRPr="00AC57EA">
        <w:rPr>
          <w:sz w:val="20"/>
          <w:szCs w:val="20"/>
          <w:lang w:val="en-US"/>
        </w:rPr>
        <w:t>30</w:t>
      </w:r>
      <w:r w:rsidR="00187988" w:rsidRPr="00AC57EA">
        <w:rPr>
          <w:sz w:val="20"/>
          <w:szCs w:val="20"/>
          <w:lang w:val="en-US"/>
        </w:rPr>
        <w:t xml:space="preserve">, </w:t>
      </w:r>
      <w:r w:rsidR="00B5625C" w:rsidRPr="00AC57EA">
        <w:rPr>
          <w:sz w:val="20"/>
          <w:szCs w:val="20"/>
          <w:lang w:val="en-US"/>
        </w:rPr>
        <w:t>2004</w:t>
      </w:r>
      <w:r w:rsidR="00187988" w:rsidRPr="00AC57EA">
        <w:rPr>
          <w:sz w:val="20"/>
          <w:szCs w:val="20"/>
          <w:lang w:val="en-US"/>
        </w:rPr>
        <w:t xml:space="preserve">, </w:t>
      </w:r>
      <w:r w:rsidR="00B5625C" w:rsidRPr="00AC57EA">
        <w:rPr>
          <w:sz w:val="20"/>
          <w:szCs w:val="20"/>
          <w:lang w:val="en-US"/>
        </w:rPr>
        <w:t xml:space="preserve">V.P.C. </w:t>
      </w:r>
      <w:r w:rsidR="00187988" w:rsidRPr="00AC57EA">
        <w:rPr>
          <w:sz w:val="20"/>
          <w:szCs w:val="20"/>
          <w:lang w:val="en-US"/>
        </w:rPr>
        <w:t>filed briefs with the District Criminal Court in which she stated that 23 months had passed since the Appellate Court had ruled without any movement in the proceedings and, thus, a situation existed “of delay in obtaining justice.</w:t>
      </w:r>
      <w:r w:rsidR="00B5625C" w:rsidRPr="00AC57EA">
        <w:rPr>
          <w:sz w:val="20"/>
          <w:szCs w:val="20"/>
          <w:lang w:val="en-US"/>
        </w:rPr>
        <w:t>”</w:t>
      </w:r>
      <w:r w:rsidR="00B5625C" w:rsidRPr="00AC57EA">
        <w:rPr>
          <w:sz w:val="20"/>
          <w:szCs w:val="20"/>
          <w:vertAlign w:val="superscript"/>
          <w:lang w:val="en-US"/>
        </w:rPr>
        <w:footnoteReference w:id="146"/>
      </w:r>
    </w:p>
    <w:p w14:paraId="1F85FDE3" w14:textId="77777777" w:rsidR="00B5625C" w:rsidRPr="00AC57EA" w:rsidRDefault="00B5625C" w:rsidP="00B5625C">
      <w:pPr>
        <w:tabs>
          <w:tab w:val="left" w:pos="567"/>
        </w:tabs>
        <w:spacing w:line="240" w:lineRule="auto"/>
        <w:rPr>
          <w:sz w:val="20"/>
          <w:szCs w:val="20"/>
          <w:lang w:val="en-US"/>
        </w:rPr>
      </w:pPr>
    </w:p>
    <w:p w14:paraId="7269BD56" w14:textId="416ED1AB" w:rsidR="00B5625C" w:rsidRPr="00AC57EA" w:rsidRDefault="00B5625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Final</w:t>
      </w:r>
      <w:r w:rsidR="00240827" w:rsidRPr="00AC57EA">
        <w:rPr>
          <w:sz w:val="20"/>
          <w:szCs w:val="20"/>
          <w:lang w:val="en-US"/>
        </w:rPr>
        <w:t>ly</w:t>
      </w:r>
      <w:r w:rsidRPr="00AC57EA">
        <w:rPr>
          <w:sz w:val="20"/>
          <w:szCs w:val="20"/>
          <w:lang w:val="en-US"/>
        </w:rPr>
        <w:t xml:space="preserve">, </w:t>
      </w:r>
      <w:r w:rsidR="00070909" w:rsidRPr="00AC57EA">
        <w:rPr>
          <w:sz w:val="20"/>
          <w:szCs w:val="20"/>
          <w:lang w:val="en-US"/>
        </w:rPr>
        <w:t>on January 13,</w:t>
      </w:r>
      <w:r w:rsidRPr="00AC57EA">
        <w:rPr>
          <w:sz w:val="20"/>
          <w:szCs w:val="20"/>
          <w:lang w:val="en-US"/>
        </w:rPr>
        <w:t xml:space="preserve"> 2005</w:t>
      </w:r>
      <w:r w:rsidR="00240827" w:rsidRPr="00AC57EA">
        <w:rPr>
          <w:sz w:val="20"/>
          <w:szCs w:val="20"/>
          <w:lang w:val="en-US"/>
        </w:rPr>
        <w:t>,</w:t>
      </w:r>
      <w:r w:rsidRPr="00AC57EA">
        <w:rPr>
          <w:sz w:val="20"/>
          <w:szCs w:val="20"/>
          <w:lang w:val="en-US"/>
        </w:rPr>
        <w:t xml:space="preserve"> </w:t>
      </w:r>
      <w:r w:rsidR="008B4A2A" w:rsidRPr="00AC57EA">
        <w:rPr>
          <w:sz w:val="20"/>
          <w:szCs w:val="20"/>
          <w:lang w:val="en-US"/>
        </w:rPr>
        <w:t xml:space="preserve">the District Criminal </w:t>
      </w:r>
      <w:r w:rsidR="00240827" w:rsidRPr="00AC57EA">
        <w:rPr>
          <w:sz w:val="20"/>
          <w:szCs w:val="20"/>
          <w:lang w:val="en-US"/>
        </w:rPr>
        <w:t xml:space="preserve">Trial </w:t>
      </w:r>
      <w:r w:rsidR="008B4A2A" w:rsidRPr="00AC57EA">
        <w:rPr>
          <w:sz w:val="20"/>
          <w:szCs w:val="20"/>
          <w:lang w:val="en-US"/>
        </w:rPr>
        <w:t>Court</w:t>
      </w:r>
      <w:r w:rsidRPr="00AC57EA">
        <w:rPr>
          <w:sz w:val="20"/>
          <w:szCs w:val="20"/>
          <w:lang w:val="en-US"/>
        </w:rPr>
        <w:t xml:space="preserve"> </w:t>
      </w:r>
      <w:r w:rsidR="00240827" w:rsidRPr="00AC57EA">
        <w:rPr>
          <w:sz w:val="20"/>
          <w:szCs w:val="20"/>
          <w:lang w:val="en-US"/>
        </w:rPr>
        <w:t>assumed jurisdiction and competence to process the case and ordered the opening of the evidentiary stage of the appeal for annulment of the verdict.</w:t>
      </w:r>
      <w:r w:rsidRPr="00AC57EA">
        <w:rPr>
          <w:sz w:val="20"/>
          <w:szCs w:val="20"/>
          <w:vertAlign w:val="superscript"/>
          <w:lang w:val="en-US"/>
        </w:rPr>
        <w:footnoteReference w:id="147"/>
      </w:r>
    </w:p>
    <w:p w14:paraId="5D917E35" w14:textId="77777777" w:rsidR="00B5625C" w:rsidRPr="00AC57EA" w:rsidRDefault="00B5625C" w:rsidP="00B5625C">
      <w:pPr>
        <w:spacing w:line="240" w:lineRule="auto"/>
        <w:rPr>
          <w:sz w:val="20"/>
          <w:szCs w:val="20"/>
          <w:lang w:val="en-US"/>
        </w:rPr>
      </w:pPr>
    </w:p>
    <w:p w14:paraId="31A39BBC" w14:textId="6E2ED6DF" w:rsidR="00B5625C" w:rsidRPr="00AC57EA" w:rsidRDefault="00240827" w:rsidP="00053DB6">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In this context</w:t>
      </w:r>
      <w:r w:rsidR="00B5625C" w:rsidRPr="00AC57EA">
        <w:rPr>
          <w:sz w:val="20"/>
          <w:szCs w:val="20"/>
          <w:lang w:val="en-US"/>
        </w:rPr>
        <w:t xml:space="preserve">, </w:t>
      </w:r>
      <w:r w:rsidR="00053DB6" w:rsidRPr="00AC57EA">
        <w:rPr>
          <w:sz w:val="20"/>
          <w:szCs w:val="20"/>
          <w:lang w:val="en-US"/>
        </w:rPr>
        <w:t>on February 4,</w:t>
      </w:r>
      <w:r w:rsidR="00B5625C" w:rsidRPr="00AC57EA">
        <w:rPr>
          <w:sz w:val="20"/>
          <w:szCs w:val="20"/>
          <w:lang w:val="en-US"/>
        </w:rPr>
        <w:t xml:space="preserve"> 2005</w:t>
      </w:r>
      <w:r w:rsidR="00053DB6" w:rsidRPr="00AC57EA">
        <w:rPr>
          <w:sz w:val="20"/>
          <w:szCs w:val="20"/>
          <w:lang w:val="en-US"/>
        </w:rPr>
        <w:t xml:space="preserve">, a visual inspection was conducted. During this procedure, it was </w:t>
      </w:r>
      <w:r w:rsidR="00551CB1" w:rsidRPr="00AC57EA">
        <w:rPr>
          <w:sz w:val="20"/>
          <w:szCs w:val="20"/>
          <w:lang w:val="en-US"/>
        </w:rPr>
        <w:t xml:space="preserve">recorded </w:t>
      </w:r>
      <w:r w:rsidR="00053DB6" w:rsidRPr="00AC57EA">
        <w:rPr>
          <w:sz w:val="20"/>
          <w:szCs w:val="20"/>
          <w:lang w:val="en-US"/>
        </w:rPr>
        <w:t xml:space="preserve">that </w:t>
      </w:r>
      <w:r w:rsidR="00B5625C" w:rsidRPr="00AC57EA">
        <w:rPr>
          <w:sz w:val="20"/>
          <w:szCs w:val="20"/>
          <w:lang w:val="en-US"/>
        </w:rPr>
        <w:t xml:space="preserve">“[…] </w:t>
      </w:r>
      <w:r w:rsidR="00053DB6" w:rsidRPr="00AC57EA">
        <w:rPr>
          <w:sz w:val="20"/>
          <w:szCs w:val="20"/>
          <w:lang w:val="en-US"/>
        </w:rPr>
        <w:t>the judge and the parties reviewed the court file and it was corroborated that it contained no pink handwritten document</w:t>
      </w:r>
      <w:r w:rsidR="00B5625C" w:rsidRPr="00AC57EA">
        <w:rPr>
          <w:sz w:val="20"/>
          <w:szCs w:val="20"/>
          <w:lang w:val="en-US"/>
        </w:rPr>
        <w:t xml:space="preserve"> […]</w:t>
      </w:r>
      <w:r w:rsidR="00053DB6" w:rsidRPr="00AC57EA">
        <w:rPr>
          <w:sz w:val="20"/>
          <w:szCs w:val="20"/>
          <w:lang w:val="en-US"/>
        </w:rPr>
        <w:t>.</w:t>
      </w:r>
      <w:r w:rsidR="00B5625C" w:rsidRPr="00AC57EA">
        <w:rPr>
          <w:sz w:val="20"/>
          <w:szCs w:val="20"/>
          <w:lang w:val="en-US"/>
        </w:rPr>
        <w:t>”</w:t>
      </w:r>
      <w:r w:rsidR="00B5625C" w:rsidRPr="00AC57EA">
        <w:rPr>
          <w:sz w:val="20"/>
          <w:szCs w:val="20"/>
          <w:vertAlign w:val="superscript"/>
          <w:lang w:val="en-US"/>
        </w:rPr>
        <w:footnoteReference w:id="148"/>
      </w:r>
    </w:p>
    <w:p w14:paraId="6C9A4506" w14:textId="77777777" w:rsidR="00B5625C" w:rsidRPr="00AC57EA" w:rsidRDefault="00B5625C" w:rsidP="00B5625C">
      <w:pPr>
        <w:spacing w:line="240" w:lineRule="auto"/>
        <w:rPr>
          <w:sz w:val="20"/>
          <w:szCs w:val="20"/>
          <w:lang w:val="en-US"/>
        </w:rPr>
      </w:pPr>
    </w:p>
    <w:p w14:paraId="7556ED30" w14:textId="7FE13528" w:rsidR="00B5625C" w:rsidRPr="00AC57EA" w:rsidRDefault="00053DB6"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In addition, a visual inspection was made of the video of February 9, </w:t>
      </w:r>
      <w:r w:rsidR="00B5625C" w:rsidRPr="00AC57EA">
        <w:rPr>
          <w:sz w:val="20"/>
          <w:szCs w:val="20"/>
          <w:lang w:val="en-US"/>
        </w:rPr>
        <w:t xml:space="preserve">2005. </w:t>
      </w:r>
      <w:r w:rsidRPr="00AC57EA">
        <w:rPr>
          <w:sz w:val="20"/>
          <w:szCs w:val="20"/>
          <w:lang w:val="en-US"/>
        </w:rPr>
        <w:t xml:space="preserve">The record of this procedure </w:t>
      </w:r>
      <w:r w:rsidR="004638AE" w:rsidRPr="00AC57EA">
        <w:rPr>
          <w:sz w:val="20"/>
          <w:szCs w:val="20"/>
          <w:lang w:val="en-US"/>
        </w:rPr>
        <w:t xml:space="preserve">indicates </w:t>
      </w:r>
      <w:r w:rsidRPr="00AC57EA">
        <w:rPr>
          <w:sz w:val="20"/>
          <w:szCs w:val="20"/>
          <w:lang w:val="en-US"/>
        </w:rPr>
        <w:t xml:space="preserve">that: </w:t>
      </w:r>
    </w:p>
    <w:p w14:paraId="22D64DF0" w14:textId="77777777" w:rsidR="00B5625C" w:rsidRPr="00AC57EA" w:rsidRDefault="00B5625C" w:rsidP="00B5625C">
      <w:pPr>
        <w:spacing w:line="240" w:lineRule="auto"/>
        <w:rPr>
          <w:sz w:val="20"/>
          <w:szCs w:val="20"/>
          <w:lang w:val="en-US"/>
        </w:rPr>
      </w:pPr>
    </w:p>
    <w:p w14:paraId="1278C1A3" w14:textId="370E01D2" w:rsidR="00B5625C" w:rsidRPr="00AC57EA" w:rsidRDefault="00B5625C" w:rsidP="00B5625C">
      <w:pPr>
        <w:spacing w:line="240" w:lineRule="auto"/>
        <w:ind w:left="567" w:right="567"/>
        <w:rPr>
          <w:sz w:val="16"/>
          <w:szCs w:val="16"/>
          <w:lang w:val="en-US"/>
        </w:rPr>
      </w:pPr>
      <w:r w:rsidRPr="00AC57EA">
        <w:rPr>
          <w:sz w:val="16"/>
          <w:szCs w:val="16"/>
          <w:lang w:val="en-US"/>
        </w:rPr>
        <w:t xml:space="preserve">[…] </w:t>
      </w:r>
      <w:r w:rsidR="00053DB6" w:rsidRPr="00AC57EA">
        <w:rPr>
          <w:sz w:val="16"/>
          <w:szCs w:val="16"/>
          <w:lang w:val="en-US"/>
        </w:rPr>
        <w:t>the</w:t>
      </w:r>
      <w:r w:rsidRPr="00AC57EA">
        <w:rPr>
          <w:sz w:val="16"/>
          <w:szCs w:val="16"/>
          <w:lang w:val="en-US"/>
        </w:rPr>
        <w:t xml:space="preserve"> [</w:t>
      </w:r>
      <w:r w:rsidR="00053DB6" w:rsidRPr="00AC57EA">
        <w:rPr>
          <w:sz w:val="16"/>
          <w:szCs w:val="16"/>
          <w:lang w:val="en-US"/>
        </w:rPr>
        <w:t>defense lawyer</w:t>
      </w:r>
      <w:r w:rsidRPr="00AC57EA">
        <w:rPr>
          <w:sz w:val="16"/>
          <w:szCs w:val="16"/>
          <w:lang w:val="en-US"/>
        </w:rPr>
        <w:t>] to</w:t>
      </w:r>
      <w:r w:rsidR="00053DB6" w:rsidRPr="00AC57EA">
        <w:rPr>
          <w:sz w:val="16"/>
          <w:szCs w:val="16"/>
          <w:lang w:val="en-US"/>
        </w:rPr>
        <w:t xml:space="preserve">ok a silver bag and handed it to her, in the presence of the other members of the jury and of the parties present, the </w:t>
      </w:r>
      <w:r w:rsidR="00E01CC2" w:rsidRPr="00AC57EA">
        <w:rPr>
          <w:sz w:val="16"/>
          <w:szCs w:val="16"/>
          <w:lang w:val="en-US"/>
        </w:rPr>
        <w:t>j</w:t>
      </w:r>
      <w:r w:rsidR="00053DB6" w:rsidRPr="00AC57EA">
        <w:rPr>
          <w:sz w:val="16"/>
          <w:szCs w:val="16"/>
          <w:lang w:val="en-US"/>
        </w:rPr>
        <w:t>udge</w:t>
      </w:r>
      <w:r w:rsidR="00551CB1" w:rsidRPr="00AC57EA">
        <w:rPr>
          <w:sz w:val="16"/>
          <w:szCs w:val="16"/>
          <w:lang w:val="en-US"/>
        </w:rPr>
        <w:t xml:space="preserve"> of law</w:t>
      </w:r>
      <w:r w:rsidR="00053DB6" w:rsidRPr="00AC57EA">
        <w:rPr>
          <w:sz w:val="16"/>
          <w:szCs w:val="16"/>
          <w:lang w:val="en-US"/>
        </w:rPr>
        <w:t xml:space="preserve"> placed it</w:t>
      </w:r>
      <w:r w:rsidR="002A01B7" w:rsidRPr="00AC57EA">
        <w:rPr>
          <w:sz w:val="16"/>
          <w:szCs w:val="16"/>
          <w:lang w:val="en-US"/>
        </w:rPr>
        <w:t xml:space="preserve"> </w:t>
      </w:r>
      <w:r w:rsidR="00053DB6" w:rsidRPr="00AC57EA">
        <w:rPr>
          <w:sz w:val="16"/>
          <w:szCs w:val="16"/>
          <w:lang w:val="en-US"/>
        </w:rPr>
        <w:t xml:space="preserve">on her left side, and opened it in the sight of the  </w:t>
      </w:r>
      <w:r w:rsidRPr="00AC57EA">
        <w:rPr>
          <w:sz w:val="16"/>
          <w:szCs w:val="16"/>
          <w:lang w:val="en-US"/>
        </w:rPr>
        <w:t>[</w:t>
      </w:r>
      <w:r w:rsidR="00B7258C" w:rsidRPr="00AC57EA">
        <w:rPr>
          <w:sz w:val="16"/>
          <w:szCs w:val="16"/>
          <w:lang w:val="en-US"/>
        </w:rPr>
        <w:t>Secretary</w:t>
      </w:r>
      <w:r w:rsidRPr="00AC57EA">
        <w:rPr>
          <w:sz w:val="16"/>
          <w:szCs w:val="16"/>
          <w:lang w:val="en-US"/>
        </w:rPr>
        <w:t>].</w:t>
      </w:r>
    </w:p>
    <w:p w14:paraId="3DA94EB3" w14:textId="77777777" w:rsidR="00B5625C" w:rsidRPr="00AC57EA" w:rsidRDefault="00B5625C" w:rsidP="00B5625C">
      <w:pPr>
        <w:spacing w:line="240" w:lineRule="auto"/>
        <w:ind w:left="567" w:right="567"/>
        <w:rPr>
          <w:sz w:val="16"/>
          <w:szCs w:val="16"/>
          <w:lang w:val="en-US"/>
        </w:rPr>
      </w:pPr>
    </w:p>
    <w:p w14:paraId="233D039E" w14:textId="3DCBBDEA" w:rsidR="00B5625C" w:rsidRPr="00AC57EA" w:rsidRDefault="00B5625C" w:rsidP="00C173D4">
      <w:pPr>
        <w:tabs>
          <w:tab w:val="left" w:pos="9513"/>
        </w:tabs>
        <w:spacing w:line="240" w:lineRule="auto"/>
        <w:ind w:left="567" w:right="567"/>
        <w:rPr>
          <w:sz w:val="16"/>
          <w:szCs w:val="16"/>
          <w:lang w:val="en-US"/>
        </w:rPr>
      </w:pPr>
      <w:r w:rsidRPr="00AC57EA">
        <w:rPr>
          <w:sz w:val="16"/>
          <w:szCs w:val="16"/>
          <w:lang w:val="en-US"/>
        </w:rPr>
        <w:t xml:space="preserve">[…] </w:t>
      </w:r>
      <w:r w:rsidR="00053DB6" w:rsidRPr="00AC57EA">
        <w:rPr>
          <w:sz w:val="16"/>
          <w:szCs w:val="16"/>
          <w:lang w:val="en-US"/>
        </w:rPr>
        <w:t xml:space="preserve">it can be seen that the defense lawyer […] one of the sheets of paper that he is holding, one of them, is pink; the video is turned back to </w:t>
      </w:r>
      <w:r w:rsidR="0050785B" w:rsidRPr="00AC57EA">
        <w:rPr>
          <w:sz w:val="16"/>
          <w:szCs w:val="16"/>
          <w:lang w:val="en-US"/>
        </w:rPr>
        <w:t>review the scene</w:t>
      </w:r>
      <w:r w:rsidR="00053DB6" w:rsidRPr="00AC57EA">
        <w:rPr>
          <w:sz w:val="16"/>
          <w:szCs w:val="16"/>
          <w:lang w:val="en-US"/>
        </w:rPr>
        <w:t xml:space="preserve"> and it is verified that, indeed, it is pink; in this regard, the [defense lawyer] intervene</w:t>
      </w:r>
      <w:r w:rsidR="0050785B" w:rsidRPr="00AC57EA">
        <w:rPr>
          <w:sz w:val="16"/>
          <w:szCs w:val="16"/>
          <w:lang w:val="en-US"/>
        </w:rPr>
        <w:t>d</w:t>
      </w:r>
      <w:r w:rsidR="00053DB6" w:rsidRPr="00AC57EA">
        <w:rPr>
          <w:sz w:val="16"/>
          <w:szCs w:val="16"/>
          <w:lang w:val="en-US"/>
        </w:rPr>
        <w:t xml:space="preserve"> and sa</w:t>
      </w:r>
      <w:r w:rsidR="0050785B" w:rsidRPr="00AC57EA">
        <w:rPr>
          <w:sz w:val="16"/>
          <w:szCs w:val="16"/>
          <w:lang w:val="en-US"/>
        </w:rPr>
        <w:t>id</w:t>
      </w:r>
      <w:r w:rsidR="00053DB6" w:rsidRPr="00AC57EA">
        <w:rPr>
          <w:sz w:val="16"/>
          <w:szCs w:val="16"/>
          <w:lang w:val="en-US"/>
        </w:rPr>
        <w:t xml:space="preserve">: That the public defender stated that his client wishes you to receive this letter and he shows the letter and it is pink; he gives it to the judge and says; PLEASE READ IT </w:t>
      </w:r>
      <w:r w:rsidR="0050785B" w:rsidRPr="00AC57EA">
        <w:rPr>
          <w:sz w:val="16"/>
          <w:szCs w:val="16"/>
          <w:lang w:val="en-US"/>
        </w:rPr>
        <w:t>AT</w:t>
      </w:r>
      <w:r w:rsidR="00053DB6" w:rsidRPr="00AC57EA">
        <w:rPr>
          <w:sz w:val="16"/>
          <w:szCs w:val="16"/>
          <w:lang w:val="en-US"/>
        </w:rPr>
        <w:t xml:space="preserve"> YOUR PRIVATE SESSION; </w:t>
      </w:r>
      <w:r w:rsidR="0050785B" w:rsidRPr="00AC57EA">
        <w:rPr>
          <w:sz w:val="16"/>
          <w:szCs w:val="16"/>
          <w:lang w:val="en-US"/>
        </w:rPr>
        <w:t>in the instant procedure,</w:t>
      </w:r>
      <w:r w:rsidR="00053DB6" w:rsidRPr="00AC57EA">
        <w:rPr>
          <w:sz w:val="16"/>
          <w:szCs w:val="16"/>
          <w:lang w:val="en-US"/>
        </w:rPr>
        <w:t xml:space="preserve"> the [defense lawyer] says that he wants it to be placed on record that the letter was handed over openly without an envelope and it was given to the members of the jury in the presence of everyone; in the instant procedure, the [plaintiff’s lawyer] says, but that letter was not read out publicly, because we have just heard that the recommendation was to read it in private session; it can be seen that there are two sheets of pink paper and the president of the jury has them</w:t>
      </w:r>
      <w:r w:rsidR="0050785B" w:rsidRPr="00AC57EA">
        <w:rPr>
          <w:sz w:val="16"/>
          <w:szCs w:val="16"/>
          <w:lang w:val="en-US"/>
        </w:rPr>
        <w:t xml:space="preserve"> </w:t>
      </w:r>
      <w:r w:rsidRPr="00AC57EA">
        <w:rPr>
          <w:sz w:val="16"/>
          <w:szCs w:val="16"/>
          <w:lang w:val="en-US"/>
        </w:rPr>
        <w:t>[</w:t>
      </w:r>
      <w:r w:rsidR="0050785B" w:rsidRPr="00AC57EA">
        <w:rPr>
          <w:sz w:val="16"/>
          <w:szCs w:val="16"/>
          <w:lang w:val="en-US"/>
        </w:rPr>
        <w:t>…</w:t>
      </w:r>
      <w:r w:rsidRPr="00AC57EA">
        <w:rPr>
          <w:sz w:val="16"/>
          <w:szCs w:val="16"/>
          <w:lang w:val="en-US"/>
        </w:rPr>
        <w:t>]</w:t>
      </w:r>
      <w:r w:rsidR="0050785B" w:rsidRPr="00AC57EA">
        <w:rPr>
          <w:sz w:val="16"/>
          <w:szCs w:val="16"/>
          <w:lang w:val="en-US"/>
        </w:rPr>
        <w:t>.</w:t>
      </w:r>
      <w:r w:rsidRPr="00AC57EA">
        <w:rPr>
          <w:sz w:val="16"/>
          <w:szCs w:val="16"/>
          <w:vertAlign w:val="superscript"/>
          <w:lang w:val="en-US"/>
        </w:rPr>
        <w:footnoteReference w:id="149"/>
      </w:r>
    </w:p>
    <w:p w14:paraId="76C08F06" w14:textId="77777777" w:rsidR="00B5625C" w:rsidRPr="00AC57EA" w:rsidRDefault="00B5625C" w:rsidP="00B5625C">
      <w:pPr>
        <w:spacing w:line="240" w:lineRule="auto"/>
        <w:rPr>
          <w:sz w:val="20"/>
          <w:szCs w:val="20"/>
          <w:lang w:val="en-US"/>
        </w:rPr>
      </w:pPr>
    </w:p>
    <w:p w14:paraId="543BD616" w14:textId="67B1831C" w:rsidR="00B5625C" w:rsidRPr="00AC57EA" w:rsidRDefault="0050785B" w:rsidP="0050785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August 9,</w:t>
      </w:r>
      <w:r w:rsidR="00B5625C" w:rsidRPr="00AC57EA">
        <w:rPr>
          <w:sz w:val="20"/>
          <w:szCs w:val="20"/>
          <w:lang w:val="en-US"/>
        </w:rPr>
        <w:t xml:space="preserve"> 2005</w:t>
      </w:r>
      <w:r w:rsidRPr="00AC57EA">
        <w:rPr>
          <w:sz w:val="20"/>
          <w:szCs w:val="20"/>
          <w:lang w:val="en-US"/>
        </w:rPr>
        <w:t>,</w:t>
      </w:r>
      <w:r w:rsidR="00B5625C" w:rsidRPr="00AC57EA">
        <w:rPr>
          <w:sz w:val="20"/>
          <w:szCs w:val="20"/>
          <w:lang w:val="en-US"/>
        </w:rPr>
        <w:t xml:space="preserve"> </w:t>
      </w:r>
      <w:r w:rsidRPr="00AC57EA">
        <w:rPr>
          <w:sz w:val="20"/>
          <w:szCs w:val="20"/>
          <w:lang w:val="en-US"/>
        </w:rPr>
        <w:t>the Jinotega District Criminal Trial Judge</w:t>
      </w:r>
      <w:r w:rsidR="00B5625C" w:rsidRPr="00AC57EA">
        <w:rPr>
          <w:sz w:val="20"/>
          <w:szCs w:val="20"/>
          <w:lang w:val="en-US"/>
        </w:rPr>
        <w:t xml:space="preserve"> </w:t>
      </w:r>
      <w:r w:rsidRPr="00AC57EA">
        <w:rPr>
          <w:sz w:val="20"/>
          <w:szCs w:val="20"/>
          <w:lang w:val="en-US"/>
        </w:rPr>
        <w:t>delivered a new judgment in which he declared that the appeal for substantial annulment of verdict No. 33 of the Jury Court was inadmissible and, consequently, that it was final and wi</w:t>
      </w:r>
      <w:r w:rsidR="00EF146B" w:rsidRPr="00AC57EA">
        <w:rPr>
          <w:sz w:val="20"/>
          <w:szCs w:val="20"/>
          <w:lang w:val="en-US"/>
        </w:rPr>
        <w:t>th</w:t>
      </w:r>
      <w:r w:rsidRPr="00AC57EA">
        <w:rPr>
          <w:sz w:val="20"/>
          <w:szCs w:val="20"/>
          <w:lang w:val="en-US"/>
        </w:rPr>
        <w:t xml:space="preserve"> </w:t>
      </w:r>
      <w:r w:rsidR="00EF146B" w:rsidRPr="00AC57EA">
        <w:rPr>
          <w:sz w:val="20"/>
          <w:szCs w:val="20"/>
          <w:lang w:val="en-US"/>
        </w:rPr>
        <w:t>full</w:t>
      </w:r>
      <w:r w:rsidRPr="00AC57EA">
        <w:rPr>
          <w:sz w:val="20"/>
          <w:szCs w:val="20"/>
          <w:lang w:val="en-US"/>
        </w:rPr>
        <w:t xml:space="preserve"> legal effect </w:t>
      </w:r>
      <w:r w:rsidR="00EF146B" w:rsidRPr="00AC57EA">
        <w:rPr>
          <w:sz w:val="20"/>
          <w:szCs w:val="20"/>
          <w:lang w:val="en-US"/>
        </w:rPr>
        <w:t>in that</w:t>
      </w:r>
      <w:r w:rsidRPr="00AC57EA">
        <w:rPr>
          <w:sz w:val="20"/>
          <w:szCs w:val="20"/>
          <w:lang w:val="en-US"/>
        </w:rPr>
        <w:t xml:space="preserve"> it declared the innocence of H.R.A. </w:t>
      </w:r>
      <w:r w:rsidR="00EF146B" w:rsidRPr="00AC57EA">
        <w:rPr>
          <w:sz w:val="20"/>
          <w:szCs w:val="20"/>
          <w:lang w:val="en-US"/>
        </w:rPr>
        <w:t>R</w:t>
      </w:r>
      <w:r w:rsidRPr="00AC57EA">
        <w:rPr>
          <w:sz w:val="20"/>
          <w:szCs w:val="20"/>
          <w:lang w:val="en-US"/>
        </w:rPr>
        <w:t xml:space="preserve">egarding the allegations of bribery of the jury established in article 444(8), </w:t>
      </w:r>
      <w:r w:rsidR="00EF146B" w:rsidRPr="00AC57EA">
        <w:rPr>
          <w:sz w:val="20"/>
          <w:szCs w:val="20"/>
          <w:lang w:val="en-US"/>
        </w:rPr>
        <w:t xml:space="preserve">the judge considered </w:t>
      </w:r>
      <w:r w:rsidRPr="00AC57EA">
        <w:rPr>
          <w:sz w:val="20"/>
          <w:szCs w:val="20"/>
          <w:lang w:val="en-US"/>
        </w:rPr>
        <w:t xml:space="preserve">that this had been decided and rejected in judgment No. 002 </w:t>
      </w:r>
      <w:r w:rsidR="00EF146B" w:rsidRPr="00AC57EA">
        <w:rPr>
          <w:sz w:val="20"/>
          <w:szCs w:val="20"/>
          <w:lang w:val="en-US"/>
        </w:rPr>
        <w:t xml:space="preserve">of January 13, 2003, </w:t>
      </w:r>
      <w:r w:rsidRPr="00AC57EA">
        <w:rPr>
          <w:sz w:val="20"/>
          <w:szCs w:val="20"/>
          <w:lang w:val="en-US"/>
        </w:rPr>
        <w:t xml:space="preserve">of the </w:t>
      </w:r>
      <w:r w:rsidR="00070909" w:rsidRPr="00AC57EA">
        <w:rPr>
          <w:sz w:val="20"/>
          <w:szCs w:val="20"/>
          <w:lang w:val="en-US"/>
        </w:rPr>
        <w:t>Criminal Chamber</w:t>
      </w:r>
      <w:r w:rsidR="00B7258C" w:rsidRPr="00AC57EA">
        <w:rPr>
          <w:sz w:val="20"/>
          <w:szCs w:val="20"/>
          <w:lang w:val="en-US"/>
        </w:rPr>
        <w:t xml:space="preserve"> of the </w:t>
      </w:r>
      <w:r w:rsidR="00EF75D6" w:rsidRPr="00AC57EA">
        <w:rPr>
          <w:sz w:val="20"/>
          <w:szCs w:val="20"/>
          <w:lang w:val="en-US"/>
        </w:rPr>
        <w:t>Northern District Appellate Court</w:t>
      </w:r>
      <w:r w:rsidR="00B5625C" w:rsidRPr="00AC57EA">
        <w:rPr>
          <w:sz w:val="20"/>
          <w:szCs w:val="20"/>
          <w:lang w:val="en-US"/>
        </w:rPr>
        <w:t xml:space="preserve"> </w:t>
      </w:r>
      <w:r w:rsidRPr="00AC57EA">
        <w:rPr>
          <w:sz w:val="20"/>
          <w:szCs w:val="20"/>
          <w:lang w:val="en-US"/>
        </w:rPr>
        <w:t>of</w:t>
      </w:r>
      <w:r w:rsidR="00B5625C" w:rsidRPr="00AC57EA">
        <w:rPr>
          <w:sz w:val="20"/>
          <w:szCs w:val="20"/>
          <w:lang w:val="en-US"/>
        </w:rPr>
        <w:t xml:space="preserve"> Matagalpa </w:t>
      </w:r>
      <w:r w:rsidRPr="00AC57EA">
        <w:rPr>
          <w:sz w:val="20"/>
          <w:szCs w:val="20"/>
          <w:lang w:val="en-US"/>
        </w:rPr>
        <w:t xml:space="preserve">according to which this allegation had not been filed at the appropriate moment and had not been explicitly proved. In addition, he concluded that the legal requirements had been met in the selection of the jury and in the delivery of the first instance judgment. He also indicated that there had been no act or omission that would provide grounds for </w:t>
      </w:r>
      <w:r w:rsidR="00EF146B" w:rsidRPr="00AC57EA">
        <w:rPr>
          <w:sz w:val="20"/>
          <w:szCs w:val="20"/>
          <w:lang w:val="en-US"/>
        </w:rPr>
        <w:t>annulling the</w:t>
      </w:r>
      <w:r w:rsidRPr="00AC57EA">
        <w:rPr>
          <w:sz w:val="20"/>
          <w:szCs w:val="20"/>
          <w:lang w:val="en-US"/>
        </w:rPr>
        <w:t xml:space="preserve"> verdict. Lastly, </w:t>
      </w:r>
      <w:r w:rsidR="00EF146B" w:rsidRPr="00AC57EA">
        <w:rPr>
          <w:sz w:val="20"/>
          <w:szCs w:val="20"/>
          <w:lang w:val="en-US"/>
        </w:rPr>
        <w:t>he</w:t>
      </w:r>
      <w:r w:rsidRPr="00AC57EA">
        <w:rPr>
          <w:sz w:val="20"/>
          <w:szCs w:val="20"/>
          <w:lang w:val="en-US"/>
        </w:rPr>
        <w:t xml:space="preserve"> assessed </w:t>
      </w:r>
      <w:r w:rsidR="00EF146B" w:rsidRPr="00AC57EA">
        <w:rPr>
          <w:sz w:val="20"/>
          <w:szCs w:val="20"/>
          <w:lang w:val="en-US"/>
        </w:rPr>
        <w:t>an opinion</w:t>
      </w:r>
      <w:r w:rsidRPr="00AC57EA">
        <w:rPr>
          <w:sz w:val="20"/>
          <w:szCs w:val="20"/>
          <w:lang w:val="en-US"/>
        </w:rPr>
        <w:t xml:space="preserve"> of the Ombudsman for Children and Adolescent</w:t>
      </w:r>
      <w:r w:rsidR="00EF146B" w:rsidRPr="00AC57EA">
        <w:rPr>
          <w:sz w:val="20"/>
          <w:szCs w:val="20"/>
          <w:lang w:val="en-US"/>
        </w:rPr>
        <w:t>s</w:t>
      </w:r>
      <w:r w:rsidRPr="00AC57EA">
        <w:rPr>
          <w:sz w:val="20"/>
          <w:szCs w:val="20"/>
          <w:lang w:val="en-US"/>
        </w:rPr>
        <w:t xml:space="preserve"> and indicated that there had been no irregularities during the proceedings.</w:t>
      </w:r>
      <w:r w:rsidR="00B5625C" w:rsidRPr="00AC57EA">
        <w:rPr>
          <w:sz w:val="20"/>
          <w:szCs w:val="20"/>
          <w:vertAlign w:val="superscript"/>
          <w:lang w:val="en-US"/>
        </w:rPr>
        <w:footnoteReference w:id="150"/>
      </w:r>
    </w:p>
    <w:p w14:paraId="1690DC0B" w14:textId="77777777" w:rsidR="00B5625C" w:rsidRPr="00AC57EA" w:rsidRDefault="00B5625C" w:rsidP="00B5625C">
      <w:pPr>
        <w:spacing w:line="240" w:lineRule="auto"/>
        <w:rPr>
          <w:sz w:val="20"/>
          <w:szCs w:val="20"/>
          <w:lang w:val="en-US"/>
        </w:rPr>
      </w:pPr>
    </w:p>
    <w:p w14:paraId="4E564180" w14:textId="106C8B2F" w:rsidR="00B5625C" w:rsidRPr="00AC57EA" w:rsidRDefault="0050785B"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August 25,</w:t>
      </w:r>
      <w:r w:rsidR="00B5625C" w:rsidRPr="00AC57EA">
        <w:rPr>
          <w:sz w:val="20"/>
          <w:szCs w:val="20"/>
          <w:lang w:val="en-US"/>
        </w:rPr>
        <w:t xml:space="preserve"> 2005</w:t>
      </w:r>
      <w:r w:rsidRPr="00AC57EA">
        <w:rPr>
          <w:sz w:val="20"/>
          <w:szCs w:val="20"/>
          <w:lang w:val="en-US"/>
        </w:rPr>
        <w:t>, the assistant prosecutor</w:t>
      </w:r>
      <w:r w:rsidR="00B5625C" w:rsidRPr="00AC57EA">
        <w:rPr>
          <w:sz w:val="20"/>
          <w:szCs w:val="20"/>
          <w:lang w:val="en-US"/>
        </w:rPr>
        <w:t xml:space="preserve"> </w:t>
      </w:r>
      <w:r w:rsidR="00151468" w:rsidRPr="00AC57EA">
        <w:rPr>
          <w:sz w:val="20"/>
          <w:szCs w:val="20"/>
          <w:lang w:val="en-US"/>
        </w:rPr>
        <w:t>of the Public Prosecution Service</w:t>
      </w:r>
      <w:r w:rsidR="00B5625C" w:rsidRPr="00AC57EA">
        <w:rPr>
          <w:sz w:val="20"/>
          <w:szCs w:val="20"/>
          <w:lang w:val="en-US"/>
        </w:rPr>
        <w:t xml:space="preserve"> </w:t>
      </w:r>
      <w:r w:rsidRPr="00AC57EA">
        <w:rPr>
          <w:sz w:val="20"/>
          <w:szCs w:val="20"/>
          <w:lang w:val="en-US"/>
        </w:rPr>
        <w:t>filed an appeal against that judgment,</w:t>
      </w:r>
      <w:r w:rsidR="00B5625C" w:rsidRPr="00AC57EA">
        <w:rPr>
          <w:sz w:val="20"/>
          <w:szCs w:val="20"/>
          <w:vertAlign w:val="superscript"/>
          <w:lang w:val="en-US"/>
        </w:rPr>
        <w:footnoteReference w:id="151"/>
      </w:r>
      <w:r w:rsidR="00B5625C" w:rsidRPr="00AC57EA">
        <w:rPr>
          <w:sz w:val="20"/>
          <w:szCs w:val="20"/>
          <w:lang w:val="en-US"/>
        </w:rPr>
        <w:t xml:space="preserve"> </w:t>
      </w:r>
      <w:r w:rsidRPr="00AC57EA">
        <w:rPr>
          <w:sz w:val="20"/>
          <w:szCs w:val="20"/>
          <w:lang w:val="en-US"/>
        </w:rPr>
        <w:t>and so did</w:t>
      </w:r>
      <w:r w:rsidR="00B5625C" w:rsidRPr="00AC57EA">
        <w:rPr>
          <w:sz w:val="20"/>
          <w:szCs w:val="20"/>
          <w:lang w:val="en-US"/>
        </w:rPr>
        <w:t xml:space="preserve"> V.P.C.</w:t>
      </w:r>
      <w:r w:rsidRPr="00AC57EA">
        <w:rPr>
          <w:sz w:val="20"/>
          <w:szCs w:val="20"/>
          <w:lang w:val="en-US"/>
        </w:rPr>
        <w:t xml:space="preserve">’s </w:t>
      </w:r>
      <w:r w:rsidR="00E43717" w:rsidRPr="00AC57EA">
        <w:rPr>
          <w:sz w:val="20"/>
          <w:szCs w:val="20"/>
          <w:lang w:val="en-US"/>
        </w:rPr>
        <w:t>lawyer</w:t>
      </w:r>
      <w:r w:rsidRPr="00AC57EA">
        <w:rPr>
          <w:sz w:val="20"/>
          <w:szCs w:val="20"/>
          <w:lang w:val="en-US"/>
        </w:rPr>
        <w:t>.</w:t>
      </w:r>
      <w:r w:rsidR="00B5625C" w:rsidRPr="00AC57EA">
        <w:rPr>
          <w:sz w:val="20"/>
          <w:szCs w:val="20"/>
          <w:vertAlign w:val="superscript"/>
          <w:lang w:val="en-US"/>
        </w:rPr>
        <w:footnoteReference w:id="152"/>
      </w:r>
    </w:p>
    <w:p w14:paraId="5E1BAB7B" w14:textId="77777777" w:rsidR="00B5625C" w:rsidRPr="00AC57EA" w:rsidRDefault="00B5625C" w:rsidP="00B5625C">
      <w:pPr>
        <w:spacing w:line="240" w:lineRule="auto"/>
        <w:rPr>
          <w:sz w:val="20"/>
          <w:szCs w:val="20"/>
          <w:lang w:val="en-US"/>
        </w:rPr>
      </w:pPr>
    </w:p>
    <w:p w14:paraId="668E81AC" w14:textId="482C8323" w:rsidR="00B5625C" w:rsidRPr="00AC57EA" w:rsidRDefault="0053221C" w:rsidP="0053221C">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lastRenderedPageBreak/>
        <w:t>On January 24,</w:t>
      </w:r>
      <w:r w:rsidR="00B5625C" w:rsidRPr="00AC57EA">
        <w:rPr>
          <w:sz w:val="20"/>
          <w:szCs w:val="20"/>
          <w:lang w:val="en-US"/>
        </w:rPr>
        <w:t xml:space="preserve"> 2007</w:t>
      </w:r>
      <w:r w:rsidRPr="00AC57EA">
        <w:rPr>
          <w:sz w:val="20"/>
          <w:szCs w:val="20"/>
          <w:lang w:val="en-US"/>
        </w:rPr>
        <w:t>, the secretar</w:t>
      </w:r>
      <w:r w:rsidR="00E43717" w:rsidRPr="00AC57EA">
        <w:rPr>
          <w:sz w:val="20"/>
          <w:szCs w:val="20"/>
          <w:lang w:val="en-US"/>
        </w:rPr>
        <w:t>y</w:t>
      </w:r>
      <w:r w:rsidR="00151468" w:rsidRPr="00AC57EA">
        <w:rPr>
          <w:sz w:val="20"/>
          <w:szCs w:val="20"/>
          <w:lang w:val="en-US"/>
        </w:rPr>
        <w:t xml:space="preserve"> of the </w:t>
      </w:r>
      <w:r w:rsidRPr="00AC57EA">
        <w:rPr>
          <w:sz w:val="20"/>
          <w:szCs w:val="20"/>
          <w:lang w:val="en-US"/>
        </w:rPr>
        <w:t xml:space="preserve">Criminal Chamber of the Northern District Appellate </w:t>
      </w:r>
      <w:r w:rsidR="003A32C1" w:rsidRPr="00AC57EA">
        <w:rPr>
          <w:sz w:val="20"/>
          <w:szCs w:val="20"/>
          <w:lang w:val="en-US"/>
        </w:rPr>
        <w:t>C</w:t>
      </w:r>
      <w:r w:rsidRPr="00AC57EA">
        <w:rPr>
          <w:sz w:val="20"/>
          <w:szCs w:val="20"/>
          <w:lang w:val="en-US"/>
        </w:rPr>
        <w:t>ourt</w:t>
      </w:r>
      <w:r w:rsidR="00B5625C" w:rsidRPr="00AC57EA">
        <w:rPr>
          <w:sz w:val="20"/>
          <w:szCs w:val="20"/>
          <w:lang w:val="en-US"/>
        </w:rPr>
        <w:t xml:space="preserve"> </w:t>
      </w:r>
      <w:r w:rsidRPr="00AC57EA">
        <w:rPr>
          <w:sz w:val="20"/>
          <w:szCs w:val="20"/>
          <w:lang w:val="en-US"/>
        </w:rPr>
        <w:t xml:space="preserve">certified that the proceedings were at the sentencing stage and, also, that in an order of November 3, 2005, notice had been sent to the assistant prosecutor </w:t>
      </w:r>
      <w:r w:rsidR="00151468" w:rsidRPr="00AC57EA">
        <w:rPr>
          <w:sz w:val="20"/>
          <w:szCs w:val="20"/>
          <w:lang w:val="en-US"/>
        </w:rPr>
        <w:t>of the Public Prosecution Service</w:t>
      </w:r>
      <w:r w:rsidR="00171E27" w:rsidRPr="00AC57EA">
        <w:rPr>
          <w:sz w:val="20"/>
          <w:szCs w:val="20"/>
          <w:lang w:val="en-US"/>
        </w:rPr>
        <w:t xml:space="preserve"> and</w:t>
      </w:r>
      <w:r w:rsidRPr="00AC57EA">
        <w:rPr>
          <w:sz w:val="20"/>
          <w:szCs w:val="20"/>
          <w:lang w:val="en-US"/>
        </w:rPr>
        <w:t xml:space="preserve"> “he had not taken advantage of his rights because he had not responded to the notice or identified offenses.</w:t>
      </w:r>
      <w:r w:rsidR="00B5625C" w:rsidRPr="00AC57EA">
        <w:rPr>
          <w:sz w:val="20"/>
          <w:szCs w:val="20"/>
          <w:lang w:val="en-US"/>
        </w:rPr>
        <w:t>”</w:t>
      </w:r>
      <w:r w:rsidR="00B5625C" w:rsidRPr="00AC57EA">
        <w:rPr>
          <w:sz w:val="20"/>
          <w:szCs w:val="20"/>
          <w:vertAlign w:val="superscript"/>
          <w:lang w:val="en-US"/>
        </w:rPr>
        <w:footnoteReference w:id="153"/>
      </w:r>
    </w:p>
    <w:p w14:paraId="04118439" w14:textId="77777777" w:rsidR="00B5625C" w:rsidRPr="00AC57EA" w:rsidRDefault="00B5625C" w:rsidP="00B5625C">
      <w:pPr>
        <w:spacing w:line="240" w:lineRule="auto"/>
        <w:rPr>
          <w:sz w:val="20"/>
          <w:szCs w:val="20"/>
          <w:lang w:val="en-US"/>
        </w:rPr>
      </w:pPr>
    </w:p>
    <w:p w14:paraId="584A7874" w14:textId="7DBC74F2" w:rsidR="0053221C" w:rsidRPr="00AC57EA" w:rsidRDefault="0053221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w:t>
      </w:r>
      <w:r w:rsidR="00B5625C" w:rsidRPr="00AC57EA">
        <w:rPr>
          <w:sz w:val="20"/>
          <w:szCs w:val="20"/>
          <w:lang w:val="en-US"/>
        </w:rPr>
        <w:t xml:space="preserve"> </w:t>
      </w:r>
      <w:r w:rsidR="003A32C1" w:rsidRPr="00AC57EA">
        <w:rPr>
          <w:sz w:val="20"/>
          <w:szCs w:val="20"/>
          <w:lang w:val="en-US"/>
        </w:rPr>
        <w:t>October 24,</w:t>
      </w:r>
      <w:r w:rsidR="00B5625C" w:rsidRPr="00AC57EA">
        <w:rPr>
          <w:sz w:val="20"/>
          <w:szCs w:val="20"/>
          <w:lang w:val="en-US"/>
        </w:rPr>
        <w:t xml:space="preserve"> 2007</w:t>
      </w:r>
      <w:r w:rsidRPr="00AC57EA">
        <w:rPr>
          <w:sz w:val="20"/>
          <w:szCs w:val="20"/>
          <w:lang w:val="en-US"/>
        </w:rPr>
        <w:t>,</w:t>
      </w:r>
      <w:r w:rsidR="00B5625C" w:rsidRPr="00AC57EA">
        <w:rPr>
          <w:sz w:val="20"/>
          <w:szCs w:val="20"/>
          <w:lang w:val="en-US"/>
        </w:rPr>
        <w:t xml:space="preserve"> </w:t>
      </w:r>
      <w:r w:rsidRPr="00AC57EA">
        <w:rPr>
          <w:sz w:val="20"/>
          <w:szCs w:val="20"/>
          <w:lang w:val="en-US"/>
        </w:rPr>
        <w:t>the</w:t>
      </w:r>
      <w:r w:rsidR="00B5625C" w:rsidRPr="00AC57EA">
        <w:rPr>
          <w:sz w:val="20"/>
          <w:szCs w:val="20"/>
          <w:lang w:val="en-US"/>
        </w:rPr>
        <w:t xml:space="preserve"> </w:t>
      </w:r>
      <w:r w:rsidR="00070909" w:rsidRPr="00AC57EA">
        <w:rPr>
          <w:sz w:val="20"/>
          <w:szCs w:val="20"/>
          <w:lang w:val="en-US"/>
        </w:rPr>
        <w:t>Criminal Chamber</w:t>
      </w:r>
      <w:r w:rsidR="00B7258C" w:rsidRPr="00AC57EA">
        <w:rPr>
          <w:sz w:val="20"/>
          <w:szCs w:val="20"/>
          <w:lang w:val="en-US"/>
        </w:rPr>
        <w:t xml:space="preserve"> of the </w:t>
      </w:r>
      <w:r w:rsidR="00EF75D6" w:rsidRPr="00AC57EA">
        <w:rPr>
          <w:sz w:val="20"/>
          <w:szCs w:val="20"/>
          <w:lang w:val="en-US"/>
        </w:rPr>
        <w:t>Northern District Appellate Court</w:t>
      </w:r>
      <w:r w:rsidR="00B5625C" w:rsidRPr="00AC57EA">
        <w:rPr>
          <w:sz w:val="20"/>
          <w:szCs w:val="20"/>
          <w:lang w:val="en-US"/>
        </w:rPr>
        <w:t xml:space="preserve"> </w:t>
      </w:r>
      <w:r w:rsidRPr="00AC57EA">
        <w:rPr>
          <w:sz w:val="20"/>
          <w:szCs w:val="20"/>
          <w:lang w:val="en-US"/>
        </w:rPr>
        <w:t>of</w:t>
      </w:r>
      <w:r w:rsidR="00B5625C" w:rsidRPr="00AC57EA">
        <w:rPr>
          <w:sz w:val="20"/>
          <w:szCs w:val="20"/>
          <w:lang w:val="en-US"/>
        </w:rPr>
        <w:t xml:space="preserve"> Matagalpa</w:t>
      </w:r>
      <w:r w:rsidRPr="00AC57EA">
        <w:rPr>
          <w:sz w:val="20"/>
          <w:szCs w:val="20"/>
          <w:lang w:val="en-US"/>
        </w:rPr>
        <w:t xml:space="preserve"> delivered judgment reject</w:t>
      </w:r>
      <w:r w:rsidR="00E43717" w:rsidRPr="00AC57EA">
        <w:rPr>
          <w:sz w:val="20"/>
          <w:szCs w:val="20"/>
          <w:lang w:val="en-US"/>
        </w:rPr>
        <w:t>ing</w:t>
      </w:r>
      <w:r w:rsidRPr="00AC57EA">
        <w:rPr>
          <w:sz w:val="20"/>
          <w:szCs w:val="20"/>
          <w:lang w:val="en-US"/>
        </w:rPr>
        <w:t xml:space="preserve"> the appeals. Consequently, it declared that Verdict No. 33 was final and also that H.R.A. was innocent. It added that no appeal was admissible against th</w:t>
      </w:r>
      <w:r w:rsidR="00E43717" w:rsidRPr="00AC57EA">
        <w:rPr>
          <w:sz w:val="20"/>
          <w:szCs w:val="20"/>
          <w:lang w:val="en-US"/>
        </w:rPr>
        <w:t>is</w:t>
      </w:r>
      <w:r w:rsidRPr="00AC57EA">
        <w:rPr>
          <w:sz w:val="20"/>
          <w:szCs w:val="20"/>
          <w:lang w:val="en-US"/>
        </w:rPr>
        <w:t xml:space="preserve"> decision. Regarding the alleged bribery, the judgment considered, </w:t>
      </w:r>
      <w:r w:rsidRPr="00AC57EA">
        <w:rPr>
          <w:i/>
          <w:iCs/>
          <w:sz w:val="20"/>
          <w:szCs w:val="20"/>
          <w:lang w:val="en-US"/>
        </w:rPr>
        <w:t>inter alia</w:t>
      </w:r>
      <w:r w:rsidRPr="00AC57EA">
        <w:rPr>
          <w:sz w:val="20"/>
          <w:szCs w:val="20"/>
          <w:lang w:val="en-US"/>
        </w:rPr>
        <w:t>, that the visual inspection of the video of the contested hearing revealed that:</w:t>
      </w:r>
    </w:p>
    <w:p w14:paraId="325147FC" w14:textId="77777777" w:rsidR="00B5625C" w:rsidRPr="00AC57EA" w:rsidRDefault="00B5625C" w:rsidP="00B5625C">
      <w:pPr>
        <w:spacing w:line="240" w:lineRule="auto"/>
        <w:rPr>
          <w:sz w:val="20"/>
          <w:szCs w:val="20"/>
          <w:lang w:val="en-US"/>
        </w:rPr>
      </w:pPr>
    </w:p>
    <w:p w14:paraId="734358DF" w14:textId="1FCEE8C3" w:rsidR="00B5625C" w:rsidRPr="00AC57EA" w:rsidRDefault="00B5625C" w:rsidP="00C173D4">
      <w:pPr>
        <w:spacing w:line="240" w:lineRule="auto"/>
        <w:ind w:left="567" w:right="540"/>
        <w:rPr>
          <w:sz w:val="16"/>
          <w:szCs w:val="16"/>
          <w:lang w:val="en-US"/>
        </w:rPr>
      </w:pPr>
      <w:r w:rsidRPr="00AC57EA">
        <w:rPr>
          <w:sz w:val="16"/>
          <w:szCs w:val="16"/>
          <w:lang w:val="en-US"/>
        </w:rPr>
        <w:t xml:space="preserve">[…]  </w:t>
      </w:r>
      <w:r w:rsidR="0053221C" w:rsidRPr="00AC57EA">
        <w:rPr>
          <w:sz w:val="16"/>
          <w:szCs w:val="16"/>
          <w:lang w:val="en-US"/>
        </w:rPr>
        <w:t>the judge of law, who acted as president of the Jury Court</w:t>
      </w:r>
      <w:r w:rsidR="00F2510C" w:rsidRPr="00AC57EA">
        <w:rPr>
          <w:sz w:val="16"/>
          <w:szCs w:val="16"/>
          <w:lang w:val="en-US"/>
        </w:rPr>
        <w:t>, was handed a pink sheet of paper, in the sight of the parties; that that representative of the Public Prosecution Service, said that he would end his intervention if the court was not paying attention to him; that a silver pack</w:t>
      </w:r>
      <w:r w:rsidR="00C173D4" w:rsidRPr="00AC57EA">
        <w:rPr>
          <w:sz w:val="16"/>
          <w:szCs w:val="16"/>
          <w:lang w:val="en-US"/>
        </w:rPr>
        <w:t>age</w:t>
      </w:r>
      <w:r w:rsidR="00F2510C" w:rsidRPr="00AC57EA">
        <w:rPr>
          <w:sz w:val="16"/>
          <w:szCs w:val="16"/>
          <w:lang w:val="en-US"/>
        </w:rPr>
        <w:t xml:space="preserve"> was handed in and that two members of the jury noticed this; however, the </w:t>
      </w:r>
      <w:r w:rsidR="00E43717" w:rsidRPr="00AC57EA">
        <w:rPr>
          <w:sz w:val="16"/>
          <w:szCs w:val="16"/>
          <w:lang w:val="en-US"/>
        </w:rPr>
        <w:t>visual</w:t>
      </w:r>
      <w:r w:rsidR="00F2510C" w:rsidRPr="00AC57EA">
        <w:rPr>
          <w:sz w:val="16"/>
          <w:szCs w:val="16"/>
          <w:lang w:val="en-US"/>
        </w:rPr>
        <w:t xml:space="preserve"> inspection provides no evidence that proves bribery of the members of the jury, because […] the video provided should show the</w:t>
      </w:r>
      <w:r w:rsidR="00E43717" w:rsidRPr="00AC57EA">
        <w:rPr>
          <w:sz w:val="16"/>
          <w:szCs w:val="16"/>
          <w:lang w:val="en-US"/>
        </w:rPr>
        <w:t xml:space="preserve"> protest of the</w:t>
      </w:r>
      <w:r w:rsidR="00F2510C" w:rsidRPr="00AC57EA">
        <w:rPr>
          <w:sz w:val="16"/>
          <w:szCs w:val="16"/>
          <w:lang w:val="en-US"/>
        </w:rPr>
        <w:t xml:space="preserve"> plaintiff</w:t>
      </w:r>
      <w:r w:rsidR="00E43717" w:rsidRPr="00AC57EA">
        <w:rPr>
          <w:sz w:val="16"/>
          <w:szCs w:val="16"/>
          <w:lang w:val="en-US"/>
        </w:rPr>
        <w:t xml:space="preserve"> </w:t>
      </w:r>
      <w:r w:rsidR="00F2510C" w:rsidRPr="00AC57EA">
        <w:rPr>
          <w:sz w:val="16"/>
          <w:szCs w:val="16"/>
          <w:lang w:val="en-US"/>
        </w:rPr>
        <w:t xml:space="preserve">and the prosecutor who intervened during the jury hearing </w:t>
      </w:r>
      <w:r w:rsidR="00E43717" w:rsidRPr="00AC57EA">
        <w:rPr>
          <w:sz w:val="16"/>
          <w:szCs w:val="16"/>
          <w:lang w:val="en-US"/>
        </w:rPr>
        <w:t>[…]</w:t>
      </w:r>
      <w:r w:rsidR="00F2510C" w:rsidRPr="00AC57EA">
        <w:rPr>
          <w:sz w:val="16"/>
          <w:szCs w:val="16"/>
          <w:lang w:val="en-US"/>
        </w:rPr>
        <w:t xml:space="preserve"> a situation that d</w:t>
      </w:r>
      <w:r w:rsidR="00E43717" w:rsidRPr="00AC57EA">
        <w:rPr>
          <w:sz w:val="16"/>
          <w:szCs w:val="16"/>
          <w:lang w:val="en-US"/>
        </w:rPr>
        <w:t>id</w:t>
      </w:r>
      <w:r w:rsidR="00F2510C" w:rsidRPr="00AC57EA">
        <w:rPr>
          <w:sz w:val="16"/>
          <w:szCs w:val="16"/>
          <w:lang w:val="en-US"/>
        </w:rPr>
        <w:t xml:space="preserve"> not exist in the hearing described by the judge </w:t>
      </w:r>
      <w:r w:rsidR="00F2510C" w:rsidRPr="00AC57EA">
        <w:rPr>
          <w:i/>
          <w:iCs/>
          <w:sz w:val="16"/>
          <w:szCs w:val="16"/>
          <w:lang w:val="en-US"/>
        </w:rPr>
        <w:t>a quo</w:t>
      </w:r>
      <w:r w:rsidR="00C173D4" w:rsidRPr="00AC57EA">
        <w:rPr>
          <w:i/>
          <w:iCs/>
          <w:sz w:val="16"/>
          <w:szCs w:val="16"/>
          <w:lang w:val="en-US"/>
        </w:rPr>
        <w:t>;</w:t>
      </w:r>
      <w:r w:rsidR="00F2510C" w:rsidRPr="00AC57EA">
        <w:rPr>
          <w:i/>
          <w:iCs/>
          <w:sz w:val="16"/>
          <w:szCs w:val="16"/>
          <w:lang w:val="en-US"/>
        </w:rPr>
        <w:t xml:space="preserve"> </w:t>
      </w:r>
      <w:r w:rsidR="00E43717" w:rsidRPr="00AC57EA">
        <w:rPr>
          <w:sz w:val="16"/>
          <w:szCs w:val="16"/>
          <w:lang w:val="en-US"/>
        </w:rPr>
        <w:t>[…]</w:t>
      </w:r>
      <w:r w:rsidR="00F2510C" w:rsidRPr="00AC57EA">
        <w:rPr>
          <w:i/>
          <w:iCs/>
          <w:sz w:val="16"/>
          <w:szCs w:val="16"/>
          <w:lang w:val="en-US"/>
        </w:rPr>
        <w:t xml:space="preserve"> </w:t>
      </w:r>
      <w:r w:rsidR="00E43717" w:rsidRPr="00AC57EA">
        <w:rPr>
          <w:sz w:val="16"/>
          <w:szCs w:val="16"/>
          <w:lang w:val="en-US"/>
        </w:rPr>
        <w:t>so</w:t>
      </w:r>
      <w:r w:rsidR="00F2510C" w:rsidRPr="00AC57EA">
        <w:rPr>
          <w:sz w:val="16"/>
          <w:szCs w:val="16"/>
          <w:lang w:val="en-US"/>
        </w:rPr>
        <w:t xml:space="preserve"> </w:t>
      </w:r>
      <w:r w:rsidR="00C173D4" w:rsidRPr="00AC57EA">
        <w:rPr>
          <w:sz w:val="16"/>
          <w:szCs w:val="16"/>
          <w:lang w:val="en-US"/>
        </w:rPr>
        <w:t>the</w:t>
      </w:r>
      <w:r w:rsidR="00F2510C" w:rsidRPr="00AC57EA">
        <w:rPr>
          <w:sz w:val="16"/>
          <w:szCs w:val="16"/>
          <w:lang w:val="en-US"/>
        </w:rPr>
        <w:t xml:space="preserve"> probative element</w:t>
      </w:r>
      <w:r w:rsidR="00C173D4" w:rsidRPr="00AC57EA">
        <w:rPr>
          <w:sz w:val="16"/>
          <w:szCs w:val="16"/>
          <w:lang w:val="en-US"/>
        </w:rPr>
        <w:t>s</w:t>
      </w:r>
      <w:r w:rsidR="00F2510C" w:rsidRPr="00AC57EA">
        <w:rPr>
          <w:sz w:val="16"/>
          <w:szCs w:val="16"/>
          <w:lang w:val="en-US"/>
        </w:rPr>
        <w:t xml:space="preserve"> related to the incident do not pro</w:t>
      </w:r>
      <w:r w:rsidR="00E43717" w:rsidRPr="00AC57EA">
        <w:rPr>
          <w:sz w:val="16"/>
          <w:szCs w:val="16"/>
          <w:lang w:val="en-US"/>
        </w:rPr>
        <w:t>ve</w:t>
      </w:r>
      <w:r w:rsidR="00F2510C" w:rsidRPr="00AC57EA">
        <w:rPr>
          <w:sz w:val="16"/>
          <w:szCs w:val="16"/>
          <w:lang w:val="en-US"/>
        </w:rPr>
        <w:t xml:space="preserve"> the offense of bribery […]</w:t>
      </w:r>
      <w:r w:rsidR="00E43717" w:rsidRPr="00AC57EA">
        <w:rPr>
          <w:sz w:val="16"/>
          <w:szCs w:val="16"/>
          <w:lang w:val="en-US"/>
        </w:rPr>
        <w:t xml:space="preserve"> because the </w:t>
      </w:r>
      <w:r w:rsidR="00F2510C" w:rsidRPr="00AC57EA">
        <w:rPr>
          <w:sz w:val="16"/>
          <w:szCs w:val="16"/>
          <w:lang w:val="en-US"/>
        </w:rPr>
        <w:t>evidence provided shows incidents that occurred during the jury hearing; however, th</w:t>
      </w:r>
      <w:r w:rsidR="00C173D4" w:rsidRPr="00AC57EA">
        <w:rPr>
          <w:sz w:val="16"/>
          <w:szCs w:val="16"/>
          <w:lang w:val="en-US"/>
        </w:rPr>
        <w:t>o</w:t>
      </w:r>
      <w:r w:rsidR="00F2510C" w:rsidRPr="00AC57EA">
        <w:rPr>
          <w:sz w:val="16"/>
          <w:szCs w:val="16"/>
          <w:lang w:val="en-US"/>
        </w:rPr>
        <w:t xml:space="preserve">se incidents are insufficient for this Chamber to find it proved that the jury receive a gift, promise or reward for the verdict handed down in favor of the accused, and the party alleging the incident should have proved what the gift or reward consisted of, who gave it, </w:t>
      </w:r>
      <w:r w:rsidR="00FA3B70" w:rsidRPr="00AC57EA">
        <w:rPr>
          <w:sz w:val="16"/>
          <w:szCs w:val="16"/>
          <w:lang w:val="en-US"/>
        </w:rPr>
        <w:t>where, to whom it was delivered, and how it was received by the Jury Court</w:t>
      </w:r>
      <w:r w:rsidRPr="00AC57EA">
        <w:rPr>
          <w:sz w:val="16"/>
          <w:szCs w:val="16"/>
          <w:lang w:val="en-US"/>
        </w:rPr>
        <w:t xml:space="preserve"> […]</w:t>
      </w:r>
      <w:r w:rsidR="00FA3B70" w:rsidRPr="00AC57EA">
        <w:rPr>
          <w:sz w:val="16"/>
          <w:szCs w:val="16"/>
          <w:lang w:val="en-US"/>
        </w:rPr>
        <w:t>.</w:t>
      </w:r>
      <w:r w:rsidRPr="00AC57EA">
        <w:rPr>
          <w:sz w:val="16"/>
          <w:szCs w:val="16"/>
          <w:vertAlign w:val="superscript"/>
          <w:lang w:val="en-US"/>
        </w:rPr>
        <w:footnoteReference w:id="154"/>
      </w:r>
    </w:p>
    <w:p w14:paraId="79B56A67" w14:textId="77777777" w:rsidR="00B5625C" w:rsidRPr="00AC57EA" w:rsidRDefault="00B5625C" w:rsidP="00D644BC">
      <w:pPr>
        <w:tabs>
          <w:tab w:val="left" w:pos="567"/>
        </w:tabs>
        <w:spacing w:line="240" w:lineRule="auto"/>
        <w:rPr>
          <w:sz w:val="20"/>
          <w:szCs w:val="20"/>
          <w:lang w:val="en-US"/>
        </w:rPr>
      </w:pPr>
    </w:p>
    <w:p w14:paraId="3FBFFA50" w14:textId="593BEB7B" w:rsidR="00B5625C" w:rsidRPr="00AC57EA" w:rsidRDefault="00FA3B70" w:rsidP="00D644BC">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The</w:t>
      </w:r>
      <w:r w:rsidR="00B5625C" w:rsidRPr="00AC57EA">
        <w:rPr>
          <w:sz w:val="20"/>
          <w:szCs w:val="20"/>
          <w:lang w:val="en-US"/>
        </w:rPr>
        <w:t xml:space="preserve"> </w:t>
      </w:r>
      <w:r w:rsidR="00070909" w:rsidRPr="00AC57EA">
        <w:rPr>
          <w:sz w:val="20"/>
          <w:szCs w:val="20"/>
          <w:lang w:val="en-US"/>
        </w:rPr>
        <w:t>Criminal Chamber</w:t>
      </w:r>
      <w:r w:rsidR="00345370" w:rsidRPr="00AC57EA">
        <w:rPr>
          <w:sz w:val="20"/>
          <w:szCs w:val="20"/>
          <w:lang w:val="en-US"/>
        </w:rPr>
        <w:t xml:space="preserve"> </w:t>
      </w:r>
      <w:r w:rsidRPr="00AC57EA">
        <w:rPr>
          <w:sz w:val="20"/>
          <w:szCs w:val="20"/>
          <w:lang w:val="en-US"/>
        </w:rPr>
        <w:t xml:space="preserve">had not seen the video; rather its assertions were based on the record </w:t>
      </w:r>
      <w:r w:rsidR="00345370" w:rsidRPr="00AC57EA">
        <w:rPr>
          <w:sz w:val="20"/>
          <w:szCs w:val="20"/>
          <w:lang w:val="en-US"/>
        </w:rPr>
        <w:t>(</w:t>
      </w:r>
      <w:r w:rsidR="00345370" w:rsidRPr="00AC57EA">
        <w:rPr>
          <w:i/>
          <w:sz w:val="20"/>
          <w:szCs w:val="20"/>
          <w:lang w:val="en-US"/>
        </w:rPr>
        <w:t>supra</w:t>
      </w:r>
      <w:r w:rsidR="00345370" w:rsidRPr="00AC57EA">
        <w:rPr>
          <w:sz w:val="20"/>
          <w:szCs w:val="20"/>
          <w:lang w:val="en-US"/>
        </w:rPr>
        <w:t xml:space="preserve"> </w:t>
      </w:r>
      <w:r w:rsidR="00171E27" w:rsidRPr="00AC57EA">
        <w:rPr>
          <w:sz w:val="20"/>
          <w:szCs w:val="20"/>
          <w:lang w:val="en-US"/>
        </w:rPr>
        <w:t>para.</w:t>
      </w:r>
      <w:r w:rsidR="00345370" w:rsidRPr="00AC57EA">
        <w:rPr>
          <w:sz w:val="20"/>
          <w:szCs w:val="20"/>
          <w:lang w:val="en-US"/>
        </w:rPr>
        <w:t xml:space="preserve"> </w:t>
      </w:r>
      <w:r w:rsidR="000C7392" w:rsidRPr="00AC57EA">
        <w:rPr>
          <w:sz w:val="20"/>
          <w:szCs w:val="20"/>
          <w:lang w:val="en-US"/>
        </w:rPr>
        <w:t>118</w:t>
      </w:r>
      <w:r w:rsidR="00345370" w:rsidRPr="00AC57EA">
        <w:rPr>
          <w:sz w:val="20"/>
          <w:szCs w:val="20"/>
          <w:lang w:val="en-US"/>
        </w:rPr>
        <w:t>).</w:t>
      </w:r>
      <w:r w:rsidRPr="00AC57EA">
        <w:rPr>
          <w:sz w:val="20"/>
          <w:szCs w:val="20"/>
          <w:lang w:val="en-US"/>
        </w:rPr>
        <w:t xml:space="preserve"> This video was not provided to the Inter-American Court, despite the Court requesting it as helpful evidence</w:t>
      </w:r>
      <w:r w:rsidR="00345370" w:rsidRPr="00AC57EA">
        <w:rPr>
          <w:sz w:val="20"/>
          <w:szCs w:val="20"/>
          <w:lang w:val="en-US"/>
        </w:rPr>
        <w:t xml:space="preserve"> (</w:t>
      </w:r>
      <w:r w:rsidR="00345370" w:rsidRPr="00AC57EA">
        <w:rPr>
          <w:i/>
          <w:sz w:val="20"/>
          <w:szCs w:val="20"/>
          <w:lang w:val="en-US"/>
        </w:rPr>
        <w:t>supra</w:t>
      </w:r>
      <w:r w:rsidR="000C7392" w:rsidRPr="00AC57EA">
        <w:rPr>
          <w:sz w:val="20"/>
          <w:szCs w:val="20"/>
          <w:lang w:val="en-US"/>
        </w:rPr>
        <w:t xml:space="preserve"> </w:t>
      </w:r>
      <w:r w:rsidR="00171E27" w:rsidRPr="00AC57EA">
        <w:rPr>
          <w:sz w:val="20"/>
          <w:szCs w:val="20"/>
          <w:lang w:val="en-US"/>
        </w:rPr>
        <w:t>para.</w:t>
      </w:r>
      <w:r w:rsidR="000C7392" w:rsidRPr="00AC57EA">
        <w:rPr>
          <w:sz w:val="20"/>
          <w:szCs w:val="20"/>
          <w:lang w:val="en-US"/>
        </w:rPr>
        <w:t xml:space="preserve"> 12</w:t>
      </w:r>
      <w:r w:rsidR="00345370" w:rsidRPr="00AC57EA">
        <w:rPr>
          <w:sz w:val="20"/>
          <w:szCs w:val="20"/>
          <w:lang w:val="en-US"/>
        </w:rPr>
        <w:t>)</w:t>
      </w:r>
      <w:r w:rsidR="00B5625C" w:rsidRPr="00AC57EA">
        <w:rPr>
          <w:sz w:val="20"/>
          <w:szCs w:val="20"/>
          <w:lang w:val="en-US"/>
        </w:rPr>
        <w:t>.</w:t>
      </w:r>
    </w:p>
    <w:p w14:paraId="42F2A382" w14:textId="77777777" w:rsidR="00B5625C" w:rsidRPr="00AC57EA" w:rsidRDefault="00B5625C" w:rsidP="00D644BC">
      <w:pPr>
        <w:tabs>
          <w:tab w:val="left" w:pos="567"/>
        </w:tabs>
        <w:spacing w:line="240" w:lineRule="auto"/>
        <w:rPr>
          <w:sz w:val="20"/>
          <w:szCs w:val="20"/>
          <w:lang w:val="en-US"/>
        </w:rPr>
      </w:pPr>
    </w:p>
    <w:p w14:paraId="717780E6" w14:textId="61990CF4" w:rsidR="00B5625C" w:rsidRPr="00AC57EA" w:rsidRDefault="00FA3B70"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Mr.</w:t>
      </w:r>
      <w:r w:rsidR="00B5625C" w:rsidRPr="00AC57EA">
        <w:rPr>
          <w:sz w:val="20"/>
          <w:szCs w:val="20"/>
          <w:lang w:val="en-US"/>
        </w:rPr>
        <w:t xml:space="preserve"> H.R.A. </w:t>
      </w:r>
      <w:r w:rsidRPr="00AC57EA">
        <w:rPr>
          <w:sz w:val="20"/>
          <w:szCs w:val="20"/>
          <w:lang w:val="en-US"/>
        </w:rPr>
        <w:t>died on August 29,</w:t>
      </w:r>
      <w:r w:rsidR="00B5625C" w:rsidRPr="00AC57EA">
        <w:rPr>
          <w:sz w:val="20"/>
          <w:szCs w:val="20"/>
          <w:lang w:val="en-US"/>
        </w:rPr>
        <w:t xml:space="preserve"> 2008</w:t>
      </w:r>
      <w:r w:rsidRPr="00AC57EA">
        <w:rPr>
          <w:sz w:val="20"/>
          <w:szCs w:val="20"/>
          <w:lang w:val="en-US"/>
        </w:rPr>
        <w:t>.</w:t>
      </w:r>
      <w:r w:rsidR="00B5625C" w:rsidRPr="00AC57EA">
        <w:rPr>
          <w:sz w:val="20"/>
          <w:szCs w:val="20"/>
          <w:vertAlign w:val="superscript"/>
          <w:lang w:val="en-US"/>
        </w:rPr>
        <w:footnoteReference w:id="155"/>
      </w:r>
    </w:p>
    <w:p w14:paraId="1098ED1F" w14:textId="77777777" w:rsidR="00B5625C" w:rsidRPr="00AC57EA" w:rsidRDefault="00B5625C" w:rsidP="00B5625C">
      <w:pPr>
        <w:spacing w:line="240" w:lineRule="auto"/>
        <w:rPr>
          <w:sz w:val="20"/>
          <w:szCs w:val="20"/>
          <w:lang w:val="en-US"/>
        </w:rPr>
      </w:pPr>
    </w:p>
    <w:p w14:paraId="55CD7196" w14:textId="2FDA74AB" w:rsidR="00B5625C" w:rsidRPr="00AC57EA" w:rsidRDefault="00246365" w:rsidP="002C415B">
      <w:pPr>
        <w:pStyle w:val="Prrafodelista"/>
        <w:keepNext/>
        <w:keepLines/>
        <w:numPr>
          <w:ilvl w:val="0"/>
          <w:numId w:val="15"/>
        </w:numPr>
        <w:tabs>
          <w:tab w:val="left" w:pos="1134"/>
        </w:tabs>
        <w:spacing w:line="240" w:lineRule="auto"/>
        <w:outlineLvl w:val="1"/>
        <w:rPr>
          <w:rFonts w:eastAsia="MS Mincho"/>
          <w:b/>
          <w:bCs/>
          <w:i/>
          <w:sz w:val="20"/>
          <w:szCs w:val="20"/>
          <w:lang w:val="en-US"/>
        </w:rPr>
      </w:pPr>
      <w:r w:rsidRPr="00AC57EA">
        <w:rPr>
          <w:rFonts w:eastAsia="MS Mincho"/>
          <w:b/>
          <w:bCs/>
          <w:i/>
          <w:sz w:val="20"/>
          <w:szCs w:val="20"/>
          <w:lang w:val="en-US"/>
        </w:rPr>
        <w:t>Complaints filed by V.P.C. for irregularities in the investigation and the proceedings</w:t>
      </w:r>
    </w:p>
    <w:p w14:paraId="458B7197" w14:textId="77777777" w:rsidR="00B5625C" w:rsidRPr="00AC57EA" w:rsidRDefault="00B5625C" w:rsidP="00B5625C">
      <w:pPr>
        <w:spacing w:line="240" w:lineRule="auto"/>
        <w:rPr>
          <w:sz w:val="20"/>
          <w:szCs w:val="20"/>
          <w:lang w:val="en-US"/>
        </w:rPr>
      </w:pPr>
    </w:p>
    <w:p w14:paraId="11918F7D" w14:textId="4B27FBC2" w:rsidR="00B5625C" w:rsidRPr="00AC57EA" w:rsidRDefault="00246365"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In addition</w:t>
      </w:r>
      <w:r w:rsidR="00B5625C" w:rsidRPr="00AC57EA">
        <w:rPr>
          <w:sz w:val="20"/>
          <w:szCs w:val="20"/>
          <w:lang w:val="en-US"/>
        </w:rPr>
        <w:t xml:space="preserve"> </w:t>
      </w:r>
      <w:r w:rsidRPr="00AC57EA">
        <w:rPr>
          <w:sz w:val="20"/>
          <w:szCs w:val="20"/>
          <w:lang w:val="en-US"/>
        </w:rPr>
        <w:t xml:space="preserve">to </w:t>
      </w:r>
      <w:r w:rsidR="00C173D4" w:rsidRPr="00AC57EA">
        <w:rPr>
          <w:sz w:val="20"/>
          <w:szCs w:val="20"/>
          <w:lang w:val="en-US"/>
        </w:rPr>
        <w:t xml:space="preserve">filing </w:t>
      </w:r>
      <w:r w:rsidRPr="00AC57EA">
        <w:rPr>
          <w:sz w:val="20"/>
          <w:szCs w:val="20"/>
          <w:lang w:val="en-US"/>
        </w:rPr>
        <w:t xml:space="preserve">the charges </w:t>
      </w:r>
      <w:r w:rsidR="002A01B7" w:rsidRPr="00AC57EA">
        <w:rPr>
          <w:sz w:val="20"/>
          <w:szCs w:val="20"/>
          <w:lang w:val="en-US"/>
        </w:rPr>
        <w:t>against</w:t>
      </w:r>
      <w:r w:rsidRPr="00AC57EA">
        <w:rPr>
          <w:sz w:val="20"/>
          <w:szCs w:val="20"/>
          <w:lang w:val="en-US"/>
        </w:rPr>
        <w:t xml:space="preserve"> H.R.A.</w:t>
      </w:r>
      <w:r w:rsidR="00C173D4" w:rsidRPr="00AC57EA">
        <w:rPr>
          <w:sz w:val="20"/>
          <w:szCs w:val="20"/>
          <w:lang w:val="en-US"/>
        </w:rPr>
        <w:t xml:space="preserve"> through her legal representatives,</w:t>
      </w:r>
      <w:r w:rsidRPr="00AC57EA">
        <w:rPr>
          <w:sz w:val="20"/>
          <w:szCs w:val="20"/>
          <w:lang w:val="en-US"/>
        </w:rPr>
        <w:t xml:space="preserve"> during the proceedings, V.P.C. took other steps</w:t>
      </w:r>
      <w:r w:rsidR="00C173D4" w:rsidRPr="00AC57EA">
        <w:rPr>
          <w:sz w:val="20"/>
          <w:szCs w:val="20"/>
          <w:lang w:val="en-US"/>
        </w:rPr>
        <w:t xml:space="preserve"> </w:t>
      </w:r>
      <w:r w:rsidRPr="00AC57EA">
        <w:rPr>
          <w:sz w:val="20"/>
          <w:szCs w:val="20"/>
          <w:lang w:val="en-US"/>
        </w:rPr>
        <w:t>to denounce presumed irregularities in the investigation and the proceedings</w:t>
      </w:r>
      <w:r w:rsidR="00B5625C" w:rsidRPr="00AC57EA">
        <w:rPr>
          <w:sz w:val="20"/>
          <w:szCs w:val="20"/>
          <w:lang w:val="en-US"/>
        </w:rPr>
        <w:t>.</w:t>
      </w:r>
    </w:p>
    <w:p w14:paraId="183A7BE4" w14:textId="77777777" w:rsidR="00B5625C" w:rsidRPr="00AC57EA" w:rsidRDefault="00B5625C" w:rsidP="00B5625C">
      <w:pPr>
        <w:tabs>
          <w:tab w:val="left" w:pos="567"/>
        </w:tabs>
        <w:spacing w:line="240" w:lineRule="auto"/>
        <w:rPr>
          <w:sz w:val="20"/>
          <w:szCs w:val="20"/>
          <w:lang w:val="en-US"/>
        </w:rPr>
      </w:pPr>
    </w:p>
    <w:p w14:paraId="16AF8643" w14:textId="2D04965C" w:rsidR="00B5625C" w:rsidRPr="00AC57EA" w:rsidRDefault="00246365" w:rsidP="002C415B">
      <w:pPr>
        <w:widowControl/>
        <w:numPr>
          <w:ilvl w:val="0"/>
          <w:numId w:val="9"/>
        </w:numPr>
        <w:adjustRightInd/>
        <w:spacing w:line="240" w:lineRule="auto"/>
        <w:jc w:val="left"/>
        <w:textAlignment w:val="auto"/>
        <w:rPr>
          <w:i/>
          <w:sz w:val="20"/>
          <w:szCs w:val="20"/>
          <w:lang w:val="en-US"/>
        </w:rPr>
      </w:pPr>
      <w:r w:rsidRPr="00AC57EA">
        <w:rPr>
          <w:i/>
          <w:sz w:val="20"/>
          <w:szCs w:val="20"/>
          <w:lang w:val="en-US"/>
        </w:rPr>
        <w:t>V.P.C.’s complaints against the forensic physician</w:t>
      </w:r>
    </w:p>
    <w:p w14:paraId="66BE872A" w14:textId="77777777" w:rsidR="00B5625C" w:rsidRPr="00AC57EA" w:rsidRDefault="00B5625C" w:rsidP="00B5625C">
      <w:pPr>
        <w:tabs>
          <w:tab w:val="left" w:pos="567"/>
        </w:tabs>
        <w:spacing w:line="240" w:lineRule="auto"/>
        <w:rPr>
          <w:sz w:val="20"/>
          <w:szCs w:val="20"/>
          <w:lang w:val="en-US"/>
        </w:rPr>
      </w:pPr>
    </w:p>
    <w:p w14:paraId="36543365" w14:textId="0FDDCBED" w:rsidR="00B5625C" w:rsidRPr="00AC57EA" w:rsidRDefault="00EB7A83"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22,</w:t>
      </w:r>
      <w:r w:rsidR="00B5625C" w:rsidRPr="00AC57EA">
        <w:rPr>
          <w:sz w:val="20"/>
          <w:szCs w:val="20"/>
          <w:lang w:val="en-US"/>
        </w:rPr>
        <w:t xml:space="preserve"> 2001</w:t>
      </w:r>
      <w:r w:rsidR="00246365" w:rsidRPr="00AC57EA">
        <w:rPr>
          <w:sz w:val="20"/>
          <w:szCs w:val="20"/>
          <w:lang w:val="en-US"/>
        </w:rPr>
        <w:t xml:space="preserve">, </w:t>
      </w:r>
      <w:r w:rsidR="00B5625C" w:rsidRPr="00AC57EA">
        <w:rPr>
          <w:sz w:val="20"/>
          <w:szCs w:val="20"/>
          <w:lang w:val="en-US"/>
        </w:rPr>
        <w:t xml:space="preserve">V.P.C. </w:t>
      </w:r>
      <w:r w:rsidR="00246365" w:rsidRPr="00AC57EA">
        <w:rPr>
          <w:sz w:val="20"/>
          <w:szCs w:val="20"/>
          <w:lang w:val="en-US"/>
        </w:rPr>
        <w:t>filed a brief with the</w:t>
      </w:r>
      <w:r w:rsidR="00B5625C" w:rsidRPr="00AC57EA">
        <w:rPr>
          <w:sz w:val="20"/>
          <w:szCs w:val="20"/>
          <w:lang w:val="en-US"/>
        </w:rPr>
        <w:t xml:space="preserve"> Director </w:t>
      </w:r>
      <w:r w:rsidR="00246365" w:rsidRPr="00AC57EA">
        <w:rPr>
          <w:sz w:val="20"/>
          <w:szCs w:val="20"/>
          <w:lang w:val="en-US"/>
        </w:rPr>
        <w:t>of the</w:t>
      </w:r>
      <w:r w:rsidR="00B5625C" w:rsidRPr="00AC57EA">
        <w:rPr>
          <w:sz w:val="20"/>
          <w:szCs w:val="20"/>
          <w:lang w:val="en-US"/>
        </w:rPr>
        <w:t xml:space="preserve"> </w:t>
      </w:r>
      <w:r w:rsidR="00A80E9E" w:rsidRPr="00AC57EA">
        <w:rPr>
          <w:sz w:val="20"/>
          <w:szCs w:val="20"/>
          <w:lang w:val="en-US"/>
        </w:rPr>
        <w:t>Local Comprehensive Health Care System</w:t>
      </w:r>
      <w:r w:rsidR="00B5625C" w:rsidRPr="00AC57EA">
        <w:rPr>
          <w:sz w:val="20"/>
          <w:szCs w:val="20"/>
          <w:lang w:val="en-US"/>
        </w:rPr>
        <w:t xml:space="preserve"> (SILAIS) </w:t>
      </w:r>
      <w:r w:rsidR="00246365" w:rsidRPr="00AC57EA">
        <w:rPr>
          <w:sz w:val="20"/>
          <w:szCs w:val="20"/>
          <w:lang w:val="en-US"/>
        </w:rPr>
        <w:t xml:space="preserve">of the </w:t>
      </w:r>
      <w:r w:rsidR="00A80E9E" w:rsidRPr="00AC57EA">
        <w:rPr>
          <w:sz w:val="20"/>
          <w:szCs w:val="20"/>
          <w:lang w:val="en-US"/>
        </w:rPr>
        <w:t>Department of</w:t>
      </w:r>
      <w:r w:rsidR="00B5625C" w:rsidRPr="00AC57EA">
        <w:rPr>
          <w:sz w:val="20"/>
          <w:szCs w:val="20"/>
          <w:lang w:val="en-US"/>
        </w:rPr>
        <w:t xml:space="preserve"> Jinotega, </w:t>
      </w:r>
      <w:r w:rsidR="00246365" w:rsidRPr="00AC57EA">
        <w:rPr>
          <w:sz w:val="20"/>
          <w:szCs w:val="20"/>
          <w:lang w:val="en-US"/>
        </w:rPr>
        <w:t xml:space="preserve">in which she denounced the conduct of the forensic physician when he performed the medical </w:t>
      </w:r>
      <w:r w:rsidRPr="00AC57EA">
        <w:rPr>
          <w:sz w:val="20"/>
          <w:szCs w:val="20"/>
          <w:lang w:val="en-US"/>
        </w:rPr>
        <w:t>examination</w:t>
      </w:r>
      <w:r w:rsidR="00B5625C" w:rsidRPr="00AC57EA">
        <w:rPr>
          <w:sz w:val="20"/>
          <w:szCs w:val="20"/>
          <w:lang w:val="en-US"/>
        </w:rPr>
        <w:t xml:space="preserve"> </w:t>
      </w:r>
      <w:r w:rsidR="00246365" w:rsidRPr="00AC57EA">
        <w:rPr>
          <w:sz w:val="20"/>
          <w:szCs w:val="20"/>
          <w:lang w:val="en-US"/>
        </w:rPr>
        <w:t>of</w:t>
      </w:r>
      <w:r w:rsidR="00B5625C" w:rsidRPr="00AC57EA">
        <w:rPr>
          <w:sz w:val="20"/>
          <w:szCs w:val="20"/>
          <w:lang w:val="en-US"/>
        </w:rPr>
        <w:t xml:space="preserve"> V.R.P.</w:t>
      </w:r>
      <w:r w:rsidR="00B5625C" w:rsidRPr="00AC57EA">
        <w:rPr>
          <w:sz w:val="20"/>
          <w:szCs w:val="20"/>
          <w:vertAlign w:val="superscript"/>
          <w:lang w:val="en-US"/>
        </w:rPr>
        <w:footnoteReference w:id="156"/>
      </w:r>
      <w:r w:rsidR="00B5625C" w:rsidRPr="00AC57EA">
        <w:rPr>
          <w:sz w:val="20"/>
          <w:szCs w:val="20"/>
          <w:lang w:val="en-US"/>
        </w:rPr>
        <w:t xml:space="preserve"> </w:t>
      </w:r>
      <w:r w:rsidR="000E74DA" w:rsidRPr="00AC57EA">
        <w:rPr>
          <w:sz w:val="20"/>
          <w:szCs w:val="20"/>
          <w:lang w:val="en-US"/>
        </w:rPr>
        <w:t>On November 26,</w:t>
      </w:r>
      <w:r w:rsidR="00B5625C" w:rsidRPr="00AC57EA">
        <w:rPr>
          <w:sz w:val="20"/>
          <w:szCs w:val="20"/>
          <w:lang w:val="en-US"/>
        </w:rPr>
        <w:t xml:space="preserve"> 2001</w:t>
      </w:r>
      <w:r w:rsidR="00246365" w:rsidRPr="00AC57EA">
        <w:rPr>
          <w:sz w:val="20"/>
          <w:szCs w:val="20"/>
          <w:lang w:val="en-US"/>
        </w:rPr>
        <w:t>, the Jinotega</w:t>
      </w:r>
      <w:r w:rsidR="00B5625C" w:rsidRPr="00AC57EA">
        <w:rPr>
          <w:sz w:val="20"/>
          <w:szCs w:val="20"/>
          <w:lang w:val="en-US"/>
        </w:rPr>
        <w:t xml:space="preserve"> SILAIS </w:t>
      </w:r>
      <w:r w:rsidR="00246365" w:rsidRPr="00AC57EA">
        <w:rPr>
          <w:sz w:val="20"/>
          <w:szCs w:val="20"/>
          <w:lang w:val="en-US"/>
        </w:rPr>
        <w:t xml:space="preserve">advised her that it was unable to process the complaint, because, as he was a forensic physician appointed by </w:t>
      </w:r>
      <w:r w:rsidR="000E74DA" w:rsidRPr="00AC57EA">
        <w:rPr>
          <w:sz w:val="20"/>
          <w:szCs w:val="20"/>
          <w:lang w:val="en-US"/>
        </w:rPr>
        <w:t>the Supreme Court of Justice</w:t>
      </w:r>
      <w:r w:rsidR="00B5625C" w:rsidRPr="00AC57EA">
        <w:rPr>
          <w:sz w:val="20"/>
          <w:szCs w:val="20"/>
          <w:lang w:val="en-US"/>
        </w:rPr>
        <w:t xml:space="preserve"> </w:t>
      </w:r>
      <w:r w:rsidR="00246365" w:rsidRPr="00AC57EA">
        <w:rPr>
          <w:sz w:val="20"/>
          <w:szCs w:val="20"/>
          <w:lang w:val="en-US"/>
        </w:rPr>
        <w:t xml:space="preserve">he was not attached to the </w:t>
      </w:r>
      <w:r w:rsidR="00B5625C" w:rsidRPr="00AC57EA">
        <w:rPr>
          <w:sz w:val="20"/>
          <w:szCs w:val="20"/>
          <w:lang w:val="en-US"/>
        </w:rPr>
        <w:t xml:space="preserve"> </w:t>
      </w:r>
      <w:r w:rsidR="00246365" w:rsidRPr="00AC57EA">
        <w:rPr>
          <w:sz w:val="20"/>
          <w:szCs w:val="20"/>
          <w:lang w:val="en-US"/>
        </w:rPr>
        <w:t xml:space="preserve">Ministry of Health; therefore, the complaint should be lodged with </w:t>
      </w:r>
      <w:r w:rsidR="000E74DA" w:rsidRPr="00AC57EA">
        <w:rPr>
          <w:sz w:val="20"/>
          <w:szCs w:val="20"/>
          <w:lang w:val="en-US"/>
        </w:rPr>
        <w:t>the Supreme Court of Justice</w:t>
      </w:r>
      <w:r w:rsidR="00246365" w:rsidRPr="00AC57EA">
        <w:rPr>
          <w:sz w:val="20"/>
          <w:szCs w:val="20"/>
          <w:lang w:val="en-US"/>
        </w:rPr>
        <w:t>.</w:t>
      </w:r>
      <w:r w:rsidR="00B5625C" w:rsidRPr="00AC57EA">
        <w:rPr>
          <w:sz w:val="20"/>
          <w:szCs w:val="20"/>
          <w:vertAlign w:val="superscript"/>
          <w:lang w:val="en-US"/>
        </w:rPr>
        <w:footnoteReference w:id="157"/>
      </w:r>
    </w:p>
    <w:p w14:paraId="57447B10" w14:textId="77777777" w:rsidR="00B5625C" w:rsidRPr="00AC57EA" w:rsidRDefault="00B5625C" w:rsidP="00B5625C">
      <w:pPr>
        <w:tabs>
          <w:tab w:val="left" w:pos="567"/>
        </w:tabs>
        <w:spacing w:line="240" w:lineRule="auto"/>
        <w:rPr>
          <w:sz w:val="20"/>
          <w:szCs w:val="20"/>
          <w:lang w:val="en-US"/>
        </w:rPr>
      </w:pPr>
    </w:p>
    <w:p w14:paraId="0D1E7D03" w14:textId="31D7E880" w:rsidR="00B5625C" w:rsidRPr="00AC57EA" w:rsidRDefault="00246365" w:rsidP="00A0286E">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On April 30,</w:t>
      </w:r>
      <w:r w:rsidR="00B5625C" w:rsidRPr="00AC57EA">
        <w:rPr>
          <w:sz w:val="20"/>
          <w:szCs w:val="20"/>
          <w:lang w:val="en-US"/>
        </w:rPr>
        <w:t xml:space="preserve"> 2002</w:t>
      </w:r>
      <w:r w:rsidRPr="00AC57EA">
        <w:rPr>
          <w:sz w:val="20"/>
          <w:szCs w:val="20"/>
          <w:lang w:val="en-US"/>
        </w:rPr>
        <w:t xml:space="preserve">, </w:t>
      </w:r>
      <w:r w:rsidR="00B5625C" w:rsidRPr="00AC57EA">
        <w:rPr>
          <w:sz w:val="20"/>
          <w:szCs w:val="20"/>
          <w:lang w:val="en-US"/>
        </w:rPr>
        <w:t xml:space="preserve">V.P.C. </w:t>
      </w:r>
      <w:r w:rsidRPr="00AC57EA">
        <w:rPr>
          <w:sz w:val="20"/>
          <w:szCs w:val="20"/>
          <w:lang w:val="en-US"/>
        </w:rPr>
        <w:t xml:space="preserve">filed a complaint </w:t>
      </w:r>
      <w:r w:rsidR="001805D1" w:rsidRPr="00AC57EA">
        <w:rPr>
          <w:sz w:val="20"/>
          <w:szCs w:val="20"/>
          <w:lang w:val="en-US"/>
        </w:rPr>
        <w:t xml:space="preserve">against the forensic physician </w:t>
      </w:r>
      <w:r w:rsidRPr="00AC57EA">
        <w:rPr>
          <w:sz w:val="20"/>
          <w:szCs w:val="20"/>
          <w:lang w:val="en-US"/>
        </w:rPr>
        <w:t xml:space="preserve">with </w:t>
      </w:r>
      <w:r w:rsidR="00B7258C" w:rsidRPr="00AC57EA">
        <w:rPr>
          <w:sz w:val="20"/>
          <w:szCs w:val="20"/>
          <w:lang w:val="en-US"/>
        </w:rPr>
        <w:t xml:space="preserve">the </w:t>
      </w:r>
      <w:r w:rsidR="00152A85" w:rsidRPr="00AC57EA">
        <w:rPr>
          <w:sz w:val="20"/>
          <w:szCs w:val="20"/>
          <w:lang w:val="en-US"/>
        </w:rPr>
        <w:t>Disciplinary Committee</w:t>
      </w:r>
      <w:r w:rsidR="00B7258C" w:rsidRPr="00AC57EA">
        <w:rPr>
          <w:sz w:val="20"/>
          <w:szCs w:val="20"/>
          <w:lang w:val="en-US"/>
        </w:rPr>
        <w:t xml:space="preserve"> of </w:t>
      </w:r>
      <w:r w:rsidR="000E74DA" w:rsidRPr="00AC57EA">
        <w:rPr>
          <w:sz w:val="20"/>
          <w:szCs w:val="20"/>
          <w:lang w:val="en-US"/>
        </w:rPr>
        <w:t>the Supreme Court of Justice</w:t>
      </w:r>
      <w:r w:rsidR="001805D1" w:rsidRPr="00AC57EA">
        <w:rPr>
          <w:sz w:val="20"/>
          <w:szCs w:val="20"/>
          <w:lang w:val="en-US"/>
        </w:rPr>
        <w:t>,</w:t>
      </w:r>
      <w:r w:rsidR="00B5625C" w:rsidRPr="00AC57EA">
        <w:rPr>
          <w:sz w:val="20"/>
          <w:szCs w:val="20"/>
          <w:vertAlign w:val="superscript"/>
          <w:lang w:val="en-US"/>
        </w:rPr>
        <w:footnoteReference w:id="158"/>
      </w:r>
      <w:r w:rsidR="001805D1" w:rsidRPr="00AC57EA">
        <w:rPr>
          <w:sz w:val="20"/>
          <w:szCs w:val="20"/>
          <w:lang w:val="en-US"/>
        </w:rPr>
        <w:t xml:space="preserve"> and re</w:t>
      </w:r>
      <w:r w:rsidR="00C173D4" w:rsidRPr="00AC57EA">
        <w:rPr>
          <w:sz w:val="20"/>
          <w:szCs w:val="20"/>
          <w:lang w:val="en-US"/>
        </w:rPr>
        <w:t>peated</w:t>
      </w:r>
      <w:r w:rsidR="001805D1" w:rsidRPr="00AC57EA">
        <w:rPr>
          <w:sz w:val="20"/>
          <w:szCs w:val="20"/>
          <w:lang w:val="en-US"/>
        </w:rPr>
        <w:t xml:space="preserve"> this on July 22 the same year.</w:t>
      </w:r>
      <w:r w:rsidR="00B5625C" w:rsidRPr="00AC57EA">
        <w:rPr>
          <w:sz w:val="20"/>
          <w:szCs w:val="20"/>
          <w:vertAlign w:val="superscript"/>
          <w:lang w:val="en-US"/>
        </w:rPr>
        <w:footnoteReference w:id="159"/>
      </w:r>
      <w:r w:rsidR="00B5625C" w:rsidRPr="00AC57EA">
        <w:rPr>
          <w:sz w:val="20"/>
          <w:szCs w:val="20"/>
          <w:lang w:val="en-US"/>
        </w:rPr>
        <w:t xml:space="preserve"> </w:t>
      </w:r>
      <w:r w:rsidR="001805D1" w:rsidRPr="00AC57EA">
        <w:rPr>
          <w:sz w:val="20"/>
          <w:szCs w:val="20"/>
          <w:lang w:val="en-US"/>
        </w:rPr>
        <w:t xml:space="preserve">On July 1, </w:t>
      </w:r>
      <w:r w:rsidR="00B5625C" w:rsidRPr="00AC57EA">
        <w:rPr>
          <w:sz w:val="20"/>
          <w:szCs w:val="20"/>
          <w:lang w:val="en-US"/>
        </w:rPr>
        <w:t>2003</w:t>
      </w:r>
      <w:r w:rsidR="001805D1" w:rsidRPr="00AC57EA">
        <w:rPr>
          <w:sz w:val="20"/>
          <w:szCs w:val="20"/>
          <w:lang w:val="en-US"/>
        </w:rPr>
        <w:t xml:space="preserve">, </w:t>
      </w:r>
      <w:r w:rsidR="00B5625C" w:rsidRPr="00AC57EA">
        <w:rPr>
          <w:sz w:val="20"/>
          <w:szCs w:val="20"/>
          <w:lang w:val="en-US"/>
        </w:rPr>
        <w:t>V.P.C.</w:t>
      </w:r>
      <w:r w:rsidR="001805D1" w:rsidRPr="00AC57EA">
        <w:rPr>
          <w:sz w:val="20"/>
          <w:szCs w:val="20"/>
          <w:lang w:val="en-US"/>
        </w:rPr>
        <w:t>’s lawyer presented a communication to</w:t>
      </w:r>
      <w:r w:rsidR="00B5625C" w:rsidRPr="00AC57EA">
        <w:rPr>
          <w:sz w:val="20"/>
          <w:szCs w:val="20"/>
          <w:lang w:val="en-US"/>
        </w:rPr>
        <w:t xml:space="preserve"> </w:t>
      </w:r>
      <w:r w:rsidR="00B7258C" w:rsidRPr="00AC57EA">
        <w:rPr>
          <w:sz w:val="20"/>
          <w:szCs w:val="20"/>
          <w:lang w:val="en-US"/>
        </w:rPr>
        <w:t xml:space="preserve">the </w:t>
      </w:r>
      <w:r w:rsidR="00152A85" w:rsidRPr="00AC57EA">
        <w:rPr>
          <w:sz w:val="20"/>
          <w:szCs w:val="20"/>
          <w:lang w:val="en-US"/>
        </w:rPr>
        <w:t>Disciplinary Committee</w:t>
      </w:r>
      <w:r w:rsidR="00B7258C" w:rsidRPr="00AC57EA">
        <w:rPr>
          <w:sz w:val="20"/>
          <w:szCs w:val="20"/>
          <w:lang w:val="en-US"/>
        </w:rPr>
        <w:t xml:space="preserve"> of </w:t>
      </w:r>
      <w:r w:rsidR="000E74DA" w:rsidRPr="00AC57EA">
        <w:rPr>
          <w:sz w:val="20"/>
          <w:szCs w:val="20"/>
          <w:lang w:val="en-US"/>
        </w:rPr>
        <w:t>the Supreme Court of Justice</w:t>
      </w:r>
      <w:r w:rsidR="001805D1" w:rsidRPr="00AC57EA">
        <w:rPr>
          <w:sz w:val="20"/>
          <w:szCs w:val="20"/>
          <w:lang w:val="en-US"/>
        </w:rPr>
        <w:t xml:space="preserve"> in which he argued that</w:t>
      </w:r>
      <w:r w:rsidR="00B5625C" w:rsidRPr="00AC57EA">
        <w:rPr>
          <w:sz w:val="20"/>
          <w:szCs w:val="20"/>
          <w:lang w:val="en-US"/>
        </w:rPr>
        <w:t xml:space="preserve"> </w:t>
      </w:r>
      <w:r w:rsidRPr="00AC57EA">
        <w:rPr>
          <w:sz w:val="20"/>
          <w:szCs w:val="20"/>
          <w:lang w:val="en-US"/>
        </w:rPr>
        <w:t>the forensic physician</w:t>
      </w:r>
      <w:r w:rsidR="001805D1" w:rsidRPr="00AC57EA">
        <w:rPr>
          <w:sz w:val="20"/>
          <w:szCs w:val="20"/>
          <w:lang w:val="en-US"/>
        </w:rPr>
        <w:t xml:space="preserve"> had acted in a biased manner</w:t>
      </w:r>
      <w:r w:rsidR="00B5625C" w:rsidRPr="00AC57EA">
        <w:rPr>
          <w:sz w:val="20"/>
          <w:szCs w:val="20"/>
          <w:lang w:val="en-US"/>
        </w:rPr>
        <w:t xml:space="preserve">. </w:t>
      </w:r>
      <w:r w:rsidR="001805D1" w:rsidRPr="00AC57EA">
        <w:rPr>
          <w:sz w:val="20"/>
          <w:szCs w:val="20"/>
          <w:lang w:val="en-US"/>
        </w:rPr>
        <w:t xml:space="preserve">He also indicated that the brother of the said physician had taken part in the criminal proceedings as a witness in favor of the accused and that </w:t>
      </w:r>
      <w:r w:rsidR="00C173D4" w:rsidRPr="00AC57EA">
        <w:rPr>
          <w:sz w:val="20"/>
          <w:szCs w:val="20"/>
          <w:lang w:val="en-US"/>
        </w:rPr>
        <w:t>the physician</w:t>
      </w:r>
      <w:r w:rsidR="001805D1" w:rsidRPr="00AC57EA">
        <w:rPr>
          <w:sz w:val="20"/>
          <w:szCs w:val="20"/>
          <w:lang w:val="en-US"/>
        </w:rPr>
        <w:t xml:space="preserve"> had filed a criminal action for defamation and libel against </w:t>
      </w:r>
      <w:r w:rsidR="00B5625C" w:rsidRPr="00AC57EA">
        <w:rPr>
          <w:sz w:val="20"/>
          <w:szCs w:val="20"/>
          <w:lang w:val="en-US"/>
        </w:rPr>
        <w:t>V.P.C.</w:t>
      </w:r>
      <w:r w:rsidR="00B5625C" w:rsidRPr="00AC57EA">
        <w:rPr>
          <w:sz w:val="20"/>
          <w:szCs w:val="20"/>
          <w:vertAlign w:val="superscript"/>
          <w:lang w:val="en-US"/>
        </w:rPr>
        <w:footnoteReference w:id="160"/>
      </w:r>
      <w:r w:rsidR="00B5625C" w:rsidRPr="00AC57EA">
        <w:rPr>
          <w:sz w:val="20"/>
          <w:szCs w:val="20"/>
          <w:lang w:val="en-US"/>
        </w:rPr>
        <w:t xml:space="preserve"> </w:t>
      </w:r>
      <w:r w:rsidR="001805D1" w:rsidRPr="00AC57EA">
        <w:rPr>
          <w:sz w:val="20"/>
          <w:szCs w:val="20"/>
          <w:lang w:val="en-US"/>
        </w:rPr>
        <w:t>According to</w:t>
      </w:r>
      <w:r w:rsidR="00B5625C" w:rsidRPr="00AC57EA">
        <w:rPr>
          <w:sz w:val="20"/>
          <w:szCs w:val="20"/>
          <w:lang w:val="en-US"/>
        </w:rPr>
        <w:t xml:space="preserve"> </w:t>
      </w:r>
      <w:r w:rsidR="00EC52D7" w:rsidRPr="00AC57EA">
        <w:rPr>
          <w:sz w:val="20"/>
          <w:szCs w:val="20"/>
          <w:lang w:val="en-US"/>
        </w:rPr>
        <w:t>the State</w:t>
      </w:r>
      <w:r w:rsidR="00B5625C" w:rsidRPr="00AC57EA">
        <w:rPr>
          <w:sz w:val="20"/>
          <w:szCs w:val="20"/>
          <w:lang w:val="en-US"/>
        </w:rPr>
        <w:t xml:space="preserve">, </w:t>
      </w:r>
      <w:r w:rsidR="001805D1" w:rsidRPr="00AC57EA">
        <w:rPr>
          <w:sz w:val="20"/>
          <w:szCs w:val="20"/>
          <w:lang w:val="en-US"/>
        </w:rPr>
        <w:t xml:space="preserve">that complaint had not been processed due to the absence of evidence and, consequently, </w:t>
      </w:r>
      <w:r w:rsidR="00C173D4" w:rsidRPr="00AC57EA">
        <w:rPr>
          <w:sz w:val="20"/>
          <w:szCs w:val="20"/>
          <w:lang w:val="en-US"/>
        </w:rPr>
        <w:t>an</w:t>
      </w:r>
      <w:r w:rsidR="001805D1" w:rsidRPr="00AC57EA">
        <w:rPr>
          <w:sz w:val="20"/>
          <w:szCs w:val="20"/>
          <w:lang w:val="en-US"/>
        </w:rPr>
        <w:t xml:space="preserve"> order to </w:t>
      </w:r>
      <w:r w:rsidR="00C173D4" w:rsidRPr="00AC57EA">
        <w:rPr>
          <w:sz w:val="20"/>
          <w:szCs w:val="20"/>
          <w:lang w:val="en-US"/>
        </w:rPr>
        <w:t xml:space="preserve">archive </w:t>
      </w:r>
      <w:r w:rsidR="001805D1" w:rsidRPr="00AC57EA">
        <w:rPr>
          <w:sz w:val="20"/>
          <w:szCs w:val="20"/>
          <w:lang w:val="en-US"/>
        </w:rPr>
        <w:t>it</w:t>
      </w:r>
      <w:r w:rsidR="00C173D4" w:rsidRPr="00AC57EA">
        <w:rPr>
          <w:sz w:val="20"/>
          <w:szCs w:val="20"/>
          <w:lang w:val="en-US"/>
        </w:rPr>
        <w:t xml:space="preserve"> was issued</w:t>
      </w:r>
      <w:r w:rsidR="001805D1" w:rsidRPr="00AC57EA">
        <w:rPr>
          <w:sz w:val="20"/>
          <w:szCs w:val="20"/>
          <w:lang w:val="en-US"/>
        </w:rPr>
        <w:t xml:space="preserve">. </w:t>
      </w:r>
    </w:p>
    <w:p w14:paraId="6BE651B9" w14:textId="77777777" w:rsidR="001805D1" w:rsidRPr="00AC57EA" w:rsidRDefault="001805D1" w:rsidP="001805D1">
      <w:pPr>
        <w:widowControl/>
        <w:tabs>
          <w:tab w:val="left" w:pos="567"/>
        </w:tabs>
        <w:adjustRightInd/>
        <w:spacing w:line="240" w:lineRule="auto"/>
        <w:textAlignment w:val="auto"/>
        <w:rPr>
          <w:sz w:val="20"/>
          <w:szCs w:val="20"/>
          <w:lang w:val="en-US"/>
        </w:rPr>
      </w:pPr>
    </w:p>
    <w:p w14:paraId="65AEA658" w14:textId="4DEA115A" w:rsidR="00B5625C" w:rsidRPr="00AC57EA" w:rsidRDefault="001805D1" w:rsidP="002C415B">
      <w:pPr>
        <w:widowControl/>
        <w:numPr>
          <w:ilvl w:val="0"/>
          <w:numId w:val="9"/>
        </w:numPr>
        <w:adjustRightInd/>
        <w:spacing w:line="240" w:lineRule="auto"/>
        <w:jc w:val="left"/>
        <w:textAlignment w:val="auto"/>
        <w:rPr>
          <w:i/>
          <w:sz w:val="20"/>
          <w:szCs w:val="20"/>
          <w:lang w:val="en-US"/>
        </w:rPr>
      </w:pPr>
      <w:r w:rsidRPr="00AC57EA">
        <w:rPr>
          <w:i/>
          <w:sz w:val="20"/>
          <w:szCs w:val="20"/>
          <w:lang w:val="en-US"/>
        </w:rPr>
        <w:t>V.P.C.’s complaints</w:t>
      </w:r>
      <w:r w:rsidR="00B5625C" w:rsidRPr="00AC57EA">
        <w:rPr>
          <w:i/>
          <w:sz w:val="20"/>
          <w:szCs w:val="20"/>
          <w:lang w:val="en-US"/>
        </w:rPr>
        <w:t xml:space="preserve"> </w:t>
      </w:r>
      <w:r w:rsidRPr="00AC57EA">
        <w:rPr>
          <w:i/>
          <w:sz w:val="20"/>
          <w:szCs w:val="20"/>
          <w:lang w:val="en-US"/>
        </w:rPr>
        <w:t>against the departmental assistant prosecutor</w:t>
      </w:r>
    </w:p>
    <w:p w14:paraId="78305808" w14:textId="77777777" w:rsidR="00B5625C" w:rsidRPr="00AC57EA" w:rsidRDefault="00B5625C" w:rsidP="00B5625C">
      <w:pPr>
        <w:tabs>
          <w:tab w:val="left" w:pos="567"/>
        </w:tabs>
        <w:spacing w:line="240" w:lineRule="auto"/>
        <w:rPr>
          <w:i/>
          <w:sz w:val="20"/>
          <w:szCs w:val="20"/>
          <w:lang w:val="en-US"/>
        </w:rPr>
      </w:pPr>
    </w:p>
    <w:p w14:paraId="3DE18F26" w14:textId="2CE4E21C" w:rsidR="00B5625C" w:rsidRPr="00AC57EA" w:rsidRDefault="001805D1" w:rsidP="00A0286E">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July 17,</w:t>
      </w:r>
      <w:r w:rsidR="00B5625C" w:rsidRPr="00AC57EA">
        <w:rPr>
          <w:sz w:val="20"/>
          <w:szCs w:val="20"/>
          <w:lang w:val="en-US"/>
        </w:rPr>
        <w:t xml:space="preserve"> 2002</w:t>
      </w:r>
      <w:r w:rsidRPr="00AC57EA">
        <w:rPr>
          <w:sz w:val="20"/>
          <w:szCs w:val="20"/>
          <w:lang w:val="en-US"/>
        </w:rPr>
        <w:t xml:space="preserve">, </w:t>
      </w:r>
      <w:r w:rsidR="00B5625C" w:rsidRPr="00AC57EA">
        <w:rPr>
          <w:sz w:val="20"/>
          <w:szCs w:val="20"/>
          <w:lang w:val="en-US"/>
        </w:rPr>
        <w:t xml:space="preserve">V.P.C. </w:t>
      </w:r>
      <w:r w:rsidRPr="00AC57EA">
        <w:rPr>
          <w:sz w:val="20"/>
          <w:szCs w:val="20"/>
          <w:lang w:val="en-US"/>
        </w:rPr>
        <w:t>addressed a brief to</w:t>
      </w:r>
      <w:r w:rsidR="00B5625C" w:rsidRPr="00AC57EA">
        <w:rPr>
          <w:sz w:val="20"/>
          <w:szCs w:val="20"/>
          <w:lang w:val="en-US"/>
        </w:rPr>
        <w:t xml:space="preserve"> </w:t>
      </w:r>
      <w:r w:rsidRPr="00AC57EA">
        <w:rPr>
          <w:sz w:val="20"/>
          <w:szCs w:val="20"/>
          <w:lang w:val="en-US"/>
        </w:rPr>
        <w:t>t</w:t>
      </w:r>
      <w:r w:rsidR="00246365" w:rsidRPr="00AC57EA">
        <w:rPr>
          <w:sz w:val="20"/>
          <w:szCs w:val="20"/>
          <w:lang w:val="en-US"/>
        </w:rPr>
        <w:t>he Prosecutor General</w:t>
      </w:r>
      <w:r w:rsidR="00B5625C" w:rsidRPr="00AC57EA">
        <w:rPr>
          <w:sz w:val="20"/>
          <w:szCs w:val="20"/>
          <w:lang w:val="en-US"/>
        </w:rPr>
        <w:t xml:space="preserve"> </w:t>
      </w:r>
      <w:r w:rsidRPr="00AC57EA">
        <w:rPr>
          <w:sz w:val="20"/>
          <w:szCs w:val="20"/>
          <w:lang w:val="en-US"/>
        </w:rPr>
        <w:t>lodging a complaint against the departmental assistant prosecutor, and denouncing that she had acted negligently during the criminal proceedings for rape.</w:t>
      </w:r>
      <w:r w:rsidR="00AD523C" w:rsidRPr="00AC57EA">
        <w:rPr>
          <w:sz w:val="20"/>
          <w:szCs w:val="20"/>
          <w:vertAlign w:val="superscript"/>
          <w:lang w:val="en-US"/>
        </w:rPr>
        <w:footnoteReference w:id="161"/>
      </w:r>
      <w:r w:rsidRPr="00AC57EA">
        <w:rPr>
          <w:sz w:val="20"/>
          <w:szCs w:val="20"/>
          <w:lang w:val="en-US"/>
        </w:rPr>
        <w:t xml:space="preserve"> The complaint was subsequently </w:t>
      </w:r>
      <w:r w:rsidR="00C173D4" w:rsidRPr="00AC57EA">
        <w:rPr>
          <w:sz w:val="20"/>
          <w:szCs w:val="20"/>
          <w:lang w:val="en-US"/>
        </w:rPr>
        <w:t xml:space="preserve">repeated </w:t>
      </w:r>
      <w:r w:rsidRPr="00AC57EA">
        <w:rPr>
          <w:sz w:val="20"/>
          <w:szCs w:val="20"/>
          <w:lang w:val="en-US"/>
        </w:rPr>
        <w:t>on July 29</w:t>
      </w:r>
      <w:r w:rsidR="00B5625C" w:rsidRPr="00AC57EA">
        <w:rPr>
          <w:sz w:val="20"/>
          <w:szCs w:val="20"/>
          <w:vertAlign w:val="superscript"/>
          <w:lang w:val="en-US"/>
        </w:rPr>
        <w:footnoteReference w:id="162"/>
      </w:r>
      <w:r w:rsidR="00171E27" w:rsidRPr="00AC57EA">
        <w:rPr>
          <w:sz w:val="20"/>
          <w:szCs w:val="20"/>
          <w:lang w:val="en-US"/>
        </w:rPr>
        <w:t xml:space="preserve"> and </w:t>
      </w:r>
      <w:r w:rsidRPr="00AC57EA">
        <w:rPr>
          <w:sz w:val="20"/>
          <w:szCs w:val="20"/>
          <w:lang w:val="en-US"/>
        </w:rPr>
        <w:t>on August 26,</w:t>
      </w:r>
      <w:r w:rsidR="00B5625C" w:rsidRPr="00AC57EA">
        <w:rPr>
          <w:sz w:val="20"/>
          <w:szCs w:val="20"/>
          <w:lang w:val="en-US"/>
        </w:rPr>
        <w:t xml:space="preserve"> 2002</w:t>
      </w:r>
      <w:r w:rsidRPr="00AC57EA">
        <w:rPr>
          <w:sz w:val="20"/>
          <w:szCs w:val="20"/>
          <w:lang w:val="en-US"/>
        </w:rPr>
        <w:t>,</w:t>
      </w:r>
      <w:r w:rsidR="00B5625C" w:rsidRPr="00AC57EA">
        <w:rPr>
          <w:sz w:val="20"/>
          <w:szCs w:val="20"/>
          <w:vertAlign w:val="superscript"/>
          <w:lang w:val="en-US"/>
        </w:rPr>
        <w:footnoteReference w:id="163"/>
      </w:r>
      <w:r w:rsidRPr="00AC57EA">
        <w:rPr>
          <w:sz w:val="20"/>
          <w:szCs w:val="20"/>
          <w:lang w:val="en-US"/>
        </w:rPr>
        <w:t xml:space="preserve"> </w:t>
      </w:r>
      <w:r w:rsidR="00C173D4" w:rsidRPr="00AC57EA">
        <w:rPr>
          <w:sz w:val="20"/>
          <w:szCs w:val="20"/>
          <w:lang w:val="en-US"/>
        </w:rPr>
        <w:t>due to</w:t>
      </w:r>
      <w:r w:rsidRPr="00AC57EA">
        <w:rPr>
          <w:sz w:val="20"/>
          <w:szCs w:val="20"/>
          <w:lang w:val="en-US"/>
        </w:rPr>
        <w:t xml:space="preserve"> the absence of a reply to the first brief.</w:t>
      </w:r>
    </w:p>
    <w:p w14:paraId="0060E4B8" w14:textId="77777777" w:rsidR="001805D1" w:rsidRPr="00AC57EA" w:rsidRDefault="001805D1" w:rsidP="001805D1">
      <w:pPr>
        <w:tabs>
          <w:tab w:val="left" w:pos="567"/>
        </w:tabs>
        <w:spacing w:line="240" w:lineRule="auto"/>
        <w:rPr>
          <w:sz w:val="20"/>
          <w:szCs w:val="20"/>
          <w:lang w:val="en-US"/>
        </w:rPr>
      </w:pPr>
    </w:p>
    <w:p w14:paraId="113D7B33" w14:textId="258A8ECE" w:rsidR="00B5625C" w:rsidRPr="00AC57EA" w:rsidRDefault="001805D1"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October</w:t>
      </w:r>
      <w:r w:rsidR="00B5625C" w:rsidRPr="00AC57EA">
        <w:rPr>
          <w:sz w:val="20"/>
          <w:szCs w:val="20"/>
          <w:lang w:val="en-US"/>
        </w:rPr>
        <w:t xml:space="preserve"> 21</w:t>
      </w:r>
      <w:r w:rsidRPr="00AC57EA">
        <w:rPr>
          <w:sz w:val="20"/>
          <w:szCs w:val="20"/>
          <w:lang w:val="en-US"/>
        </w:rPr>
        <w:t xml:space="preserve">, </w:t>
      </w:r>
      <w:r w:rsidR="00B5625C" w:rsidRPr="00AC57EA">
        <w:rPr>
          <w:sz w:val="20"/>
          <w:szCs w:val="20"/>
          <w:lang w:val="en-US"/>
        </w:rPr>
        <w:t>2002</w:t>
      </w:r>
      <w:r w:rsidRPr="00AC57EA">
        <w:rPr>
          <w:sz w:val="20"/>
          <w:szCs w:val="20"/>
          <w:lang w:val="en-US"/>
        </w:rPr>
        <w:t xml:space="preserve">, </w:t>
      </w:r>
      <w:r w:rsidR="00B5625C" w:rsidRPr="00AC57EA">
        <w:rPr>
          <w:sz w:val="20"/>
          <w:szCs w:val="20"/>
          <w:lang w:val="en-US"/>
        </w:rPr>
        <w:t xml:space="preserve">V.P.C. </w:t>
      </w:r>
      <w:r w:rsidRPr="00AC57EA">
        <w:rPr>
          <w:sz w:val="20"/>
          <w:szCs w:val="20"/>
          <w:lang w:val="en-US"/>
        </w:rPr>
        <w:t xml:space="preserve">filed a complaint against the assistant prosecutor of the </w:t>
      </w:r>
      <w:r w:rsidR="00A80E9E" w:rsidRPr="00AC57EA">
        <w:rPr>
          <w:sz w:val="20"/>
          <w:szCs w:val="20"/>
          <w:lang w:val="en-US"/>
        </w:rPr>
        <w:t>Department of</w:t>
      </w:r>
      <w:r w:rsidR="00B5625C" w:rsidRPr="00AC57EA">
        <w:rPr>
          <w:sz w:val="20"/>
          <w:szCs w:val="20"/>
          <w:lang w:val="en-US"/>
        </w:rPr>
        <w:t xml:space="preserve"> Jinotega </w:t>
      </w:r>
      <w:r w:rsidRPr="00AC57EA">
        <w:rPr>
          <w:sz w:val="20"/>
          <w:szCs w:val="20"/>
          <w:lang w:val="en-US"/>
        </w:rPr>
        <w:t>before the Inspectorate of</w:t>
      </w:r>
      <w:r w:rsidR="00B5625C" w:rsidRPr="00AC57EA">
        <w:rPr>
          <w:sz w:val="20"/>
          <w:szCs w:val="20"/>
          <w:lang w:val="en-US"/>
        </w:rPr>
        <w:t xml:space="preserve"> </w:t>
      </w:r>
      <w:r w:rsidR="00246365" w:rsidRPr="00AC57EA">
        <w:rPr>
          <w:sz w:val="20"/>
          <w:szCs w:val="20"/>
          <w:lang w:val="en-US"/>
        </w:rPr>
        <w:t>the Prosecutor General’s Office</w:t>
      </w:r>
      <w:r w:rsidR="00B5625C" w:rsidRPr="00AC57EA">
        <w:rPr>
          <w:sz w:val="20"/>
          <w:szCs w:val="20"/>
          <w:lang w:val="en-US"/>
        </w:rPr>
        <w:t xml:space="preserve"> </w:t>
      </w:r>
      <w:r w:rsidRPr="00AC57EA">
        <w:rPr>
          <w:sz w:val="20"/>
          <w:szCs w:val="20"/>
          <w:lang w:val="en-US"/>
        </w:rPr>
        <w:t>adducing that the prosecutor in the case had not appeared at the second instance</w:t>
      </w:r>
      <w:r w:rsidR="00C173D4" w:rsidRPr="00AC57EA">
        <w:rPr>
          <w:sz w:val="20"/>
          <w:szCs w:val="20"/>
          <w:lang w:val="en-US"/>
        </w:rPr>
        <w:t xml:space="preserve"> proceedings</w:t>
      </w:r>
      <w:r w:rsidRPr="00AC57EA">
        <w:rPr>
          <w:sz w:val="20"/>
          <w:szCs w:val="20"/>
          <w:lang w:val="en-US"/>
        </w:rPr>
        <w:t>.</w:t>
      </w:r>
      <w:r w:rsidR="009B7559" w:rsidRPr="00AC57EA">
        <w:rPr>
          <w:sz w:val="20"/>
          <w:szCs w:val="20"/>
          <w:vertAlign w:val="superscript"/>
          <w:lang w:val="en-US"/>
        </w:rPr>
        <w:footnoteReference w:id="164"/>
      </w:r>
      <w:r w:rsidRPr="00AC57EA">
        <w:rPr>
          <w:sz w:val="20"/>
          <w:szCs w:val="20"/>
          <w:lang w:val="en-US"/>
        </w:rPr>
        <w:t xml:space="preserve"> In this regard, she argued that the prosecutor had not ensured her daughter’s rights. Despite this, the State reported that no complaint </w:t>
      </w:r>
      <w:r w:rsidR="00C173D4" w:rsidRPr="00AC57EA">
        <w:rPr>
          <w:sz w:val="20"/>
          <w:szCs w:val="20"/>
          <w:lang w:val="en-US"/>
        </w:rPr>
        <w:t xml:space="preserve">against the said prosecutor </w:t>
      </w:r>
      <w:r w:rsidRPr="00AC57EA">
        <w:rPr>
          <w:sz w:val="20"/>
          <w:szCs w:val="20"/>
          <w:lang w:val="en-US"/>
        </w:rPr>
        <w:t>had been received from V.P.C. in 2002.</w:t>
      </w:r>
      <w:r w:rsidR="00B5625C" w:rsidRPr="00AC57EA">
        <w:rPr>
          <w:sz w:val="20"/>
          <w:szCs w:val="20"/>
          <w:vertAlign w:val="superscript"/>
          <w:lang w:val="en-US"/>
        </w:rPr>
        <w:footnoteReference w:id="165"/>
      </w:r>
      <w:r w:rsidRPr="00AC57EA">
        <w:rPr>
          <w:sz w:val="20"/>
          <w:szCs w:val="20"/>
          <w:lang w:val="en-US"/>
        </w:rPr>
        <w:t xml:space="preserve"> There is no record </w:t>
      </w:r>
      <w:r w:rsidR="00C173D4" w:rsidRPr="00AC57EA">
        <w:rPr>
          <w:sz w:val="20"/>
          <w:szCs w:val="20"/>
          <w:lang w:val="en-US"/>
        </w:rPr>
        <w:t>that this complaint was</w:t>
      </w:r>
      <w:r w:rsidRPr="00AC57EA">
        <w:rPr>
          <w:sz w:val="20"/>
          <w:szCs w:val="20"/>
          <w:lang w:val="en-US"/>
        </w:rPr>
        <w:t xml:space="preserve"> process</w:t>
      </w:r>
      <w:r w:rsidR="00C173D4" w:rsidRPr="00AC57EA">
        <w:rPr>
          <w:sz w:val="20"/>
          <w:szCs w:val="20"/>
          <w:lang w:val="en-US"/>
        </w:rPr>
        <w:t>ed</w:t>
      </w:r>
      <w:r w:rsidRPr="00AC57EA">
        <w:rPr>
          <w:sz w:val="20"/>
          <w:szCs w:val="20"/>
          <w:lang w:val="en-US"/>
        </w:rPr>
        <w:t>.</w:t>
      </w:r>
    </w:p>
    <w:p w14:paraId="7EAC178F" w14:textId="77777777" w:rsidR="00B5625C" w:rsidRPr="00AC57EA" w:rsidRDefault="00B5625C" w:rsidP="00B5625C">
      <w:pPr>
        <w:tabs>
          <w:tab w:val="left" w:pos="567"/>
        </w:tabs>
        <w:spacing w:line="240" w:lineRule="auto"/>
        <w:rPr>
          <w:sz w:val="20"/>
          <w:szCs w:val="20"/>
          <w:lang w:val="en-US"/>
        </w:rPr>
      </w:pPr>
    </w:p>
    <w:p w14:paraId="2B10C675" w14:textId="7DCA12CA" w:rsidR="00B5625C" w:rsidRPr="00AC57EA" w:rsidRDefault="001805D1"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8,</w:t>
      </w:r>
      <w:r w:rsidR="00B5625C" w:rsidRPr="00AC57EA">
        <w:rPr>
          <w:sz w:val="20"/>
          <w:szCs w:val="20"/>
          <w:lang w:val="en-US"/>
        </w:rPr>
        <w:t xml:space="preserve"> 2002</w:t>
      </w:r>
      <w:r w:rsidRPr="00AC57EA">
        <w:rPr>
          <w:sz w:val="20"/>
          <w:szCs w:val="20"/>
          <w:lang w:val="en-US"/>
        </w:rPr>
        <w:t>,</w:t>
      </w:r>
      <w:r w:rsidR="00B5625C" w:rsidRPr="00AC57EA">
        <w:rPr>
          <w:sz w:val="20"/>
          <w:szCs w:val="20"/>
          <w:lang w:val="en-US"/>
        </w:rPr>
        <w:t xml:space="preserve"> V.P.C. </w:t>
      </w:r>
      <w:r w:rsidRPr="00AC57EA">
        <w:rPr>
          <w:sz w:val="20"/>
          <w:szCs w:val="20"/>
          <w:lang w:val="en-US"/>
        </w:rPr>
        <w:t>filed a complaint against the departmental assistant prosecutor before</w:t>
      </w:r>
      <w:r w:rsidR="00B5625C" w:rsidRPr="00AC57EA">
        <w:rPr>
          <w:sz w:val="20"/>
          <w:szCs w:val="20"/>
          <w:lang w:val="en-US"/>
        </w:rPr>
        <w:t xml:space="preserve"> </w:t>
      </w:r>
      <w:r w:rsidR="00B7258C" w:rsidRPr="00AC57EA">
        <w:rPr>
          <w:sz w:val="20"/>
          <w:szCs w:val="20"/>
          <w:lang w:val="en-US"/>
        </w:rPr>
        <w:t xml:space="preserve">the </w:t>
      </w:r>
      <w:r w:rsidR="00152A85" w:rsidRPr="00AC57EA">
        <w:rPr>
          <w:sz w:val="20"/>
          <w:szCs w:val="20"/>
          <w:lang w:val="en-US"/>
        </w:rPr>
        <w:t>Disciplinary Committee</w:t>
      </w:r>
      <w:r w:rsidR="00B7258C" w:rsidRPr="00AC57EA">
        <w:rPr>
          <w:sz w:val="20"/>
          <w:szCs w:val="20"/>
          <w:lang w:val="en-US"/>
        </w:rPr>
        <w:t xml:space="preserve"> of </w:t>
      </w:r>
      <w:r w:rsidR="000E74DA" w:rsidRPr="00AC57EA">
        <w:rPr>
          <w:sz w:val="20"/>
          <w:szCs w:val="20"/>
          <w:lang w:val="en-US"/>
        </w:rPr>
        <w:t>the Supreme Court of Justice</w:t>
      </w:r>
      <w:r w:rsidRPr="00AC57EA">
        <w:rPr>
          <w:sz w:val="20"/>
          <w:szCs w:val="20"/>
          <w:lang w:val="en-US"/>
        </w:rPr>
        <w:t>.</w:t>
      </w:r>
      <w:r w:rsidR="00B5625C" w:rsidRPr="00AC57EA">
        <w:rPr>
          <w:sz w:val="20"/>
          <w:szCs w:val="20"/>
          <w:vertAlign w:val="superscript"/>
          <w:lang w:val="en-US"/>
        </w:rPr>
        <w:footnoteReference w:id="166"/>
      </w:r>
      <w:r w:rsidR="00B5625C" w:rsidRPr="00AC57EA">
        <w:rPr>
          <w:sz w:val="20"/>
          <w:szCs w:val="20"/>
          <w:lang w:val="en-US"/>
        </w:rPr>
        <w:t xml:space="preserve"> </w:t>
      </w:r>
      <w:r w:rsidRPr="00AC57EA">
        <w:rPr>
          <w:sz w:val="20"/>
          <w:szCs w:val="20"/>
          <w:lang w:val="en-US"/>
        </w:rPr>
        <w:t>The</w:t>
      </w:r>
      <w:r w:rsidR="00B5625C" w:rsidRPr="00AC57EA">
        <w:rPr>
          <w:sz w:val="20"/>
          <w:szCs w:val="20"/>
          <w:lang w:val="en-US"/>
        </w:rPr>
        <w:t xml:space="preserve"> </w:t>
      </w:r>
      <w:r w:rsidR="00152A85" w:rsidRPr="00AC57EA">
        <w:rPr>
          <w:sz w:val="20"/>
          <w:szCs w:val="20"/>
          <w:lang w:val="en-US"/>
        </w:rPr>
        <w:t>Disciplinary Committee</w:t>
      </w:r>
      <w:r w:rsidR="00B5625C" w:rsidRPr="00AC57EA">
        <w:rPr>
          <w:sz w:val="20"/>
          <w:szCs w:val="20"/>
          <w:lang w:val="en-US"/>
        </w:rPr>
        <w:t xml:space="preserve"> </w:t>
      </w:r>
      <w:r w:rsidRPr="00AC57EA">
        <w:rPr>
          <w:sz w:val="20"/>
          <w:szCs w:val="20"/>
          <w:lang w:val="en-US"/>
        </w:rPr>
        <w:t>officially inform</w:t>
      </w:r>
      <w:r w:rsidR="00C173D4" w:rsidRPr="00AC57EA">
        <w:rPr>
          <w:sz w:val="20"/>
          <w:szCs w:val="20"/>
          <w:lang w:val="en-US"/>
        </w:rPr>
        <w:t>ed</w:t>
      </w:r>
      <w:r w:rsidRPr="00AC57EA">
        <w:rPr>
          <w:sz w:val="20"/>
          <w:szCs w:val="20"/>
          <w:lang w:val="en-US"/>
        </w:rPr>
        <w:t xml:space="preserve"> the Attorney General of the complain</w:t>
      </w:r>
      <w:r w:rsidR="00C173D4" w:rsidRPr="00AC57EA">
        <w:rPr>
          <w:sz w:val="20"/>
          <w:szCs w:val="20"/>
          <w:lang w:val="en-US"/>
        </w:rPr>
        <w:t>t</w:t>
      </w:r>
      <w:r w:rsidRPr="00AC57EA">
        <w:rPr>
          <w:sz w:val="20"/>
          <w:szCs w:val="20"/>
          <w:lang w:val="en-US"/>
        </w:rPr>
        <w:t xml:space="preserve"> on January 20, 2003.</w:t>
      </w:r>
      <w:r w:rsidR="00B5625C" w:rsidRPr="00AC57EA">
        <w:rPr>
          <w:sz w:val="20"/>
          <w:szCs w:val="20"/>
          <w:vertAlign w:val="superscript"/>
          <w:lang w:val="en-US"/>
        </w:rPr>
        <w:footnoteReference w:id="167"/>
      </w:r>
      <w:r w:rsidRPr="00AC57EA">
        <w:rPr>
          <w:sz w:val="20"/>
          <w:szCs w:val="20"/>
          <w:lang w:val="en-US"/>
        </w:rPr>
        <w:t xml:space="preserve"> There is no record of the processing of this complaint.</w:t>
      </w:r>
    </w:p>
    <w:p w14:paraId="3D9A3392" w14:textId="77777777" w:rsidR="00B5625C" w:rsidRPr="00AC57EA" w:rsidRDefault="00B5625C" w:rsidP="00B5625C">
      <w:pPr>
        <w:tabs>
          <w:tab w:val="left" w:pos="567"/>
        </w:tabs>
        <w:spacing w:line="240" w:lineRule="auto"/>
        <w:rPr>
          <w:sz w:val="20"/>
          <w:szCs w:val="20"/>
          <w:lang w:val="en-US"/>
        </w:rPr>
      </w:pPr>
    </w:p>
    <w:p w14:paraId="5FB9434D" w14:textId="3CC94EC6" w:rsidR="00B5625C" w:rsidRPr="00AC57EA" w:rsidRDefault="0045213C" w:rsidP="00EB57B3">
      <w:pPr>
        <w:widowControl/>
        <w:numPr>
          <w:ilvl w:val="0"/>
          <w:numId w:val="9"/>
        </w:numPr>
        <w:adjustRightInd/>
        <w:spacing w:line="240" w:lineRule="auto"/>
        <w:jc w:val="left"/>
        <w:textAlignment w:val="auto"/>
        <w:rPr>
          <w:i/>
          <w:sz w:val="20"/>
          <w:szCs w:val="20"/>
          <w:lang w:val="en-US"/>
        </w:rPr>
      </w:pPr>
      <w:r w:rsidRPr="00AC57EA">
        <w:rPr>
          <w:i/>
          <w:sz w:val="20"/>
          <w:szCs w:val="20"/>
          <w:lang w:val="en-US"/>
        </w:rPr>
        <w:t xml:space="preserve">V.P.C.’s complaint against the </w:t>
      </w:r>
      <w:r w:rsidR="00B7258C" w:rsidRPr="00AC57EA">
        <w:rPr>
          <w:i/>
          <w:sz w:val="20"/>
          <w:szCs w:val="20"/>
          <w:lang w:val="en-US"/>
        </w:rPr>
        <w:t>judge</w:t>
      </w:r>
      <w:r w:rsidRPr="00AC57EA">
        <w:rPr>
          <w:i/>
          <w:sz w:val="20"/>
          <w:szCs w:val="20"/>
          <w:lang w:val="en-US"/>
        </w:rPr>
        <w:t xml:space="preserve"> in charge of the proceedings and the judge of law who acted as president </w:t>
      </w:r>
      <w:r w:rsidR="00B7258C" w:rsidRPr="00AC57EA">
        <w:rPr>
          <w:i/>
          <w:sz w:val="20"/>
          <w:szCs w:val="20"/>
          <w:lang w:val="en-US"/>
        </w:rPr>
        <w:t xml:space="preserve">of </w:t>
      </w:r>
      <w:r w:rsidR="00823E77" w:rsidRPr="00AC57EA">
        <w:rPr>
          <w:i/>
          <w:sz w:val="20"/>
          <w:szCs w:val="20"/>
          <w:lang w:val="en-US"/>
        </w:rPr>
        <w:t>the Jury Court</w:t>
      </w:r>
    </w:p>
    <w:p w14:paraId="6157C3F4" w14:textId="77777777" w:rsidR="00B5625C" w:rsidRPr="00AC57EA" w:rsidRDefault="00B5625C" w:rsidP="00B5625C">
      <w:pPr>
        <w:widowControl/>
        <w:adjustRightInd/>
        <w:spacing w:line="240" w:lineRule="auto"/>
        <w:textAlignment w:val="auto"/>
        <w:rPr>
          <w:sz w:val="20"/>
          <w:szCs w:val="20"/>
          <w:lang w:val="en-US"/>
        </w:rPr>
      </w:pPr>
    </w:p>
    <w:p w14:paraId="7F053F74" w14:textId="017E3ADD" w:rsidR="00B5625C" w:rsidRPr="00AC57EA" w:rsidRDefault="0045213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November 8,</w:t>
      </w:r>
      <w:r w:rsidR="00B5625C" w:rsidRPr="00AC57EA">
        <w:rPr>
          <w:sz w:val="20"/>
          <w:szCs w:val="20"/>
          <w:lang w:val="en-US"/>
        </w:rPr>
        <w:t xml:space="preserve"> 2002</w:t>
      </w:r>
      <w:r w:rsidRPr="00AC57EA">
        <w:rPr>
          <w:sz w:val="20"/>
          <w:szCs w:val="20"/>
          <w:lang w:val="en-US"/>
        </w:rPr>
        <w:t xml:space="preserve">, </w:t>
      </w:r>
      <w:r w:rsidR="00B5625C" w:rsidRPr="00AC57EA">
        <w:rPr>
          <w:sz w:val="20"/>
          <w:szCs w:val="20"/>
          <w:lang w:val="en-US"/>
        </w:rPr>
        <w:t xml:space="preserve">V.P.C. </w:t>
      </w:r>
      <w:r w:rsidRPr="00AC57EA">
        <w:rPr>
          <w:sz w:val="20"/>
          <w:szCs w:val="20"/>
          <w:lang w:val="en-US"/>
        </w:rPr>
        <w:t>filed a complaint with</w:t>
      </w:r>
      <w:r w:rsidR="00B5625C" w:rsidRPr="00AC57EA">
        <w:rPr>
          <w:sz w:val="20"/>
          <w:szCs w:val="20"/>
          <w:lang w:val="en-US"/>
        </w:rPr>
        <w:t xml:space="preserve"> </w:t>
      </w:r>
      <w:r w:rsidR="00B7258C" w:rsidRPr="00AC57EA">
        <w:rPr>
          <w:sz w:val="20"/>
          <w:szCs w:val="20"/>
          <w:lang w:val="en-US"/>
        </w:rPr>
        <w:t xml:space="preserve">the </w:t>
      </w:r>
      <w:r w:rsidR="00152A85" w:rsidRPr="00AC57EA">
        <w:rPr>
          <w:sz w:val="20"/>
          <w:szCs w:val="20"/>
          <w:lang w:val="en-US"/>
        </w:rPr>
        <w:t>Disciplinary Committee</w:t>
      </w:r>
      <w:r w:rsidR="00B7258C" w:rsidRPr="00AC57EA">
        <w:rPr>
          <w:sz w:val="20"/>
          <w:szCs w:val="20"/>
          <w:lang w:val="en-US"/>
        </w:rPr>
        <w:t xml:space="preserve"> of </w:t>
      </w:r>
      <w:r w:rsidR="000E74DA" w:rsidRPr="00AC57EA">
        <w:rPr>
          <w:sz w:val="20"/>
          <w:szCs w:val="20"/>
          <w:lang w:val="en-US"/>
        </w:rPr>
        <w:t xml:space="preserve">the </w:t>
      </w:r>
      <w:r w:rsidR="000E74DA" w:rsidRPr="00AC57EA">
        <w:rPr>
          <w:sz w:val="20"/>
          <w:szCs w:val="20"/>
          <w:lang w:val="en-US"/>
        </w:rPr>
        <w:lastRenderedPageBreak/>
        <w:t>Supreme Court of Justice</w:t>
      </w:r>
      <w:r w:rsidR="00B5625C" w:rsidRPr="00AC57EA">
        <w:rPr>
          <w:sz w:val="20"/>
          <w:szCs w:val="20"/>
          <w:lang w:val="en-US"/>
        </w:rPr>
        <w:t xml:space="preserve"> al</w:t>
      </w:r>
      <w:r w:rsidRPr="00AC57EA">
        <w:rPr>
          <w:sz w:val="20"/>
          <w:szCs w:val="20"/>
          <w:lang w:val="en-US"/>
        </w:rPr>
        <w:t>leging irregularities presumably committed by the judge in charge of the proceedings and by the judge of law who acted as president of the Jury Court. She added that one of the judges allowed H.R.A.’s defense counsel to refer to her and her daughter in “immoral terms.”</w:t>
      </w:r>
      <w:r w:rsidR="00B5625C" w:rsidRPr="00AC57EA">
        <w:rPr>
          <w:sz w:val="20"/>
          <w:szCs w:val="20"/>
          <w:vertAlign w:val="superscript"/>
          <w:lang w:val="en-US"/>
        </w:rPr>
        <w:footnoteReference w:id="168"/>
      </w:r>
    </w:p>
    <w:p w14:paraId="076040DA" w14:textId="77777777" w:rsidR="00B5625C" w:rsidRPr="00AC57EA" w:rsidRDefault="00B5625C" w:rsidP="00B5625C">
      <w:pPr>
        <w:tabs>
          <w:tab w:val="left" w:pos="567"/>
        </w:tabs>
        <w:spacing w:line="240" w:lineRule="auto"/>
        <w:rPr>
          <w:sz w:val="20"/>
          <w:szCs w:val="20"/>
          <w:lang w:val="en-US"/>
        </w:rPr>
      </w:pPr>
    </w:p>
    <w:p w14:paraId="12A49A7A" w14:textId="6B271CFC" w:rsidR="00B5625C" w:rsidRPr="00AC57EA" w:rsidRDefault="0045213C"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After the two judges had presented their rebuttals, on February 24, </w:t>
      </w:r>
      <w:r w:rsidR="00B5625C" w:rsidRPr="00AC57EA">
        <w:rPr>
          <w:sz w:val="20"/>
          <w:szCs w:val="20"/>
          <w:lang w:val="en-US"/>
        </w:rPr>
        <w:t>2003</w:t>
      </w:r>
      <w:r w:rsidRPr="00AC57EA">
        <w:rPr>
          <w:sz w:val="20"/>
          <w:szCs w:val="20"/>
          <w:lang w:val="en-US"/>
        </w:rPr>
        <w:t>,</w:t>
      </w:r>
      <w:r w:rsidR="00B5625C" w:rsidRPr="00AC57EA">
        <w:rPr>
          <w:sz w:val="20"/>
          <w:szCs w:val="20"/>
          <w:lang w:val="en-US"/>
        </w:rPr>
        <w:t xml:space="preserve"> </w:t>
      </w:r>
      <w:r w:rsidR="00B7258C" w:rsidRPr="00AC57EA">
        <w:rPr>
          <w:sz w:val="20"/>
          <w:szCs w:val="20"/>
          <w:lang w:val="en-US"/>
        </w:rPr>
        <w:t xml:space="preserve">the </w:t>
      </w:r>
      <w:r w:rsidR="00152A85" w:rsidRPr="00AC57EA">
        <w:rPr>
          <w:sz w:val="20"/>
          <w:szCs w:val="20"/>
          <w:lang w:val="en-US"/>
        </w:rPr>
        <w:t>Disciplinary Committee</w:t>
      </w:r>
      <w:r w:rsidR="00B7258C" w:rsidRPr="00AC57EA">
        <w:rPr>
          <w:sz w:val="20"/>
          <w:szCs w:val="20"/>
          <w:lang w:val="en-US"/>
        </w:rPr>
        <w:t xml:space="preserve"> of </w:t>
      </w:r>
      <w:r w:rsidR="000E74DA" w:rsidRPr="00AC57EA">
        <w:rPr>
          <w:sz w:val="20"/>
          <w:szCs w:val="20"/>
          <w:lang w:val="en-US"/>
        </w:rPr>
        <w:t>the Supreme Court of Justice</w:t>
      </w:r>
      <w:r w:rsidR="00B5625C" w:rsidRPr="00AC57EA">
        <w:rPr>
          <w:sz w:val="20"/>
          <w:szCs w:val="20"/>
          <w:lang w:val="en-US"/>
        </w:rPr>
        <w:t xml:space="preserve"> </w:t>
      </w:r>
      <w:r w:rsidRPr="00AC57EA">
        <w:rPr>
          <w:sz w:val="20"/>
          <w:szCs w:val="20"/>
          <w:lang w:val="en-US"/>
        </w:rPr>
        <w:t>decided to close the file.</w:t>
      </w:r>
      <w:r w:rsidR="00B5625C" w:rsidRPr="00AC57EA">
        <w:rPr>
          <w:sz w:val="20"/>
          <w:szCs w:val="20"/>
          <w:vertAlign w:val="superscript"/>
          <w:lang w:val="en-US"/>
        </w:rPr>
        <w:footnoteReference w:id="169"/>
      </w:r>
    </w:p>
    <w:p w14:paraId="4FC70566" w14:textId="77777777" w:rsidR="00B5625C" w:rsidRPr="00AC57EA" w:rsidRDefault="00B5625C" w:rsidP="00B5625C">
      <w:pPr>
        <w:spacing w:line="240" w:lineRule="auto"/>
        <w:rPr>
          <w:sz w:val="20"/>
          <w:szCs w:val="20"/>
          <w:lang w:val="en-US"/>
        </w:rPr>
      </w:pPr>
    </w:p>
    <w:p w14:paraId="2126F40C" w14:textId="114E1857" w:rsidR="00B5625C" w:rsidRPr="00AC57EA" w:rsidRDefault="00D05EE6" w:rsidP="002C415B">
      <w:pPr>
        <w:pStyle w:val="Prrafodelista"/>
        <w:keepNext/>
        <w:keepLines/>
        <w:numPr>
          <w:ilvl w:val="0"/>
          <w:numId w:val="15"/>
        </w:numPr>
        <w:tabs>
          <w:tab w:val="left" w:pos="1276"/>
        </w:tabs>
        <w:spacing w:line="240" w:lineRule="auto"/>
        <w:outlineLvl w:val="1"/>
        <w:rPr>
          <w:rFonts w:eastAsia="MS Mincho"/>
          <w:b/>
          <w:bCs/>
          <w:i/>
          <w:sz w:val="20"/>
          <w:szCs w:val="20"/>
          <w:lang w:val="en-US"/>
        </w:rPr>
      </w:pPr>
      <w:r w:rsidRPr="00AC57EA">
        <w:rPr>
          <w:rFonts w:eastAsia="MS Mincho"/>
          <w:b/>
          <w:bCs/>
          <w:i/>
          <w:sz w:val="20"/>
          <w:szCs w:val="20"/>
          <w:lang w:val="en-US"/>
        </w:rPr>
        <w:tab/>
      </w:r>
      <w:r w:rsidR="0045213C" w:rsidRPr="00AC57EA">
        <w:rPr>
          <w:rFonts w:eastAsia="MS Mincho"/>
          <w:b/>
          <w:bCs/>
          <w:i/>
          <w:sz w:val="20"/>
          <w:szCs w:val="20"/>
          <w:lang w:val="en-US"/>
        </w:rPr>
        <w:t>Legal actions filed against V.P.C. and her family members</w:t>
      </w:r>
    </w:p>
    <w:p w14:paraId="6E6D299A" w14:textId="77777777" w:rsidR="00B5625C" w:rsidRPr="00AC57EA" w:rsidRDefault="00B5625C" w:rsidP="00B5625C">
      <w:pPr>
        <w:spacing w:line="240" w:lineRule="auto"/>
        <w:rPr>
          <w:sz w:val="20"/>
          <w:szCs w:val="20"/>
          <w:lang w:val="en-US"/>
        </w:rPr>
      </w:pPr>
    </w:p>
    <w:p w14:paraId="6CE1F074" w14:textId="405F7ECC" w:rsidR="00F63EBB" w:rsidRPr="00AC57EA" w:rsidRDefault="0045213C" w:rsidP="00F63EBB">
      <w:pPr>
        <w:numPr>
          <w:ilvl w:val="0"/>
          <w:numId w:val="2"/>
        </w:numPr>
        <w:tabs>
          <w:tab w:val="left" w:pos="567"/>
          <w:tab w:val="num" w:pos="12305"/>
        </w:tabs>
        <w:spacing w:line="240" w:lineRule="auto"/>
        <w:ind w:left="0" w:firstLine="0"/>
        <w:rPr>
          <w:rFonts w:cs="Arial"/>
          <w:color w:val="000000"/>
          <w:sz w:val="20"/>
          <w:szCs w:val="20"/>
          <w:lang w:val="en-US"/>
        </w:rPr>
      </w:pPr>
      <w:r w:rsidRPr="00AC57EA">
        <w:rPr>
          <w:sz w:val="20"/>
          <w:szCs w:val="20"/>
          <w:lang w:val="en-US"/>
        </w:rPr>
        <w:t>Owing to the complaints filed by</w:t>
      </w:r>
      <w:r w:rsidR="008F3B13" w:rsidRPr="00AC57EA">
        <w:rPr>
          <w:sz w:val="20"/>
          <w:szCs w:val="20"/>
          <w:lang w:val="en-US"/>
        </w:rPr>
        <w:t xml:space="preserve"> V.P.C., </w:t>
      </w:r>
      <w:r w:rsidRPr="00AC57EA">
        <w:rPr>
          <w:sz w:val="20"/>
          <w:szCs w:val="20"/>
          <w:lang w:val="en-US"/>
        </w:rPr>
        <w:t>the</w:t>
      </w:r>
      <w:r w:rsidR="008F3B13" w:rsidRPr="00AC57EA">
        <w:rPr>
          <w:sz w:val="20"/>
          <w:szCs w:val="20"/>
          <w:lang w:val="en-US"/>
        </w:rPr>
        <w:t xml:space="preserve"> </w:t>
      </w:r>
      <w:r w:rsidRPr="00AC57EA">
        <w:rPr>
          <w:sz w:val="20"/>
          <w:szCs w:val="20"/>
          <w:lang w:val="en-US"/>
        </w:rPr>
        <w:t>departmental assistant prosecutor,</w:t>
      </w:r>
      <w:r w:rsidR="008F3B13" w:rsidRPr="00AC57EA">
        <w:rPr>
          <w:sz w:val="20"/>
          <w:szCs w:val="20"/>
          <w:vertAlign w:val="superscript"/>
          <w:lang w:val="en-US"/>
        </w:rPr>
        <w:footnoteReference w:id="170"/>
      </w:r>
      <w:r w:rsidR="008F3B13" w:rsidRPr="00AC57EA">
        <w:rPr>
          <w:sz w:val="20"/>
          <w:szCs w:val="20"/>
          <w:lang w:val="en-US"/>
        </w:rPr>
        <w:t xml:space="preserve"> </w:t>
      </w:r>
      <w:r w:rsidR="00246365" w:rsidRPr="00AC57EA">
        <w:rPr>
          <w:sz w:val="20"/>
          <w:szCs w:val="20"/>
          <w:lang w:val="en-US"/>
        </w:rPr>
        <w:t>the forensic physician</w:t>
      </w:r>
      <w:r w:rsidRPr="00AC57EA">
        <w:rPr>
          <w:sz w:val="20"/>
          <w:szCs w:val="20"/>
          <w:lang w:val="en-US"/>
        </w:rPr>
        <w:t>,</w:t>
      </w:r>
      <w:r w:rsidR="008F3B13" w:rsidRPr="00AC57EA">
        <w:rPr>
          <w:rFonts w:cs="Arial"/>
          <w:sz w:val="20"/>
          <w:szCs w:val="20"/>
          <w:vertAlign w:val="superscript"/>
          <w:lang w:val="en-US"/>
        </w:rPr>
        <w:footnoteReference w:id="171"/>
      </w:r>
      <w:r w:rsidR="008F3B13" w:rsidRPr="00AC57EA">
        <w:rPr>
          <w:sz w:val="20"/>
          <w:szCs w:val="20"/>
          <w:lang w:val="en-US"/>
        </w:rPr>
        <w:t xml:space="preserve"> </w:t>
      </w:r>
      <w:r w:rsidRPr="00AC57EA">
        <w:rPr>
          <w:sz w:val="20"/>
          <w:szCs w:val="20"/>
          <w:lang w:val="en-US"/>
        </w:rPr>
        <w:t>a member</w:t>
      </w:r>
      <w:r w:rsidR="00B7258C" w:rsidRPr="00AC57EA">
        <w:rPr>
          <w:sz w:val="20"/>
          <w:szCs w:val="20"/>
          <w:lang w:val="en-US"/>
        </w:rPr>
        <w:t xml:space="preserve"> of </w:t>
      </w:r>
      <w:r w:rsidR="00823E77" w:rsidRPr="00AC57EA">
        <w:rPr>
          <w:sz w:val="20"/>
          <w:szCs w:val="20"/>
          <w:lang w:val="en-US"/>
        </w:rPr>
        <w:t>the Jury Court</w:t>
      </w:r>
      <w:r w:rsidR="008F3B13" w:rsidRPr="00AC57EA">
        <w:rPr>
          <w:sz w:val="20"/>
          <w:szCs w:val="20"/>
          <w:vertAlign w:val="superscript"/>
          <w:lang w:val="en-US"/>
        </w:rPr>
        <w:footnoteReference w:id="172"/>
      </w:r>
      <w:r w:rsidR="00171E27" w:rsidRPr="00AC57EA">
        <w:rPr>
          <w:sz w:val="20"/>
          <w:szCs w:val="20"/>
          <w:lang w:val="en-US"/>
        </w:rPr>
        <w:t xml:space="preserve"> and </w:t>
      </w:r>
      <w:r w:rsidRPr="00AC57EA">
        <w:rPr>
          <w:sz w:val="20"/>
          <w:szCs w:val="20"/>
          <w:lang w:val="en-US"/>
        </w:rPr>
        <w:t>the judge of law who presided</w:t>
      </w:r>
      <w:r w:rsidR="00171E27" w:rsidRPr="00AC57EA">
        <w:rPr>
          <w:sz w:val="20"/>
          <w:szCs w:val="20"/>
          <w:lang w:val="en-US"/>
        </w:rPr>
        <w:t xml:space="preserve"> </w:t>
      </w:r>
      <w:r w:rsidR="00823E77" w:rsidRPr="00AC57EA">
        <w:rPr>
          <w:sz w:val="20"/>
          <w:szCs w:val="20"/>
          <w:lang w:val="en-US"/>
        </w:rPr>
        <w:t>the Jury Court</w:t>
      </w:r>
      <w:r w:rsidR="008F3B13" w:rsidRPr="00AC57EA">
        <w:rPr>
          <w:rFonts w:cs="Arial"/>
          <w:sz w:val="20"/>
          <w:szCs w:val="20"/>
          <w:vertAlign w:val="superscript"/>
          <w:lang w:val="en-US"/>
        </w:rPr>
        <w:footnoteReference w:id="173"/>
      </w:r>
      <w:r w:rsidR="008F3B13" w:rsidRPr="00AC57EA">
        <w:rPr>
          <w:sz w:val="20"/>
          <w:szCs w:val="20"/>
          <w:lang w:val="en-US"/>
        </w:rPr>
        <w:t xml:space="preserve"> </w:t>
      </w:r>
      <w:r w:rsidRPr="00AC57EA">
        <w:rPr>
          <w:sz w:val="20"/>
          <w:szCs w:val="20"/>
          <w:lang w:val="en-US"/>
        </w:rPr>
        <w:t xml:space="preserve">filed legal actions against </w:t>
      </w:r>
      <w:r w:rsidR="008F3B13" w:rsidRPr="00AC57EA">
        <w:rPr>
          <w:sz w:val="20"/>
          <w:szCs w:val="20"/>
          <w:lang w:val="en-US"/>
        </w:rPr>
        <w:t>V.P.C.</w:t>
      </w:r>
      <w:r w:rsidR="00171E27" w:rsidRPr="00AC57EA">
        <w:rPr>
          <w:sz w:val="20"/>
          <w:szCs w:val="20"/>
          <w:lang w:val="en-US"/>
        </w:rPr>
        <w:t xml:space="preserve"> and </w:t>
      </w:r>
      <w:r w:rsidRPr="00AC57EA">
        <w:rPr>
          <w:sz w:val="20"/>
          <w:szCs w:val="20"/>
          <w:lang w:val="en-US"/>
        </w:rPr>
        <w:t>her family members for the offenses of defamation and libel</w:t>
      </w:r>
      <w:r w:rsidR="001E47AC" w:rsidRPr="00AC57EA">
        <w:rPr>
          <w:sz w:val="20"/>
          <w:szCs w:val="20"/>
          <w:lang w:val="en-US"/>
        </w:rPr>
        <w:t xml:space="preserve">. </w:t>
      </w:r>
      <w:r w:rsidRPr="00AC57EA">
        <w:rPr>
          <w:sz w:val="20"/>
          <w:szCs w:val="20"/>
          <w:lang w:val="en-US"/>
        </w:rPr>
        <w:t xml:space="preserve">The lawyers who provided legal support to these actions were related to the accused. They included the brother </w:t>
      </w:r>
      <w:r w:rsidRPr="00AC57EA">
        <w:rPr>
          <w:rFonts w:cs="Arial"/>
          <w:color w:val="000000"/>
          <w:sz w:val="20"/>
          <w:szCs w:val="20"/>
          <w:lang w:val="en-US"/>
        </w:rPr>
        <w:t xml:space="preserve">of the </w:t>
      </w:r>
      <w:r w:rsidR="00246365" w:rsidRPr="00AC57EA">
        <w:rPr>
          <w:rFonts w:cs="Arial"/>
          <w:color w:val="000000"/>
          <w:sz w:val="20"/>
          <w:szCs w:val="20"/>
          <w:lang w:val="en-US"/>
        </w:rPr>
        <w:t>forensic physician</w:t>
      </w:r>
      <w:r w:rsidR="00F63EBB" w:rsidRPr="00AC57EA">
        <w:rPr>
          <w:rFonts w:cs="Arial"/>
          <w:color w:val="000000"/>
          <w:sz w:val="20"/>
          <w:szCs w:val="20"/>
          <w:lang w:val="en-US"/>
        </w:rPr>
        <w:t xml:space="preserve">, </w:t>
      </w:r>
      <w:r w:rsidRPr="00AC57EA">
        <w:rPr>
          <w:rFonts w:cs="Arial"/>
          <w:color w:val="000000"/>
          <w:sz w:val="20"/>
          <w:szCs w:val="20"/>
          <w:lang w:val="en-US"/>
        </w:rPr>
        <w:t>who was an acquaintance of</w:t>
      </w:r>
      <w:r w:rsidR="00F63EBB" w:rsidRPr="00AC57EA">
        <w:rPr>
          <w:rFonts w:cs="Arial"/>
          <w:color w:val="000000"/>
          <w:sz w:val="20"/>
          <w:szCs w:val="20"/>
          <w:lang w:val="en-US"/>
        </w:rPr>
        <w:t xml:space="preserve"> H.R.A.</w:t>
      </w:r>
      <w:r w:rsidR="00171E27" w:rsidRPr="00AC57EA">
        <w:rPr>
          <w:rFonts w:cs="Arial"/>
          <w:color w:val="000000"/>
          <w:sz w:val="20"/>
          <w:szCs w:val="20"/>
          <w:lang w:val="en-US"/>
        </w:rPr>
        <w:t xml:space="preserve"> and </w:t>
      </w:r>
      <w:r w:rsidR="00152A85" w:rsidRPr="00AC57EA">
        <w:rPr>
          <w:rFonts w:cs="Arial"/>
          <w:color w:val="000000"/>
          <w:sz w:val="20"/>
          <w:szCs w:val="20"/>
          <w:lang w:val="en-US"/>
        </w:rPr>
        <w:t>had</w:t>
      </w:r>
      <w:r w:rsidRPr="00AC57EA">
        <w:rPr>
          <w:rFonts w:cs="Arial"/>
          <w:color w:val="000000"/>
          <w:sz w:val="20"/>
          <w:szCs w:val="20"/>
          <w:lang w:val="en-US"/>
        </w:rPr>
        <w:t xml:space="preserve"> testified in </w:t>
      </w:r>
      <w:r w:rsidR="00152A85" w:rsidRPr="00AC57EA">
        <w:rPr>
          <w:rFonts w:cs="Arial"/>
          <w:color w:val="000000"/>
          <w:sz w:val="20"/>
          <w:szCs w:val="20"/>
          <w:lang w:val="en-US"/>
        </w:rPr>
        <w:t xml:space="preserve">his </w:t>
      </w:r>
      <w:r w:rsidRPr="00AC57EA">
        <w:rPr>
          <w:rFonts w:cs="Arial"/>
          <w:color w:val="000000"/>
          <w:sz w:val="20"/>
          <w:szCs w:val="20"/>
          <w:lang w:val="en-US"/>
        </w:rPr>
        <w:t xml:space="preserve">favor </w:t>
      </w:r>
      <w:r w:rsidR="00152A85" w:rsidRPr="00AC57EA">
        <w:rPr>
          <w:rFonts w:cs="Arial"/>
          <w:color w:val="000000"/>
          <w:sz w:val="20"/>
          <w:szCs w:val="20"/>
          <w:lang w:val="en-US"/>
        </w:rPr>
        <w:t>during</w:t>
      </w:r>
      <w:r w:rsidRPr="00AC57EA">
        <w:rPr>
          <w:rFonts w:cs="Arial"/>
          <w:color w:val="000000"/>
          <w:sz w:val="20"/>
          <w:szCs w:val="20"/>
          <w:lang w:val="en-US"/>
        </w:rPr>
        <w:t xml:space="preserve"> the proceedings.</w:t>
      </w:r>
      <w:r w:rsidR="00F63EBB" w:rsidRPr="00AC57EA">
        <w:rPr>
          <w:rStyle w:val="Refdenotaalpie"/>
          <w:rFonts w:cs="Arial"/>
          <w:color w:val="000000"/>
          <w:sz w:val="20"/>
          <w:szCs w:val="20"/>
          <w:lang w:val="en-US"/>
        </w:rPr>
        <w:footnoteReference w:id="174"/>
      </w:r>
    </w:p>
    <w:p w14:paraId="32D2878E" w14:textId="77777777" w:rsidR="00B5625C" w:rsidRPr="00AC57EA" w:rsidRDefault="00B5625C" w:rsidP="00B5625C">
      <w:pPr>
        <w:spacing w:line="240" w:lineRule="auto"/>
        <w:rPr>
          <w:sz w:val="20"/>
          <w:szCs w:val="20"/>
          <w:lang w:val="en-US"/>
        </w:rPr>
      </w:pPr>
    </w:p>
    <w:p w14:paraId="51A71E56" w14:textId="1FA94076" w:rsidR="00B5625C" w:rsidRPr="00AC57EA" w:rsidRDefault="00A0286E" w:rsidP="00963AF3">
      <w:pPr>
        <w:pStyle w:val="Prrafodelista"/>
        <w:keepNext/>
        <w:keepLines/>
        <w:numPr>
          <w:ilvl w:val="0"/>
          <w:numId w:val="15"/>
        </w:numPr>
        <w:tabs>
          <w:tab w:val="left" w:pos="1276"/>
        </w:tabs>
        <w:spacing w:line="240" w:lineRule="auto"/>
        <w:outlineLvl w:val="1"/>
        <w:rPr>
          <w:rFonts w:eastAsia="MS Mincho"/>
          <w:b/>
          <w:bCs/>
          <w:i/>
          <w:sz w:val="20"/>
          <w:szCs w:val="20"/>
          <w:lang w:val="en-US"/>
        </w:rPr>
      </w:pPr>
      <w:r w:rsidRPr="00AC57EA">
        <w:rPr>
          <w:rFonts w:eastAsia="MS Mincho"/>
          <w:b/>
          <w:bCs/>
          <w:i/>
          <w:sz w:val="20"/>
          <w:szCs w:val="20"/>
          <w:lang w:val="en-US"/>
        </w:rPr>
        <w:lastRenderedPageBreak/>
        <w:t>V.P.C. and her daughters leave for the United States of America</w:t>
      </w:r>
    </w:p>
    <w:p w14:paraId="1343BB96" w14:textId="77777777" w:rsidR="00B5625C" w:rsidRPr="00AC57EA" w:rsidRDefault="00B5625C" w:rsidP="00B5625C">
      <w:pPr>
        <w:widowControl/>
        <w:adjustRightInd/>
        <w:spacing w:line="240" w:lineRule="auto"/>
        <w:ind w:left="1418"/>
        <w:textAlignment w:val="auto"/>
        <w:rPr>
          <w:b/>
          <w:i/>
          <w:sz w:val="20"/>
          <w:szCs w:val="20"/>
          <w:lang w:val="en-US"/>
        </w:rPr>
      </w:pPr>
    </w:p>
    <w:p w14:paraId="28802403" w14:textId="62D70B1B" w:rsidR="00B5625C" w:rsidRPr="00AC57EA" w:rsidRDefault="00882CC5"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On December 6,</w:t>
      </w:r>
      <w:r w:rsidR="00B5625C" w:rsidRPr="00AC57EA">
        <w:rPr>
          <w:sz w:val="20"/>
          <w:szCs w:val="20"/>
          <w:lang w:val="en-US"/>
        </w:rPr>
        <w:t xml:space="preserve"> 2002</w:t>
      </w:r>
      <w:r w:rsidRPr="00AC57EA">
        <w:rPr>
          <w:sz w:val="20"/>
          <w:szCs w:val="20"/>
          <w:lang w:val="en-US"/>
        </w:rPr>
        <w:t>,</w:t>
      </w:r>
      <w:r w:rsidR="00B5625C" w:rsidRPr="00AC57EA">
        <w:rPr>
          <w:sz w:val="20"/>
          <w:szCs w:val="20"/>
          <w:lang w:val="en-US"/>
        </w:rPr>
        <w:t xml:space="preserve"> V.P.C. </w:t>
      </w:r>
      <w:r w:rsidR="00A0286E" w:rsidRPr="00AC57EA">
        <w:rPr>
          <w:sz w:val="20"/>
          <w:szCs w:val="20"/>
          <w:lang w:val="en-US"/>
        </w:rPr>
        <w:t>left</w:t>
      </w:r>
      <w:r w:rsidR="00B5625C" w:rsidRPr="00AC57EA">
        <w:rPr>
          <w:sz w:val="20"/>
          <w:szCs w:val="20"/>
          <w:lang w:val="en-US"/>
        </w:rPr>
        <w:t xml:space="preserve"> Nicaragua </w:t>
      </w:r>
      <w:r w:rsidR="00A0286E" w:rsidRPr="00AC57EA">
        <w:rPr>
          <w:sz w:val="20"/>
          <w:szCs w:val="20"/>
          <w:lang w:val="en-US"/>
        </w:rPr>
        <w:t>with her two daughters,</w:t>
      </w:r>
      <w:r w:rsidR="00B5625C" w:rsidRPr="00AC57EA">
        <w:rPr>
          <w:sz w:val="20"/>
          <w:szCs w:val="20"/>
          <w:lang w:val="en-US"/>
        </w:rPr>
        <w:t xml:space="preserve"> V.R.P.</w:t>
      </w:r>
      <w:r w:rsidR="00171E27" w:rsidRPr="00AC57EA">
        <w:rPr>
          <w:sz w:val="20"/>
          <w:szCs w:val="20"/>
          <w:lang w:val="en-US"/>
        </w:rPr>
        <w:t xml:space="preserve"> and </w:t>
      </w:r>
      <w:r w:rsidR="00B5625C" w:rsidRPr="00AC57EA">
        <w:rPr>
          <w:sz w:val="20"/>
          <w:szCs w:val="20"/>
          <w:lang w:val="en-US"/>
        </w:rPr>
        <w:t>N.R.P.</w:t>
      </w:r>
      <w:r w:rsidR="00A0286E" w:rsidRPr="00AC57EA">
        <w:rPr>
          <w:sz w:val="20"/>
          <w:szCs w:val="20"/>
          <w:lang w:val="en-US"/>
        </w:rPr>
        <w:t>,</w:t>
      </w:r>
      <w:r w:rsidR="00B5625C" w:rsidRPr="00AC57EA">
        <w:rPr>
          <w:sz w:val="20"/>
          <w:szCs w:val="20"/>
          <w:vertAlign w:val="superscript"/>
          <w:lang w:val="en-US"/>
        </w:rPr>
        <w:footnoteReference w:id="175"/>
      </w:r>
      <w:r w:rsidR="00A0286E" w:rsidRPr="00AC57EA">
        <w:rPr>
          <w:sz w:val="20"/>
          <w:szCs w:val="20"/>
          <w:lang w:val="en-US"/>
        </w:rPr>
        <w:t xml:space="preserve"> and went to the United States where they were granted asylum.</w:t>
      </w:r>
      <w:r w:rsidR="00B5625C" w:rsidRPr="00AC57EA">
        <w:rPr>
          <w:sz w:val="20"/>
          <w:szCs w:val="20"/>
          <w:vertAlign w:val="superscript"/>
          <w:lang w:val="en-US"/>
        </w:rPr>
        <w:footnoteReference w:id="176"/>
      </w:r>
    </w:p>
    <w:p w14:paraId="56F25B9C" w14:textId="77777777" w:rsidR="00B5625C" w:rsidRPr="00AC57EA" w:rsidRDefault="00B5625C" w:rsidP="00B5625C">
      <w:pPr>
        <w:spacing w:line="240" w:lineRule="auto"/>
        <w:rPr>
          <w:sz w:val="20"/>
          <w:szCs w:val="20"/>
          <w:lang w:val="en-US"/>
        </w:rPr>
      </w:pPr>
    </w:p>
    <w:p w14:paraId="2AB14551" w14:textId="6ED1E6F8" w:rsidR="00B5625C" w:rsidRPr="00AC57EA" w:rsidRDefault="00A0286E"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 xml:space="preserve">Once they were settled in the United States, </w:t>
      </w:r>
      <w:r w:rsidR="00B5625C" w:rsidRPr="00AC57EA">
        <w:rPr>
          <w:sz w:val="20"/>
          <w:szCs w:val="20"/>
          <w:lang w:val="en-US"/>
        </w:rPr>
        <w:t xml:space="preserve">V.R.P. </w:t>
      </w:r>
      <w:r w:rsidRPr="00AC57EA">
        <w:rPr>
          <w:sz w:val="20"/>
          <w:szCs w:val="20"/>
          <w:lang w:val="en-US"/>
        </w:rPr>
        <w:t>started receiving psychiatric treatment in October 2003, owing to “her severe symptoms related to the sexual abuse she had suffered.</w:t>
      </w:r>
      <w:r w:rsidR="00B5625C" w:rsidRPr="00AC57EA">
        <w:rPr>
          <w:sz w:val="20"/>
          <w:szCs w:val="20"/>
          <w:lang w:val="en-US"/>
        </w:rPr>
        <w:t>”</w:t>
      </w:r>
      <w:r w:rsidR="00B5625C" w:rsidRPr="00AC57EA">
        <w:rPr>
          <w:sz w:val="20"/>
          <w:szCs w:val="20"/>
          <w:vertAlign w:val="superscript"/>
          <w:lang w:val="en-US"/>
        </w:rPr>
        <w:footnoteReference w:id="177"/>
      </w:r>
      <w:r w:rsidRPr="00AC57EA">
        <w:rPr>
          <w:sz w:val="20"/>
          <w:szCs w:val="20"/>
          <w:lang w:val="en-US"/>
        </w:rPr>
        <w:t xml:space="preserve"> These symptoms consisted in depression, anxiety, hypervigilance, and self-mutilating behavior.</w:t>
      </w:r>
    </w:p>
    <w:p w14:paraId="6DBCFF80" w14:textId="77777777" w:rsidR="00B5625C" w:rsidRPr="00AC57EA" w:rsidRDefault="00B5625C" w:rsidP="00B5625C">
      <w:pPr>
        <w:tabs>
          <w:tab w:val="left" w:pos="567"/>
        </w:tabs>
        <w:spacing w:line="240" w:lineRule="auto"/>
        <w:rPr>
          <w:sz w:val="20"/>
          <w:szCs w:val="20"/>
          <w:lang w:val="en-US"/>
        </w:rPr>
      </w:pPr>
    </w:p>
    <w:p w14:paraId="06A2D1DB" w14:textId="593F32DD" w:rsidR="00B5625C" w:rsidRPr="00AC57EA" w:rsidRDefault="00A0286E" w:rsidP="00A0286E">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In</w:t>
      </w:r>
      <w:r w:rsidR="00B5625C" w:rsidRPr="00AC57EA">
        <w:rPr>
          <w:sz w:val="20"/>
          <w:szCs w:val="20"/>
          <w:lang w:val="en-US"/>
        </w:rPr>
        <w:t xml:space="preserve"> 2003</w:t>
      </w:r>
      <w:r w:rsidRPr="00AC57EA">
        <w:rPr>
          <w:sz w:val="20"/>
          <w:szCs w:val="20"/>
          <w:lang w:val="en-US"/>
        </w:rPr>
        <w:t>, when they were already settled in the United States, V.P.C. indicated that she “ha[d] received an anonymous communication in which someone advised [her] that they knew where  [she</w:t>
      </w:r>
      <w:r w:rsidR="00994884" w:rsidRPr="00AC57EA">
        <w:rPr>
          <w:sz w:val="20"/>
          <w:szCs w:val="20"/>
          <w:lang w:val="en-US"/>
        </w:rPr>
        <w:t>]</w:t>
      </w:r>
      <w:r w:rsidRPr="00AC57EA">
        <w:rPr>
          <w:sz w:val="20"/>
          <w:szCs w:val="20"/>
          <w:lang w:val="en-US"/>
        </w:rPr>
        <w:t xml:space="preserve"> was and that they would be arriving soon; the United States Postal Inspection Service and the Department of Children and Families, through the Child Protection Service investigator, intervened to protect [her] daughter from possible death threats that might </w:t>
      </w:r>
      <w:r w:rsidR="00994884" w:rsidRPr="00AC57EA">
        <w:rPr>
          <w:sz w:val="20"/>
          <w:szCs w:val="20"/>
          <w:lang w:val="en-US"/>
        </w:rPr>
        <w:t>arise</w:t>
      </w:r>
      <w:r w:rsidRPr="00AC57EA">
        <w:rPr>
          <w:sz w:val="20"/>
          <w:szCs w:val="20"/>
          <w:lang w:val="en-US"/>
        </w:rPr>
        <w:t xml:space="preserve"> owing to the general neglect and lack of care to which the Nicaraguan judicial authorities ha[d] subjected the whole family.</w:t>
      </w:r>
      <w:r w:rsidR="00B5625C" w:rsidRPr="00AC57EA">
        <w:rPr>
          <w:sz w:val="20"/>
          <w:szCs w:val="20"/>
          <w:lang w:val="en-US"/>
        </w:rPr>
        <w:t>”</w:t>
      </w:r>
      <w:r w:rsidR="00B5625C" w:rsidRPr="00AC57EA">
        <w:rPr>
          <w:sz w:val="20"/>
          <w:szCs w:val="20"/>
          <w:vertAlign w:val="superscript"/>
          <w:lang w:val="en-US"/>
        </w:rPr>
        <w:footnoteReference w:id="178"/>
      </w:r>
    </w:p>
    <w:p w14:paraId="2F5977E1" w14:textId="77777777" w:rsidR="00B5625C" w:rsidRPr="00AC57EA" w:rsidRDefault="00B5625C" w:rsidP="00B5625C">
      <w:pPr>
        <w:tabs>
          <w:tab w:val="left" w:pos="567"/>
        </w:tabs>
        <w:spacing w:line="240" w:lineRule="auto"/>
        <w:rPr>
          <w:sz w:val="20"/>
          <w:szCs w:val="20"/>
          <w:lang w:val="en-US"/>
        </w:rPr>
      </w:pPr>
    </w:p>
    <w:p w14:paraId="1658CADB" w14:textId="52680E3D" w:rsidR="00B5625C" w:rsidRPr="00AC57EA" w:rsidRDefault="00A0286E"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Subsequently, on April 1, 2008, V.R.P. had to be hospitalized in Miami for more than 15 days to treat her post-traumatic stress disorder.</w:t>
      </w:r>
      <w:r w:rsidR="00B5625C" w:rsidRPr="00AC57EA">
        <w:rPr>
          <w:sz w:val="20"/>
          <w:szCs w:val="20"/>
          <w:vertAlign w:val="superscript"/>
          <w:lang w:val="en-US"/>
        </w:rPr>
        <w:footnoteReference w:id="179"/>
      </w:r>
      <w:r w:rsidRPr="00AC57EA">
        <w:rPr>
          <w:sz w:val="20"/>
          <w:szCs w:val="20"/>
          <w:lang w:val="en-US"/>
        </w:rPr>
        <w:t xml:space="preserve"> The child’s psychological problems had already been indicated by psychological and psychiatric diagnoses and reports in Nicaragua during and after the criminal proceedings for rape.</w:t>
      </w:r>
      <w:r w:rsidR="00B5625C" w:rsidRPr="00AC57EA">
        <w:rPr>
          <w:sz w:val="20"/>
          <w:szCs w:val="20"/>
          <w:vertAlign w:val="superscript"/>
          <w:lang w:val="en-US"/>
        </w:rPr>
        <w:footnoteReference w:id="180"/>
      </w:r>
    </w:p>
    <w:p w14:paraId="676AFE69" w14:textId="77777777" w:rsidR="00B5625C" w:rsidRPr="00AC57EA" w:rsidRDefault="00B5625C" w:rsidP="00B5625C">
      <w:pPr>
        <w:spacing w:line="240" w:lineRule="auto"/>
        <w:rPr>
          <w:sz w:val="20"/>
          <w:szCs w:val="20"/>
          <w:lang w:val="en-US"/>
        </w:rPr>
      </w:pPr>
    </w:p>
    <w:p w14:paraId="0EAEED98" w14:textId="245BCB49" w:rsidR="00B5625C" w:rsidRPr="00AC57EA" w:rsidRDefault="00A0286E" w:rsidP="005C77A8">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Since they left the country, V.P.C. has returned to Nicaragua on two occasions, while V.R.P. has never gone back.</w:t>
      </w:r>
      <w:r w:rsidR="00B5625C" w:rsidRPr="00AC57EA">
        <w:rPr>
          <w:sz w:val="20"/>
          <w:szCs w:val="20"/>
          <w:vertAlign w:val="superscript"/>
          <w:lang w:val="en-US"/>
        </w:rPr>
        <w:footnoteReference w:id="181"/>
      </w:r>
    </w:p>
    <w:p w14:paraId="67DDA5D3" w14:textId="77777777" w:rsidR="00B5625C" w:rsidRPr="00AC57EA" w:rsidRDefault="00B5625C" w:rsidP="00B5625C">
      <w:pPr>
        <w:widowControl/>
        <w:adjustRightInd/>
        <w:spacing w:line="240" w:lineRule="auto"/>
        <w:jc w:val="left"/>
        <w:textAlignment w:val="auto"/>
        <w:rPr>
          <w:rFonts w:cs="Verdana"/>
          <w:b/>
          <w:bCs/>
          <w:caps/>
          <w:snapToGrid w:val="0"/>
          <w:sz w:val="20"/>
          <w:szCs w:val="20"/>
          <w:lang w:val="en-US"/>
        </w:rPr>
      </w:pPr>
    </w:p>
    <w:p w14:paraId="3D2F860A" w14:textId="34F82C6E" w:rsidR="00B5625C" w:rsidRPr="00AC57EA" w:rsidRDefault="00B5625C" w:rsidP="00B5625C">
      <w:pPr>
        <w:keepNext/>
        <w:keepLines/>
        <w:tabs>
          <w:tab w:val="left" w:pos="851"/>
        </w:tabs>
        <w:spacing w:line="240" w:lineRule="auto"/>
        <w:jc w:val="center"/>
        <w:outlineLvl w:val="0"/>
        <w:rPr>
          <w:rFonts w:cs="Verdana"/>
          <w:b/>
          <w:bCs/>
          <w:caps/>
          <w:snapToGrid w:val="0"/>
          <w:sz w:val="20"/>
          <w:szCs w:val="20"/>
          <w:lang w:val="en-US"/>
        </w:rPr>
      </w:pPr>
      <w:bookmarkStart w:id="108" w:name="_Toc514172626"/>
      <w:r w:rsidRPr="00AC57EA">
        <w:rPr>
          <w:rFonts w:cs="Verdana"/>
          <w:b/>
          <w:bCs/>
          <w:caps/>
          <w:snapToGrid w:val="0"/>
          <w:sz w:val="20"/>
          <w:szCs w:val="20"/>
          <w:lang w:val="en-US"/>
        </w:rPr>
        <w:t>vIii</w:t>
      </w:r>
      <w:r w:rsidRPr="00AC57EA">
        <w:rPr>
          <w:rFonts w:cs="Verdana"/>
          <w:b/>
          <w:bCs/>
          <w:caps/>
          <w:snapToGrid w:val="0"/>
          <w:sz w:val="20"/>
          <w:szCs w:val="20"/>
          <w:lang w:val="en-US"/>
        </w:rPr>
        <w:br/>
      </w:r>
      <w:r w:rsidR="00B65C64" w:rsidRPr="00AC57EA">
        <w:rPr>
          <w:rFonts w:cs="Verdana"/>
          <w:b/>
          <w:bCs/>
          <w:caps/>
          <w:snapToGrid w:val="0"/>
          <w:sz w:val="20"/>
          <w:szCs w:val="20"/>
          <w:lang w:val="en-US"/>
        </w:rPr>
        <w:t>MERITS</w:t>
      </w:r>
      <w:bookmarkEnd w:id="101"/>
      <w:bookmarkEnd w:id="102"/>
      <w:bookmarkEnd w:id="103"/>
      <w:bookmarkEnd w:id="108"/>
    </w:p>
    <w:p w14:paraId="6336072C" w14:textId="77777777" w:rsidR="00B5625C" w:rsidRPr="00AC57EA" w:rsidRDefault="00B5625C" w:rsidP="00B5625C">
      <w:pPr>
        <w:spacing w:line="240" w:lineRule="auto"/>
        <w:rPr>
          <w:rFonts w:cs="Verdana"/>
          <w:bCs/>
          <w:caps/>
          <w:snapToGrid w:val="0"/>
          <w:sz w:val="20"/>
          <w:szCs w:val="20"/>
          <w:lang w:val="en-US"/>
        </w:rPr>
      </w:pPr>
    </w:p>
    <w:p w14:paraId="2ABDFF26" w14:textId="2A4131DA" w:rsidR="007D1BE9" w:rsidRPr="00AC57EA" w:rsidRDefault="001120B6" w:rsidP="007D5AA2">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In this chapter</w:t>
      </w:r>
      <w:r w:rsidR="0027432F" w:rsidRPr="00AC57EA">
        <w:rPr>
          <w:sz w:val="20"/>
          <w:szCs w:val="20"/>
          <w:lang w:val="en-US"/>
        </w:rPr>
        <w:t xml:space="preserve">, </w:t>
      </w:r>
      <w:r w:rsidR="00B7258C" w:rsidRPr="00AC57EA">
        <w:rPr>
          <w:sz w:val="20"/>
          <w:szCs w:val="20"/>
          <w:lang w:val="en-US"/>
        </w:rPr>
        <w:t>the Court</w:t>
      </w:r>
      <w:r w:rsidR="0027432F" w:rsidRPr="00AC57EA">
        <w:rPr>
          <w:sz w:val="20"/>
          <w:szCs w:val="20"/>
          <w:lang w:val="en-US"/>
        </w:rPr>
        <w:t xml:space="preserve"> </w:t>
      </w:r>
      <w:r w:rsidR="007D5AA2" w:rsidRPr="00AC57EA">
        <w:rPr>
          <w:sz w:val="20"/>
          <w:szCs w:val="20"/>
          <w:lang w:val="en-US"/>
        </w:rPr>
        <w:t xml:space="preserve">will examine the merits of the case. In </w:t>
      </w:r>
      <w:r w:rsidR="00994884" w:rsidRPr="00AC57EA">
        <w:rPr>
          <w:sz w:val="20"/>
          <w:szCs w:val="20"/>
          <w:lang w:val="en-US"/>
        </w:rPr>
        <w:t>this</w:t>
      </w:r>
      <w:r w:rsidR="007D5AA2" w:rsidRPr="00AC57EA">
        <w:rPr>
          <w:sz w:val="20"/>
          <w:szCs w:val="20"/>
          <w:lang w:val="en-US"/>
        </w:rPr>
        <w:t xml:space="preserve"> case, the Court must examine the alleged international responsibility of the State based on its international obligations derived from </w:t>
      </w:r>
      <w:r w:rsidR="007D5AA2" w:rsidRPr="00AC57EA">
        <w:rPr>
          <w:kern w:val="2"/>
          <w:sz w:val="20"/>
          <w:szCs w:val="20"/>
          <w:lang w:val="en-US" w:eastAsia="en-US"/>
        </w:rPr>
        <w:t xml:space="preserve">the American Convention and, in particular, the Convention of Belém do Pará, in </w:t>
      </w:r>
      <w:r w:rsidR="007D5AA2" w:rsidRPr="00AC57EA">
        <w:rPr>
          <w:kern w:val="2"/>
          <w:sz w:val="20"/>
          <w:szCs w:val="20"/>
          <w:lang w:val="en-US" w:eastAsia="en-US"/>
        </w:rPr>
        <w:lastRenderedPageBreak/>
        <w:t xml:space="preserve">relation to a child who, at eight years of age, was the victim of rape committed by a non-state actor. According to the arguments presented, the international responsibility of </w:t>
      </w:r>
      <w:r w:rsidR="007D5AA2" w:rsidRPr="00AC57EA">
        <w:rPr>
          <w:sz w:val="20"/>
          <w:szCs w:val="20"/>
          <w:lang w:val="en-US"/>
        </w:rPr>
        <w:t>the State of Nicaragua was constituted by a series of acts and omissions</w:t>
      </w:r>
      <w:r w:rsidR="00994884" w:rsidRPr="00AC57EA">
        <w:rPr>
          <w:sz w:val="20"/>
          <w:szCs w:val="20"/>
          <w:lang w:val="en-US"/>
        </w:rPr>
        <w:t xml:space="preserve"> </w:t>
      </w:r>
      <w:r w:rsidR="007D5AA2" w:rsidRPr="00AC57EA">
        <w:rPr>
          <w:sz w:val="20"/>
          <w:szCs w:val="20"/>
          <w:lang w:val="en-US"/>
        </w:rPr>
        <w:t>in relation to the rape</w:t>
      </w:r>
      <w:r w:rsidR="00994884" w:rsidRPr="00AC57EA">
        <w:rPr>
          <w:sz w:val="20"/>
          <w:szCs w:val="20"/>
          <w:lang w:val="en-US"/>
        </w:rPr>
        <w:t xml:space="preserve"> by the State</w:t>
      </w:r>
      <w:r w:rsidR="007D5AA2" w:rsidRPr="00AC57EA">
        <w:rPr>
          <w:sz w:val="20"/>
          <w:szCs w:val="20"/>
          <w:lang w:val="en-US"/>
        </w:rPr>
        <w:t xml:space="preserve">, </w:t>
      </w:r>
      <w:r w:rsidR="00994884" w:rsidRPr="00AC57EA">
        <w:rPr>
          <w:sz w:val="20"/>
          <w:szCs w:val="20"/>
          <w:lang w:val="en-US"/>
        </w:rPr>
        <w:t>which</w:t>
      </w:r>
      <w:r w:rsidR="007D5AA2" w:rsidRPr="00AC57EA">
        <w:rPr>
          <w:sz w:val="20"/>
          <w:szCs w:val="20"/>
          <w:lang w:val="en-US"/>
        </w:rPr>
        <w:t xml:space="preserve"> </w:t>
      </w:r>
      <w:r w:rsidR="00994884" w:rsidRPr="00AC57EA">
        <w:rPr>
          <w:sz w:val="20"/>
          <w:szCs w:val="20"/>
          <w:lang w:val="en-US"/>
        </w:rPr>
        <w:t>had failed to fulfill its</w:t>
      </w:r>
      <w:r w:rsidR="007D5AA2" w:rsidRPr="00AC57EA">
        <w:rPr>
          <w:sz w:val="20"/>
          <w:szCs w:val="20"/>
          <w:lang w:val="en-US"/>
        </w:rPr>
        <w:t xml:space="preserve"> the duty of </w:t>
      </w:r>
      <w:r w:rsidR="00994884" w:rsidRPr="00AC57EA">
        <w:rPr>
          <w:sz w:val="20"/>
          <w:szCs w:val="20"/>
          <w:lang w:val="en-US"/>
        </w:rPr>
        <w:t>enhanced</w:t>
      </w:r>
      <w:r w:rsidR="007D5AA2" w:rsidRPr="00AC57EA">
        <w:rPr>
          <w:sz w:val="20"/>
          <w:szCs w:val="20"/>
          <w:lang w:val="en-US"/>
        </w:rPr>
        <w:t xml:space="preserve"> due diligence and special protection,</w:t>
      </w:r>
      <w:r w:rsidR="00994884" w:rsidRPr="00AC57EA">
        <w:rPr>
          <w:sz w:val="20"/>
          <w:szCs w:val="20"/>
          <w:lang w:val="en-US"/>
        </w:rPr>
        <w:t xml:space="preserve"> and </w:t>
      </w:r>
      <w:r w:rsidR="007D5AA2" w:rsidRPr="00AC57EA">
        <w:rPr>
          <w:sz w:val="20"/>
          <w:szCs w:val="20"/>
          <w:lang w:val="en-US"/>
        </w:rPr>
        <w:t xml:space="preserve">that had been of such significance that they resulted in a situation of revictimization which severely </w:t>
      </w:r>
      <w:r w:rsidR="00994884" w:rsidRPr="00AC57EA">
        <w:rPr>
          <w:sz w:val="20"/>
          <w:szCs w:val="20"/>
          <w:lang w:val="en-US"/>
        </w:rPr>
        <w:t>breached</w:t>
      </w:r>
      <w:r w:rsidR="007D5AA2" w:rsidRPr="00AC57EA">
        <w:rPr>
          <w:sz w:val="20"/>
          <w:szCs w:val="20"/>
          <w:lang w:val="en-US"/>
        </w:rPr>
        <w:t xml:space="preserve"> various rights </w:t>
      </w:r>
      <w:r w:rsidR="00171E27" w:rsidRPr="00AC57EA">
        <w:rPr>
          <w:sz w:val="20"/>
          <w:szCs w:val="20"/>
          <w:lang w:val="en-US"/>
        </w:rPr>
        <w:t>of the presumed victims</w:t>
      </w:r>
      <w:r w:rsidR="007D1BE9" w:rsidRPr="00AC57EA">
        <w:rPr>
          <w:sz w:val="20"/>
          <w:szCs w:val="20"/>
          <w:lang w:val="en-US"/>
        </w:rPr>
        <w:t>.</w:t>
      </w:r>
    </w:p>
    <w:p w14:paraId="55F21850" w14:textId="77777777" w:rsidR="007D1BE9" w:rsidRPr="00AC57EA" w:rsidRDefault="007D1BE9" w:rsidP="007D1BE9">
      <w:pPr>
        <w:tabs>
          <w:tab w:val="left" w:pos="567"/>
        </w:tabs>
        <w:spacing w:line="240" w:lineRule="auto"/>
        <w:rPr>
          <w:sz w:val="20"/>
          <w:szCs w:val="20"/>
          <w:lang w:val="en-US"/>
        </w:rPr>
      </w:pPr>
    </w:p>
    <w:p w14:paraId="439BA827" w14:textId="537C1EA0" w:rsidR="00B5625C" w:rsidRPr="00AC57EA" w:rsidRDefault="007D5AA2" w:rsidP="007D5AA2">
      <w:pPr>
        <w:numPr>
          <w:ilvl w:val="0"/>
          <w:numId w:val="2"/>
        </w:numPr>
        <w:tabs>
          <w:tab w:val="left" w:pos="567"/>
          <w:tab w:val="num" w:pos="12305"/>
        </w:tabs>
        <w:spacing w:line="240" w:lineRule="auto"/>
        <w:ind w:left="0" w:firstLine="0"/>
        <w:rPr>
          <w:rFonts w:cs="Verdana"/>
          <w:bCs/>
          <w:caps/>
          <w:snapToGrid w:val="0"/>
          <w:sz w:val="20"/>
          <w:szCs w:val="20"/>
          <w:lang w:val="en-US"/>
        </w:rPr>
      </w:pPr>
      <w:r w:rsidRPr="00AC57EA">
        <w:rPr>
          <w:sz w:val="20"/>
          <w:szCs w:val="20"/>
          <w:lang w:val="en-US"/>
        </w:rPr>
        <w:t>Consequently, the Court will proceed as follows</w:t>
      </w:r>
      <w:r w:rsidR="00994884" w:rsidRPr="00AC57EA">
        <w:rPr>
          <w:sz w:val="20"/>
          <w:szCs w:val="20"/>
          <w:lang w:val="en-US"/>
        </w:rPr>
        <w:t xml:space="preserve"> in order to examine the arguments presented</w:t>
      </w:r>
      <w:r w:rsidRPr="00AC57EA">
        <w:rPr>
          <w:sz w:val="20"/>
          <w:szCs w:val="20"/>
          <w:lang w:val="en-US"/>
        </w:rPr>
        <w:t xml:space="preserve">: first, it will examine the arguments concerning the obligation to investigate and the duty of </w:t>
      </w:r>
      <w:r w:rsidR="00994884" w:rsidRPr="00AC57EA">
        <w:rPr>
          <w:sz w:val="20"/>
          <w:szCs w:val="20"/>
          <w:lang w:val="en-US"/>
        </w:rPr>
        <w:t>enhanced due diligence</w:t>
      </w:r>
      <w:r w:rsidRPr="00AC57EA">
        <w:rPr>
          <w:sz w:val="20"/>
          <w:szCs w:val="20"/>
          <w:lang w:val="en-US"/>
        </w:rPr>
        <w:t xml:space="preserve"> and special protection</w:t>
      </w:r>
      <w:r w:rsidR="0027432F" w:rsidRPr="00AC57EA">
        <w:rPr>
          <w:sz w:val="20"/>
          <w:szCs w:val="20"/>
          <w:lang w:val="en-US"/>
        </w:rPr>
        <w:t xml:space="preserve">, </w:t>
      </w:r>
      <w:r w:rsidRPr="00AC57EA">
        <w:rPr>
          <w:sz w:val="20"/>
          <w:szCs w:val="20"/>
          <w:lang w:val="en-US"/>
        </w:rPr>
        <w:t>and also in relation</w:t>
      </w:r>
      <w:r w:rsidR="0027432F" w:rsidRPr="00AC57EA">
        <w:rPr>
          <w:sz w:val="20"/>
          <w:szCs w:val="20"/>
          <w:lang w:val="en-US"/>
        </w:rPr>
        <w:t xml:space="preserve"> </w:t>
      </w:r>
      <w:r w:rsidRPr="00AC57EA">
        <w:rPr>
          <w:sz w:val="20"/>
          <w:szCs w:val="20"/>
          <w:lang w:val="en-US"/>
        </w:rPr>
        <w:t>to judicial guarantees</w:t>
      </w:r>
      <w:r w:rsidRPr="00AC57EA">
        <w:rPr>
          <w:rFonts w:eastAsia="MS Mincho"/>
          <w:sz w:val="20"/>
          <w:szCs w:val="20"/>
          <w:lang w:val="en-US"/>
        </w:rPr>
        <w:t xml:space="preserve"> in the case of the trial by jury and the reasonable time, together with the obligations established in </w:t>
      </w:r>
      <w:r w:rsidR="00B7258C" w:rsidRPr="00AC57EA">
        <w:rPr>
          <w:sz w:val="20"/>
          <w:szCs w:val="20"/>
          <w:lang w:val="en-US"/>
        </w:rPr>
        <w:t>Article</w:t>
      </w:r>
      <w:r w:rsidR="0027432F" w:rsidRPr="00AC57EA">
        <w:rPr>
          <w:sz w:val="20"/>
          <w:szCs w:val="20"/>
          <w:lang w:val="en-US"/>
        </w:rPr>
        <w:t xml:space="preserve"> </w:t>
      </w:r>
      <w:r w:rsidRPr="00AC57EA">
        <w:rPr>
          <w:sz w:val="20"/>
          <w:szCs w:val="20"/>
          <w:lang w:val="en-US"/>
        </w:rPr>
        <w:t>7(b)</w:t>
      </w:r>
      <w:r w:rsidR="00B7258C" w:rsidRPr="00AC57EA">
        <w:rPr>
          <w:rFonts w:eastAsia="MS Mincho"/>
          <w:sz w:val="20"/>
          <w:szCs w:val="20"/>
          <w:lang w:val="en-US"/>
        </w:rPr>
        <w:t xml:space="preserve"> of the </w:t>
      </w:r>
      <w:r w:rsidR="00171E27" w:rsidRPr="00AC57EA">
        <w:rPr>
          <w:sz w:val="20"/>
          <w:szCs w:val="20"/>
          <w:lang w:val="en-US"/>
        </w:rPr>
        <w:t>Convention of Belém</w:t>
      </w:r>
      <w:r w:rsidR="0027432F" w:rsidRPr="00AC57EA">
        <w:rPr>
          <w:sz w:val="20"/>
          <w:szCs w:val="20"/>
          <w:lang w:val="en-US"/>
        </w:rPr>
        <w:t xml:space="preserve"> do Pará</w:t>
      </w:r>
      <w:r w:rsidR="0027432F" w:rsidRPr="00AC57EA">
        <w:rPr>
          <w:rFonts w:eastAsia="MS Mincho"/>
          <w:sz w:val="20"/>
          <w:szCs w:val="20"/>
          <w:lang w:val="en-US"/>
        </w:rPr>
        <w:t>.</w:t>
      </w:r>
      <w:r w:rsidR="00B5625C" w:rsidRPr="00AC57EA">
        <w:rPr>
          <w:rFonts w:eastAsia="MS Mincho"/>
          <w:sz w:val="20"/>
          <w:szCs w:val="20"/>
          <w:lang w:val="en-US"/>
        </w:rPr>
        <w:t xml:space="preserve"> </w:t>
      </w:r>
      <w:r w:rsidRPr="00AC57EA">
        <w:rPr>
          <w:rFonts w:eastAsia="MS Mincho"/>
          <w:sz w:val="20"/>
          <w:szCs w:val="20"/>
          <w:lang w:val="en-US"/>
        </w:rPr>
        <w:t>It will then examine the arguments concerning the supposed discrimination i</w:t>
      </w:r>
      <w:r w:rsidR="00994884" w:rsidRPr="00AC57EA">
        <w:rPr>
          <w:rFonts w:eastAsia="MS Mincho"/>
          <w:sz w:val="20"/>
          <w:szCs w:val="20"/>
          <w:lang w:val="en-US"/>
        </w:rPr>
        <w:t>n</w:t>
      </w:r>
      <w:r w:rsidRPr="00AC57EA">
        <w:rPr>
          <w:rFonts w:eastAsia="MS Mincho"/>
          <w:sz w:val="20"/>
          <w:szCs w:val="20"/>
          <w:lang w:val="en-US"/>
        </w:rPr>
        <w:t xml:space="preserve"> access to justice for reasons of sex and gender, and</w:t>
      </w:r>
      <w:r w:rsidR="00994884" w:rsidRPr="00AC57EA">
        <w:rPr>
          <w:rFonts w:eastAsia="MS Mincho"/>
          <w:sz w:val="20"/>
          <w:szCs w:val="20"/>
          <w:lang w:val="en-US"/>
        </w:rPr>
        <w:t xml:space="preserve"> </w:t>
      </w:r>
      <w:r w:rsidRPr="00AC57EA">
        <w:rPr>
          <w:rFonts w:eastAsia="MS Mincho"/>
          <w:sz w:val="20"/>
          <w:szCs w:val="20"/>
          <w:lang w:val="en-US"/>
        </w:rPr>
        <w:t xml:space="preserve">the </w:t>
      </w:r>
      <w:r w:rsidRPr="00AC57EA">
        <w:rPr>
          <w:sz w:val="20"/>
          <w:szCs w:val="20"/>
          <w:lang w:val="en-US"/>
        </w:rPr>
        <w:t>presumed victim</w:t>
      </w:r>
      <w:r w:rsidRPr="00AC57EA">
        <w:rPr>
          <w:rFonts w:eastAsia="MS Mincho"/>
          <w:sz w:val="20"/>
          <w:szCs w:val="20"/>
          <w:lang w:val="en-US"/>
        </w:rPr>
        <w:t>’s condition of being a person in development</w:t>
      </w:r>
      <w:r w:rsidR="00355ED9" w:rsidRPr="00AC57EA">
        <w:rPr>
          <w:sz w:val="20"/>
          <w:szCs w:val="20"/>
          <w:lang w:val="en-US"/>
        </w:rPr>
        <w:t xml:space="preserve">, </w:t>
      </w:r>
      <w:r w:rsidR="00EB338E" w:rsidRPr="00AC57EA">
        <w:rPr>
          <w:sz w:val="20"/>
          <w:szCs w:val="20"/>
          <w:lang w:val="en-US"/>
        </w:rPr>
        <w:t>pursuant to</w:t>
      </w:r>
      <w:r w:rsidR="00941023" w:rsidRPr="00AC57EA">
        <w:rPr>
          <w:sz w:val="20"/>
          <w:szCs w:val="20"/>
          <w:lang w:val="en-US"/>
        </w:rPr>
        <w:t xml:space="preserve"> </w:t>
      </w:r>
      <w:r w:rsidR="00171E27" w:rsidRPr="00AC57EA">
        <w:rPr>
          <w:sz w:val="20"/>
          <w:szCs w:val="20"/>
          <w:lang w:val="en-US"/>
        </w:rPr>
        <w:t xml:space="preserve">Articles 1(1) and </w:t>
      </w:r>
      <w:r w:rsidR="00941023" w:rsidRPr="00AC57EA">
        <w:rPr>
          <w:sz w:val="20"/>
          <w:szCs w:val="20"/>
          <w:lang w:val="en-US"/>
        </w:rPr>
        <w:t>24</w:t>
      </w:r>
      <w:r w:rsidR="00B7258C" w:rsidRPr="00AC57EA">
        <w:rPr>
          <w:sz w:val="20"/>
          <w:szCs w:val="20"/>
          <w:lang w:val="en-US"/>
        </w:rPr>
        <w:t xml:space="preserve"> of the American Convention</w:t>
      </w:r>
      <w:r w:rsidR="0027432F" w:rsidRPr="00AC57EA">
        <w:rPr>
          <w:sz w:val="20"/>
          <w:szCs w:val="20"/>
          <w:lang w:val="en-US"/>
        </w:rPr>
        <w:t>,</w:t>
      </w:r>
      <w:r w:rsidR="00171E27" w:rsidRPr="00AC57EA">
        <w:rPr>
          <w:sz w:val="20"/>
          <w:szCs w:val="20"/>
          <w:lang w:val="en-US"/>
        </w:rPr>
        <w:t xml:space="preserve"> and </w:t>
      </w:r>
      <w:r w:rsidRPr="00AC57EA">
        <w:rPr>
          <w:sz w:val="20"/>
          <w:szCs w:val="20"/>
          <w:lang w:val="en-US"/>
        </w:rPr>
        <w:t xml:space="preserve">refer to the alleged situation of revictimization of the child and her direct family. </w:t>
      </w:r>
      <w:r w:rsidRPr="00AC57EA">
        <w:rPr>
          <w:rFonts w:eastAsia="MS Mincho"/>
          <w:sz w:val="20"/>
          <w:szCs w:val="20"/>
          <w:lang w:val="en-US"/>
        </w:rPr>
        <w:t>Then</w:t>
      </w:r>
      <w:r w:rsidR="00B5625C" w:rsidRPr="00AC57EA">
        <w:rPr>
          <w:rFonts w:eastAsia="MS Mincho"/>
          <w:sz w:val="20"/>
          <w:szCs w:val="20"/>
          <w:lang w:val="en-US"/>
        </w:rPr>
        <w:t xml:space="preserve">, </w:t>
      </w:r>
      <w:r w:rsidR="00B7258C" w:rsidRPr="00AC57EA">
        <w:rPr>
          <w:rFonts w:eastAsia="MS Mincho"/>
          <w:sz w:val="20"/>
          <w:szCs w:val="20"/>
          <w:lang w:val="en-US"/>
        </w:rPr>
        <w:t>the Court</w:t>
      </w:r>
      <w:r w:rsidR="00B5625C" w:rsidRPr="00AC57EA">
        <w:rPr>
          <w:rFonts w:eastAsia="MS Mincho"/>
          <w:sz w:val="20"/>
          <w:szCs w:val="20"/>
          <w:lang w:val="en-US"/>
        </w:rPr>
        <w:t xml:space="preserve"> </w:t>
      </w:r>
      <w:r w:rsidRPr="00AC57EA">
        <w:rPr>
          <w:rFonts w:eastAsia="MS Mincho"/>
          <w:sz w:val="20"/>
          <w:szCs w:val="20"/>
          <w:lang w:val="en-US"/>
        </w:rPr>
        <w:t xml:space="preserve">will consider the </w:t>
      </w:r>
      <w:r w:rsidR="009E569E" w:rsidRPr="00AC57EA">
        <w:rPr>
          <w:sz w:val="20"/>
          <w:szCs w:val="20"/>
          <w:lang w:val="en-US"/>
        </w:rPr>
        <w:t>arguments</w:t>
      </w:r>
      <w:r w:rsidR="00171E27" w:rsidRPr="00AC57EA">
        <w:rPr>
          <w:sz w:val="20"/>
          <w:szCs w:val="20"/>
          <w:lang w:val="en-US"/>
        </w:rPr>
        <w:t xml:space="preserve"> of the representatives</w:t>
      </w:r>
      <w:r w:rsidR="00B5625C" w:rsidRPr="00AC57EA">
        <w:rPr>
          <w:sz w:val="20"/>
          <w:szCs w:val="20"/>
          <w:lang w:val="en-US"/>
        </w:rPr>
        <w:t xml:space="preserve"> </w:t>
      </w:r>
      <w:r w:rsidRPr="00AC57EA">
        <w:rPr>
          <w:sz w:val="20"/>
          <w:szCs w:val="20"/>
          <w:lang w:val="en-US"/>
        </w:rPr>
        <w:t>with regard to</w:t>
      </w:r>
      <w:r w:rsidR="00355ED9" w:rsidRPr="00AC57EA">
        <w:rPr>
          <w:sz w:val="20"/>
          <w:szCs w:val="20"/>
          <w:lang w:val="en-US"/>
        </w:rPr>
        <w:t xml:space="preserve"> </w:t>
      </w:r>
      <w:r w:rsidR="00B7258C" w:rsidRPr="00AC57EA">
        <w:rPr>
          <w:sz w:val="20"/>
          <w:szCs w:val="20"/>
          <w:lang w:val="en-US"/>
        </w:rPr>
        <w:t>Articles</w:t>
      </w:r>
      <w:r w:rsidR="00B5625C" w:rsidRPr="00AC57EA">
        <w:rPr>
          <w:sz w:val="20"/>
          <w:szCs w:val="20"/>
          <w:lang w:val="en-US"/>
        </w:rPr>
        <w:t xml:space="preserve"> </w:t>
      </w:r>
      <w:r w:rsidR="00941023" w:rsidRPr="00AC57EA">
        <w:rPr>
          <w:sz w:val="20"/>
          <w:szCs w:val="20"/>
          <w:lang w:val="en-US"/>
        </w:rPr>
        <w:t>1</w:t>
      </w:r>
      <w:r w:rsidR="00171E27" w:rsidRPr="00AC57EA">
        <w:rPr>
          <w:sz w:val="20"/>
          <w:szCs w:val="20"/>
          <w:lang w:val="en-US"/>
        </w:rPr>
        <w:t>2(1)</w:t>
      </w:r>
      <w:r w:rsidR="00941023" w:rsidRPr="00AC57EA">
        <w:rPr>
          <w:sz w:val="20"/>
          <w:szCs w:val="20"/>
          <w:lang w:val="en-US"/>
        </w:rPr>
        <w:t xml:space="preserve">, </w:t>
      </w:r>
      <w:r w:rsidR="00171E27" w:rsidRPr="00AC57EA">
        <w:rPr>
          <w:sz w:val="20"/>
          <w:szCs w:val="20"/>
          <w:lang w:val="en-US"/>
        </w:rPr>
        <w:t>17(1)</w:t>
      </w:r>
      <w:r w:rsidR="00941023" w:rsidRPr="00AC57EA">
        <w:rPr>
          <w:sz w:val="20"/>
          <w:szCs w:val="20"/>
          <w:lang w:val="en-US"/>
        </w:rPr>
        <w:t>, 19</w:t>
      </w:r>
      <w:r w:rsidR="00171E27" w:rsidRPr="00AC57EA">
        <w:rPr>
          <w:sz w:val="20"/>
          <w:szCs w:val="20"/>
          <w:lang w:val="en-US"/>
        </w:rPr>
        <w:t xml:space="preserve"> and </w:t>
      </w:r>
      <w:r w:rsidR="00B5625C" w:rsidRPr="00AC57EA">
        <w:rPr>
          <w:sz w:val="20"/>
          <w:szCs w:val="20"/>
          <w:lang w:val="en-US"/>
        </w:rPr>
        <w:t>2</w:t>
      </w:r>
      <w:r w:rsidR="00171E27" w:rsidRPr="00AC57EA">
        <w:rPr>
          <w:sz w:val="20"/>
          <w:szCs w:val="20"/>
          <w:lang w:val="en-US"/>
        </w:rPr>
        <w:t>2(1)</w:t>
      </w:r>
      <w:r w:rsidR="00B7258C" w:rsidRPr="00AC57EA">
        <w:rPr>
          <w:sz w:val="20"/>
          <w:szCs w:val="20"/>
          <w:lang w:val="en-US"/>
        </w:rPr>
        <w:t xml:space="preserve"> of the American Convention</w:t>
      </w:r>
      <w:r w:rsidR="00B5625C" w:rsidRPr="00AC57EA">
        <w:rPr>
          <w:rFonts w:eastAsia="MS Mincho"/>
          <w:sz w:val="20"/>
          <w:szCs w:val="20"/>
          <w:lang w:val="en-US"/>
        </w:rPr>
        <w:t xml:space="preserve">. </w:t>
      </w:r>
      <w:r w:rsidRPr="00AC57EA">
        <w:rPr>
          <w:rFonts w:eastAsia="MS Mincho"/>
          <w:sz w:val="20"/>
          <w:szCs w:val="20"/>
          <w:lang w:val="en-US"/>
        </w:rPr>
        <w:t xml:space="preserve">Lastly, it will analyze the alleged violations of the personal integrity of the family members under </w:t>
      </w:r>
      <w:r w:rsidR="00B7258C" w:rsidRPr="00AC57EA">
        <w:rPr>
          <w:rFonts w:eastAsia="MS Mincho"/>
          <w:sz w:val="20"/>
          <w:szCs w:val="20"/>
          <w:lang w:val="en-US"/>
        </w:rPr>
        <w:t>Article</w:t>
      </w:r>
      <w:r w:rsidR="0027432F" w:rsidRPr="00AC57EA">
        <w:rPr>
          <w:rFonts w:eastAsia="MS Mincho"/>
          <w:sz w:val="20"/>
          <w:szCs w:val="20"/>
          <w:lang w:val="en-US"/>
        </w:rPr>
        <w:t xml:space="preserve"> 5</w:t>
      </w:r>
      <w:r w:rsidR="00B7258C" w:rsidRPr="00AC57EA">
        <w:rPr>
          <w:rFonts w:eastAsia="MS Mincho"/>
          <w:sz w:val="20"/>
          <w:szCs w:val="20"/>
          <w:lang w:val="en-US"/>
        </w:rPr>
        <w:t xml:space="preserve"> of the American Convention</w:t>
      </w:r>
      <w:r w:rsidR="00B5625C" w:rsidRPr="00AC57EA">
        <w:rPr>
          <w:rFonts w:eastAsia="MS Mincho"/>
          <w:sz w:val="20"/>
          <w:szCs w:val="20"/>
          <w:lang w:val="en-US"/>
        </w:rPr>
        <w:t>.</w:t>
      </w:r>
    </w:p>
    <w:p w14:paraId="458EBA02" w14:textId="77777777" w:rsidR="00B5625C" w:rsidRPr="00AC57EA" w:rsidRDefault="00B5625C" w:rsidP="00B5625C">
      <w:pPr>
        <w:spacing w:line="240" w:lineRule="auto"/>
        <w:rPr>
          <w:rFonts w:cs="Verdana"/>
          <w:bCs/>
          <w:caps/>
          <w:snapToGrid w:val="0"/>
          <w:sz w:val="20"/>
          <w:szCs w:val="20"/>
          <w:lang w:val="en-US"/>
        </w:rPr>
      </w:pPr>
    </w:p>
    <w:p w14:paraId="0F82B067" w14:textId="524B249E" w:rsidR="005E1546" w:rsidRPr="00AC57EA" w:rsidRDefault="00B5625C" w:rsidP="005E1546">
      <w:pPr>
        <w:keepNext/>
        <w:keepLines/>
        <w:widowControl/>
        <w:tabs>
          <w:tab w:val="left" w:pos="851"/>
        </w:tabs>
        <w:autoSpaceDE w:val="0"/>
        <w:autoSpaceDN w:val="0"/>
        <w:adjustRightInd/>
        <w:spacing w:line="240" w:lineRule="auto"/>
        <w:jc w:val="center"/>
        <w:textAlignment w:val="auto"/>
        <w:outlineLvl w:val="0"/>
        <w:rPr>
          <w:rFonts w:cs="Arial"/>
          <w:b/>
          <w:bCs/>
          <w:caps/>
          <w:kern w:val="2"/>
          <w:sz w:val="20"/>
          <w:szCs w:val="20"/>
          <w:lang w:val="en-US" w:eastAsia="en-US"/>
        </w:rPr>
      </w:pPr>
      <w:bookmarkStart w:id="109" w:name="_Toc438113890"/>
      <w:bookmarkStart w:id="110" w:name="_Toc495658671"/>
      <w:bookmarkStart w:id="111" w:name="_Toc514172627"/>
      <w:r w:rsidRPr="00AC57EA">
        <w:rPr>
          <w:rFonts w:cs="Arial"/>
          <w:b/>
          <w:bCs/>
          <w:caps/>
          <w:kern w:val="2"/>
          <w:sz w:val="20"/>
          <w:szCs w:val="20"/>
          <w:lang w:val="en-US" w:eastAsia="en-US"/>
        </w:rPr>
        <w:t>VIII-1</w:t>
      </w:r>
      <w:r w:rsidRPr="00AC57EA">
        <w:rPr>
          <w:rFonts w:cs="Arial"/>
          <w:b/>
          <w:bCs/>
          <w:caps/>
          <w:kern w:val="2"/>
          <w:sz w:val="20"/>
          <w:szCs w:val="20"/>
          <w:lang w:val="en-US" w:eastAsia="en-US"/>
        </w:rPr>
        <w:br/>
      </w:r>
      <w:r w:rsidR="00B65C64" w:rsidRPr="00AC57EA">
        <w:rPr>
          <w:rFonts w:cs="Arial"/>
          <w:b/>
          <w:bCs/>
          <w:caps/>
          <w:kern w:val="2"/>
          <w:sz w:val="20"/>
          <w:szCs w:val="20"/>
          <w:lang w:val="en-US" w:eastAsia="en-US"/>
        </w:rPr>
        <w:t>RIGHTS TO PERSONAL INTEGRITY,</w:t>
      </w:r>
      <w:r w:rsidRPr="00AC57EA">
        <w:rPr>
          <w:rFonts w:cs="Arial"/>
          <w:b/>
          <w:bCs/>
          <w:caps/>
          <w:kern w:val="2"/>
          <w:sz w:val="20"/>
          <w:szCs w:val="20"/>
          <w:vertAlign w:val="superscript"/>
          <w:lang w:val="en-US" w:eastAsia="en-US"/>
        </w:rPr>
        <w:footnoteReference w:id="182"/>
      </w:r>
      <w:r w:rsidRPr="00AC57EA">
        <w:rPr>
          <w:rFonts w:cs="Arial"/>
          <w:b/>
          <w:bCs/>
          <w:caps/>
          <w:kern w:val="2"/>
          <w:sz w:val="20"/>
          <w:szCs w:val="20"/>
          <w:lang w:val="en-US" w:eastAsia="en-US"/>
        </w:rPr>
        <w:t xml:space="preserve"> </w:t>
      </w:r>
      <w:r w:rsidR="00B65C64" w:rsidRPr="00AC57EA">
        <w:rPr>
          <w:rFonts w:cs="Arial"/>
          <w:b/>
          <w:bCs/>
          <w:caps/>
          <w:kern w:val="2"/>
          <w:sz w:val="20"/>
          <w:szCs w:val="20"/>
          <w:lang w:val="en-US" w:eastAsia="en-US"/>
        </w:rPr>
        <w:t>PRIVATE AND FAMILY LIFE,</w:t>
      </w:r>
      <w:r w:rsidRPr="00AC57EA">
        <w:rPr>
          <w:rFonts w:cs="Arial"/>
          <w:b/>
          <w:bCs/>
          <w:caps/>
          <w:kern w:val="2"/>
          <w:sz w:val="20"/>
          <w:szCs w:val="20"/>
          <w:vertAlign w:val="superscript"/>
          <w:lang w:val="en-US" w:eastAsia="en-US"/>
        </w:rPr>
        <w:footnoteReference w:id="183"/>
      </w:r>
      <w:r w:rsidRPr="00AC57EA">
        <w:rPr>
          <w:rFonts w:cs="Arial"/>
          <w:b/>
          <w:bCs/>
          <w:caps/>
          <w:kern w:val="2"/>
          <w:sz w:val="20"/>
          <w:szCs w:val="20"/>
          <w:lang w:val="en-US" w:eastAsia="en-US"/>
        </w:rPr>
        <w:t xml:space="preserve"> </w:t>
      </w:r>
      <w:r w:rsidR="00B65C64" w:rsidRPr="00AC57EA">
        <w:rPr>
          <w:rFonts w:cs="Arial"/>
          <w:b/>
          <w:bCs/>
          <w:caps/>
          <w:kern w:val="2"/>
          <w:sz w:val="20"/>
          <w:szCs w:val="20"/>
          <w:lang w:val="en-US" w:eastAsia="en-US"/>
        </w:rPr>
        <w:t>RIGHTS OF THE CHILD,</w:t>
      </w:r>
      <w:r w:rsidRPr="00AC57EA">
        <w:rPr>
          <w:rFonts w:cs="Arial"/>
          <w:b/>
          <w:bCs/>
          <w:caps/>
          <w:kern w:val="2"/>
          <w:sz w:val="20"/>
          <w:szCs w:val="20"/>
          <w:vertAlign w:val="superscript"/>
          <w:lang w:val="en-US" w:eastAsia="en-US"/>
        </w:rPr>
        <w:footnoteReference w:id="184"/>
      </w:r>
      <w:r w:rsidRPr="00AC57EA">
        <w:rPr>
          <w:rFonts w:cs="Arial"/>
          <w:b/>
          <w:bCs/>
          <w:caps/>
          <w:kern w:val="2"/>
          <w:sz w:val="20"/>
          <w:szCs w:val="20"/>
          <w:lang w:val="en-US" w:eastAsia="en-US"/>
        </w:rPr>
        <w:t xml:space="preserve"> </w:t>
      </w:r>
      <w:r w:rsidR="00B65C64" w:rsidRPr="00AC57EA">
        <w:rPr>
          <w:rFonts w:cs="Arial"/>
          <w:b/>
          <w:bCs/>
          <w:caps/>
          <w:kern w:val="2"/>
          <w:sz w:val="20"/>
          <w:szCs w:val="20"/>
          <w:lang w:val="en-US" w:eastAsia="en-US"/>
        </w:rPr>
        <w:t>EQUALITY BEFORE THE LAW,</w:t>
      </w:r>
      <w:r w:rsidR="00E56062" w:rsidRPr="00AC57EA">
        <w:rPr>
          <w:rStyle w:val="Refdenotaalpie"/>
          <w:rFonts w:cs="Arial"/>
          <w:b/>
          <w:bCs/>
          <w:caps/>
          <w:kern w:val="2"/>
          <w:sz w:val="20"/>
          <w:szCs w:val="20"/>
          <w:lang w:val="en-US" w:eastAsia="en-US"/>
        </w:rPr>
        <w:footnoteReference w:id="185"/>
      </w:r>
      <w:r w:rsidR="00E56062" w:rsidRPr="00AC57EA">
        <w:rPr>
          <w:rFonts w:cs="Arial"/>
          <w:b/>
          <w:bCs/>
          <w:caps/>
          <w:kern w:val="2"/>
          <w:sz w:val="20"/>
          <w:szCs w:val="20"/>
          <w:lang w:val="en-US" w:eastAsia="en-US"/>
        </w:rPr>
        <w:t xml:space="preserve"> </w:t>
      </w:r>
      <w:r w:rsidR="00B65C64" w:rsidRPr="00AC57EA">
        <w:rPr>
          <w:rFonts w:cs="Verdana"/>
          <w:b/>
          <w:bCs/>
          <w:caps/>
          <w:snapToGrid w:val="0"/>
          <w:sz w:val="20"/>
          <w:szCs w:val="20"/>
          <w:lang w:val="en-US"/>
        </w:rPr>
        <w:t>JUDICIAL GUARANTEES</w:t>
      </w:r>
      <w:r w:rsidR="00DD008E" w:rsidRPr="00AC57EA">
        <w:rPr>
          <w:rFonts w:cs="Verdana"/>
          <w:b/>
          <w:bCs/>
          <w:caps/>
          <w:snapToGrid w:val="0"/>
          <w:sz w:val="20"/>
          <w:szCs w:val="20"/>
          <w:vertAlign w:val="superscript"/>
          <w:lang w:val="en-US"/>
        </w:rPr>
        <w:footnoteReference w:id="186"/>
      </w:r>
      <w:r w:rsidR="00DD008E" w:rsidRPr="00AC57EA">
        <w:rPr>
          <w:rFonts w:cs="Verdana"/>
          <w:b/>
          <w:bCs/>
          <w:caps/>
          <w:snapToGrid w:val="0"/>
          <w:sz w:val="20"/>
          <w:szCs w:val="20"/>
          <w:lang w:val="en-US"/>
        </w:rPr>
        <w:t xml:space="preserve"> </w:t>
      </w:r>
      <w:r w:rsidR="00B65C64" w:rsidRPr="00AC57EA">
        <w:rPr>
          <w:rFonts w:cs="Verdana"/>
          <w:b/>
          <w:bCs/>
          <w:caps/>
          <w:snapToGrid w:val="0"/>
          <w:sz w:val="20"/>
          <w:szCs w:val="20"/>
          <w:lang w:val="en-US"/>
        </w:rPr>
        <w:t>AND JUDICIAL PROTECTION,</w:t>
      </w:r>
      <w:r w:rsidR="00DD008E" w:rsidRPr="00AC57EA">
        <w:rPr>
          <w:rFonts w:cs="Verdana"/>
          <w:b/>
          <w:bCs/>
          <w:caps/>
          <w:snapToGrid w:val="0"/>
          <w:sz w:val="20"/>
          <w:szCs w:val="20"/>
          <w:vertAlign w:val="superscript"/>
          <w:lang w:val="en-US"/>
        </w:rPr>
        <w:footnoteReference w:id="187"/>
      </w:r>
      <w:r w:rsidR="00DD008E" w:rsidRPr="00AC57EA">
        <w:rPr>
          <w:rFonts w:cs="Verdana"/>
          <w:b/>
          <w:bCs/>
          <w:caps/>
          <w:snapToGrid w:val="0"/>
          <w:sz w:val="20"/>
          <w:szCs w:val="20"/>
          <w:lang w:val="en-US"/>
        </w:rPr>
        <w:t xml:space="preserve"> </w:t>
      </w:r>
      <w:r w:rsidR="00B65C64" w:rsidRPr="00AC57EA">
        <w:rPr>
          <w:rFonts w:cs="Verdana"/>
          <w:b/>
          <w:bCs/>
          <w:caps/>
          <w:snapToGrid w:val="0"/>
          <w:sz w:val="20"/>
          <w:szCs w:val="20"/>
          <w:lang w:val="en-US"/>
        </w:rPr>
        <w:t>IN RELATION TO THE OBLIGATION TO RESPECT AND TO ENSURE RIGHTS</w:t>
      </w:r>
      <w:r w:rsidR="00171E27" w:rsidRPr="00AC57EA">
        <w:rPr>
          <w:rFonts w:cs="Verdana"/>
          <w:b/>
          <w:bCs/>
          <w:caps/>
          <w:snapToGrid w:val="0"/>
          <w:sz w:val="20"/>
          <w:szCs w:val="20"/>
          <w:lang w:val="en-US"/>
        </w:rPr>
        <w:t xml:space="preserve"> and</w:t>
      </w:r>
      <w:r w:rsidR="00B65C64" w:rsidRPr="00AC57EA">
        <w:rPr>
          <w:rFonts w:cs="Verdana"/>
          <w:b/>
          <w:bCs/>
          <w:caps/>
          <w:snapToGrid w:val="0"/>
          <w:sz w:val="20"/>
          <w:szCs w:val="20"/>
          <w:lang w:val="en-US"/>
        </w:rPr>
        <w:t xml:space="preserve"> </w:t>
      </w:r>
      <w:r w:rsidR="00597F82" w:rsidRPr="00AC57EA">
        <w:rPr>
          <w:rFonts w:cs="Verdana"/>
          <w:b/>
          <w:bCs/>
          <w:caps/>
          <w:snapToGrid w:val="0"/>
          <w:sz w:val="20"/>
          <w:szCs w:val="20"/>
          <w:lang w:val="en-US"/>
        </w:rPr>
        <w:t>NOT TO DISCRIMINATE</w:t>
      </w:r>
      <w:r w:rsidR="00B65C64" w:rsidRPr="00AC57EA">
        <w:rPr>
          <w:rFonts w:cs="Verdana"/>
          <w:b/>
          <w:bCs/>
          <w:caps/>
          <w:snapToGrid w:val="0"/>
          <w:sz w:val="20"/>
          <w:szCs w:val="20"/>
          <w:lang w:val="en-US"/>
        </w:rPr>
        <w:t>,</w:t>
      </w:r>
      <w:r w:rsidR="00DD008E" w:rsidRPr="00AC57EA">
        <w:rPr>
          <w:rFonts w:cs="Verdana"/>
          <w:b/>
          <w:bCs/>
          <w:caps/>
          <w:snapToGrid w:val="0"/>
          <w:sz w:val="20"/>
          <w:szCs w:val="20"/>
          <w:vertAlign w:val="superscript"/>
          <w:lang w:val="en-US"/>
        </w:rPr>
        <w:footnoteReference w:id="188"/>
      </w:r>
      <w:bookmarkEnd w:id="109"/>
      <w:bookmarkEnd w:id="110"/>
      <w:r w:rsidRPr="00AC57EA">
        <w:rPr>
          <w:rFonts w:cs="Arial"/>
          <w:b/>
          <w:bCs/>
          <w:caps/>
          <w:kern w:val="2"/>
          <w:sz w:val="20"/>
          <w:szCs w:val="20"/>
          <w:lang w:val="en-US" w:eastAsia="en-US"/>
        </w:rPr>
        <w:t xml:space="preserve"> </w:t>
      </w:r>
      <w:r w:rsidR="00B65C64" w:rsidRPr="00AC57EA">
        <w:rPr>
          <w:rFonts w:cs="Arial"/>
          <w:b/>
          <w:bCs/>
          <w:caps/>
          <w:kern w:val="2"/>
          <w:sz w:val="20"/>
          <w:szCs w:val="20"/>
          <w:lang w:val="en-US" w:eastAsia="en-US"/>
        </w:rPr>
        <w:t>AN</w:t>
      </w:r>
      <w:r w:rsidR="00D56D78" w:rsidRPr="00AC57EA">
        <w:rPr>
          <w:rFonts w:cs="Arial"/>
          <w:b/>
          <w:bCs/>
          <w:caps/>
          <w:kern w:val="2"/>
          <w:sz w:val="20"/>
          <w:szCs w:val="20"/>
          <w:lang w:val="en-US" w:eastAsia="en-US"/>
        </w:rPr>
        <w:t>D</w:t>
      </w:r>
      <w:r w:rsidR="00B65C64" w:rsidRPr="00AC57EA">
        <w:rPr>
          <w:rFonts w:cs="Arial"/>
          <w:b/>
          <w:bCs/>
          <w:caps/>
          <w:kern w:val="2"/>
          <w:sz w:val="20"/>
          <w:szCs w:val="20"/>
          <w:lang w:val="en-US" w:eastAsia="en-US"/>
        </w:rPr>
        <w:t xml:space="preserve"> ALSO TO ARTICLE</w:t>
      </w:r>
      <w:r w:rsidRPr="00AC57EA">
        <w:rPr>
          <w:rFonts w:cs="Arial"/>
          <w:b/>
          <w:bCs/>
          <w:caps/>
          <w:kern w:val="2"/>
          <w:sz w:val="20"/>
          <w:szCs w:val="20"/>
          <w:lang w:val="en-US" w:eastAsia="en-US"/>
        </w:rPr>
        <w:t xml:space="preserve"> 7</w:t>
      </w:r>
      <w:r w:rsidR="00B65C64" w:rsidRPr="00AC57EA">
        <w:rPr>
          <w:rFonts w:cs="Arial"/>
          <w:b/>
          <w:bCs/>
          <w:caps/>
          <w:kern w:val="2"/>
          <w:sz w:val="20"/>
          <w:szCs w:val="20"/>
          <w:lang w:val="en-US" w:eastAsia="en-US"/>
        </w:rPr>
        <w:t>(</w:t>
      </w:r>
      <w:r w:rsidR="00B85083" w:rsidRPr="00AC57EA">
        <w:rPr>
          <w:rFonts w:cs="Arial"/>
          <w:b/>
          <w:bCs/>
          <w:caps/>
          <w:kern w:val="2"/>
          <w:sz w:val="20"/>
          <w:szCs w:val="20"/>
          <w:lang w:val="en-US" w:eastAsia="en-US"/>
        </w:rPr>
        <w:t>B)</w:t>
      </w:r>
      <w:r w:rsidR="00B7258C" w:rsidRPr="00AC57EA">
        <w:rPr>
          <w:rFonts w:cs="Arial"/>
          <w:b/>
          <w:bCs/>
          <w:caps/>
          <w:kern w:val="2"/>
          <w:sz w:val="20"/>
          <w:szCs w:val="20"/>
          <w:lang w:val="en-US" w:eastAsia="en-US"/>
        </w:rPr>
        <w:t xml:space="preserve"> of the </w:t>
      </w:r>
      <w:r w:rsidR="00171E27" w:rsidRPr="00AC57EA">
        <w:rPr>
          <w:rFonts w:cs="Arial"/>
          <w:b/>
          <w:bCs/>
          <w:caps/>
          <w:kern w:val="2"/>
          <w:sz w:val="20"/>
          <w:szCs w:val="20"/>
          <w:lang w:val="en-US" w:eastAsia="en-US"/>
        </w:rPr>
        <w:t>Convention of Belém</w:t>
      </w:r>
      <w:r w:rsidRPr="00AC57EA">
        <w:rPr>
          <w:rFonts w:cs="Arial"/>
          <w:b/>
          <w:bCs/>
          <w:caps/>
          <w:kern w:val="2"/>
          <w:sz w:val="20"/>
          <w:szCs w:val="20"/>
          <w:lang w:val="en-US" w:eastAsia="en-US"/>
        </w:rPr>
        <w:t xml:space="preserve"> do pará</w:t>
      </w:r>
      <w:r w:rsidRPr="00AC57EA">
        <w:rPr>
          <w:rFonts w:cs="Arial"/>
          <w:b/>
          <w:bCs/>
          <w:caps/>
          <w:kern w:val="2"/>
          <w:sz w:val="20"/>
          <w:szCs w:val="20"/>
          <w:vertAlign w:val="superscript"/>
          <w:lang w:val="en-US" w:eastAsia="en-US"/>
        </w:rPr>
        <w:footnoteReference w:id="189"/>
      </w:r>
      <w:bookmarkEnd w:id="111"/>
    </w:p>
    <w:p w14:paraId="23B61272" w14:textId="77777777" w:rsidR="00B5625C" w:rsidRPr="00AC57EA" w:rsidRDefault="00B5625C" w:rsidP="00B5625C">
      <w:pPr>
        <w:widowControl/>
        <w:autoSpaceDE w:val="0"/>
        <w:autoSpaceDN w:val="0"/>
        <w:adjustRightInd/>
        <w:spacing w:line="240" w:lineRule="auto"/>
        <w:jc w:val="left"/>
        <w:textAlignment w:val="auto"/>
        <w:rPr>
          <w:rFonts w:eastAsiaTheme="minorHAnsi" w:cs="Arial"/>
          <w:kern w:val="2"/>
          <w:sz w:val="20"/>
          <w:szCs w:val="20"/>
          <w:lang w:val="en-US" w:eastAsia="en-US"/>
        </w:rPr>
      </w:pPr>
    </w:p>
    <w:p w14:paraId="47F0F855" w14:textId="7C496509" w:rsidR="002C415B" w:rsidRPr="00AC57EA" w:rsidRDefault="00B7258C" w:rsidP="007F5A52">
      <w:pPr>
        <w:numPr>
          <w:ilvl w:val="0"/>
          <w:numId w:val="2"/>
        </w:numPr>
        <w:tabs>
          <w:tab w:val="left" w:pos="567"/>
          <w:tab w:val="num" w:pos="12305"/>
        </w:tabs>
        <w:spacing w:line="240" w:lineRule="auto"/>
        <w:ind w:left="0" w:firstLine="0"/>
        <w:rPr>
          <w:rFonts w:eastAsiaTheme="minorHAnsi" w:cs="Arial"/>
          <w:kern w:val="2"/>
          <w:sz w:val="20"/>
          <w:szCs w:val="20"/>
          <w:lang w:val="en-US" w:eastAsia="en-US"/>
        </w:rPr>
      </w:pPr>
      <w:r w:rsidRPr="00AC57EA">
        <w:rPr>
          <w:rFonts w:eastAsiaTheme="minorHAnsi" w:cs="Arial"/>
          <w:kern w:val="2"/>
          <w:sz w:val="20"/>
          <w:szCs w:val="20"/>
          <w:lang w:val="en-US" w:eastAsia="en-US"/>
        </w:rPr>
        <w:t>The Court</w:t>
      </w:r>
      <w:r w:rsidR="002C415B" w:rsidRPr="00AC57EA">
        <w:rPr>
          <w:rFonts w:eastAsiaTheme="minorHAnsi" w:cs="Arial"/>
          <w:kern w:val="2"/>
          <w:sz w:val="20"/>
          <w:szCs w:val="20"/>
          <w:lang w:val="en-US" w:eastAsia="en-US"/>
        </w:rPr>
        <w:t xml:space="preserve"> </w:t>
      </w:r>
      <w:r w:rsidR="00E035C5" w:rsidRPr="00AC57EA">
        <w:rPr>
          <w:rFonts w:eastAsiaTheme="minorHAnsi" w:cs="Arial"/>
          <w:kern w:val="2"/>
          <w:sz w:val="20"/>
          <w:szCs w:val="20"/>
          <w:lang w:val="en-US" w:eastAsia="en-US"/>
        </w:rPr>
        <w:t xml:space="preserve">will divide its analysis into four sections. First, the Court will focus on the issue of whether the investigations and the criminal proceedings opened by the State in the domestic </w:t>
      </w:r>
      <w:r w:rsidR="00E035C5" w:rsidRPr="00AC57EA">
        <w:rPr>
          <w:rFonts w:eastAsiaTheme="minorHAnsi" w:cs="Arial"/>
          <w:kern w:val="2"/>
          <w:sz w:val="20"/>
          <w:szCs w:val="20"/>
          <w:lang w:val="en-US" w:eastAsia="en-US"/>
        </w:rPr>
        <w:lastRenderedPageBreak/>
        <w:t xml:space="preserve">sphere based on the complaint for rape filed by V.R.P.’s mother complied with the duty of </w:t>
      </w:r>
      <w:r w:rsidR="00994884" w:rsidRPr="00AC57EA">
        <w:rPr>
          <w:rFonts w:eastAsiaTheme="minorHAnsi" w:cs="Arial"/>
          <w:kern w:val="2"/>
          <w:sz w:val="20"/>
          <w:szCs w:val="20"/>
          <w:lang w:val="en-US" w:eastAsia="en-US"/>
        </w:rPr>
        <w:t>enhanced due diligence</w:t>
      </w:r>
      <w:r w:rsidR="00E035C5" w:rsidRPr="00AC57EA">
        <w:rPr>
          <w:rFonts w:eastAsiaTheme="minorHAnsi" w:cs="Arial"/>
          <w:kern w:val="2"/>
          <w:sz w:val="20"/>
          <w:szCs w:val="20"/>
          <w:lang w:val="en-US" w:eastAsia="en-US"/>
        </w:rPr>
        <w:t xml:space="preserve"> and non-revictimization in investigations and criminal proceedings for the rape of a </w:t>
      </w:r>
      <w:r w:rsidR="003C0AC1" w:rsidRPr="00AC57EA">
        <w:rPr>
          <w:rFonts w:eastAsiaTheme="minorHAnsi" w:cs="Arial"/>
          <w:kern w:val="2"/>
          <w:sz w:val="20"/>
          <w:szCs w:val="20"/>
          <w:lang w:val="en-US" w:eastAsia="en-US"/>
        </w:rPr>
        <w:t>female child</w:t>
      </w:r>
      <w:r w:rsidR="00E035C5" w:rsidRPr="00AC57EA">
        <w:rPr>
          <w:rFonts w:eastAsiaTheme="minorHAnsi" w:cs="Arial"/>
          <w:kern w:val="2"/>
          <w:sz w:val="20"/>
          <w:szCs w:val="20"/>
          <w:lang w:val="en-US" w:eastAsia="en-US"/>
        </w:rPr>
        <w:t>.</w:t>
      </w:r>
      <w:r w:rsidR="001155C5" w:rsidRPr="00AC57EA">
        <w:rPr>
          <w:kern w:val="2"/>
          <w:sz w:val="20"/>
          <w:szCs w:val="20"/>
          <w:vertAlign w:val="superscript"/>
          <w:lang w:val="en-US" w:eastAsia="en-US"/>
        </w:rPr>
        <w:footnoteReference w:id="190"/>
      </w:r>
      <w:r w:rsidR="00B93409" w:rsidRPr="00AC57EA">
        <w:rPr>
          <w:rFonts w:eastAsiaTheme="minorHAnsi" w:cs="Arial"/>
          <w:kern w:val="2"/>
          <w:sz w:val="20"/>
          <w:szCs w:val="20"/>
          <w:lang w:val="en-US" w:eastAsia="en-US"/>
        </w:rPr>
        <w:t xml:space="preserve"> </w:t>
      </w:r>
      <w:r w:rsidR="00E035C5" w:rsidRPr="00AC57EA">
        <w:rPr>
          <w:rFonts w:eastAsiaTheme="minorHAnsi" w:cs="Arial"/>
          <w:kern w:val="2"/>
          <w:sz w:val="20"/>
          <w:szCs w:val="20"/>
          <w:lang w:val="en-US" w:eastAsia="en-US"/>
        </w:rPr>
        <w:t xml:space="preserve">It will also analyze whether Nicaragua acted with a gender- and child-based perspective and adopted the special measures of protection required to ensure the rights of V.R.P. during the investigation and criminal proceedings for the facts of this case. Then, the Court will examine the applicability of the requirements of due process to the jury trial model in effect in Nicaragua at the time of the facts and the alleged violation of the guarantee of impartiality and the </w:t>
      </w:r>
      <w:r w:rsidR="00726482" w:rsidRPr="00AC57EA">
        <w:rPr>
          <w:rFonts w:eastAsiaTheme="minorHAnsi" w:cs="Arial"/>
          <w:kern w:val="2"/>
          <w:sz w:val="20"/>
          <w:szCs w:val="20"/>
          <w:lang w:val="en-US" w:eastAsia="en-US"/>
        </w:rPr>
        <w:t>duty to provide the reasoning for decisions, as well as with regard to the reasonable time. Lastly, it will develop the requirements to ensure access to justice under equal conditions for a child victim of sexual violence and</w:t>
      </w:r>
      <w:r w:rsidR="007F5A52" w:rsidRPr="00AC57EA">
        <w:rPr>
          <w:rFonts w:eastAsiaTheme="minorHAnsi" w:cs="Arial"/>
          <w:kern w:val="2"/>
          <w:sz w:val="20"/>
          <w:szCs w:val="20"/>
          <w:lang w:val="en-US" w:eastAsia="en-US"/>
        </w:rPr>
        <w:t xml:space="preserve"> will</w:t>
      </w:r>
      <w:r w:rsidR="00726482" w:rsidRPr="00AC57EA">
        <w:rPr>
          <w:rFonts w:eastAsiaTheme="minorHAnsi" w:cs="Arial"/>
          <w:kern w:val="2"/>
          <w:sz w:val="20"/>
          <w:szCs w:val="20"/>
          <w:lang w:val="en-US" w:eastAsia="en-US"/>
        </w:rPr>
        <w:t xml:space="preserve"> refer to revictimization as a form of institutional violence.</w:t>
      </w:r>
    </w:p>
    <w:p w14:paraId="3CD8CDE1" w14:textId="77777777" w:rsidR="002D4CEC" w:rsidRPr="00AC57EA" w:rsidRDefault="002D4CEC" w:rsidP="00B5625C">
      <w:pPr>
        <w:widowControl/>
        <w:autoSpaceDE w:val="0"/>
        <w:autoSpaceDN w:val="0"/>
        <w:adjustRightInd/>
        <w:spacing w:line="240" w:lineRule="auto"/>
        <w:jc w:val="left"/>
        <w:textAlignment w:val="auto"/>
        <w:rPr>
          <w:rFonts w:eastAsiaTheme="minorHAnsi" w:cs="Arial"/>
          <w:kern w:val="2"/>
          <w:sz w:val="20"/>
          <w:szCs w:val="20"/>
          <w:lang w:val="en-US" w:eastAsia="en-US"/>
        </w:rPr>
      </w:pPr>
    </w:p>
    <w:p w14:paraId="0273A0DC" w14:textId="4CB7BF65" w:rsidR="002C415B" w:rsidRPr="00AC57EA" w:rsidRDefault="00994884" w:rsidP="002C415B">
      <w:pPr>
        <w:pStyle w:val="Prrafodelista"/>
        <w:keepNext/>
        <w:keepLines/>
        <w:widowControl/>
        <w:numPr>
          <w:ilvl w:val="0"/>
          <w:numId w:val="16"/>
        </w:numPr>
        <w:tabs>
          <w:tab w:val="left" w:pos="1134"/>
        </w:tabs>
        <w:autoSpaceDE w:val="0"/>
        <w:autoSpaceDN w:val="0"/>
        <w:adjustRightInd/>
        <w:spacing w:line="240" w:lineRule="auto"/>
        <w:ind w:left="1134" w:hanging="567"/>
        <w:textAlignment w:val="auto"/>
        <w:outlineLvl w:val="1"/>
        <w:rPr>
          <w:rFonts w:eastAsia="MS Mincho" w:cs="Arial"/>
          <w:b/>
          <w:bCs/>
          <w:i/>
          <w:kern w:val="2"/>
          <w:sz w:val="20"/>
          <w:szCs w:val="20"/>
          <w:lang w:val="en-US" w:eastAsia="en-US"/>
        </w:rPr>
      </w:pPr>
      <w:bookmarkStart w:id="112" w:name="_Toc514172628"/>
      <w:r w:rsidRPr="00AC57EA">
        <w:rPr>
          <w:rFonts w:eastAsia="MS Mincho" w:cs="Arial"/>
          <w:b/>
          <w:bCs/>
          <w:i/>
          <w:kern w:val="2"/>
          <w:sz w:val="20"/>
          <w:szCs w:val="20"/>
          <w:lang w:val="en-US" w:eastAsia="en-US"/>
        </w:rPr>
        <w:t>Enhanced due diligence</w:t>
      </w:r>
      <w:r w:rsidR="001120B6" w:rsidRPr="00AC57EA">
        <w:rPr>
          <w:rFonts w:eastAsia="MS Mincho" w:cs="Arial"/>
          <w:b/>
          <w:bCs/>
          <w:i/>
          <w:kern w:val="2"/>
          <w:sz w:val="20"/>
          <w:szCs w:val="20"/>
          <w:lang w:val="en-US" w:eastAsia="en-US"/>
        </w:rPr>
        <w:t xml:space="preserve"> and special protection in investigations and criminal proceedings concerning sexual violence</w:t>
      </w:r>
      <w:r w:rsidR="002C415B" w:rsidRPr="00AC57EA">
        <w:rPr>
          <w:rFonts w:eastAsia="MS Mincho" w:cs="Arial"/>
          <w:b/>
          <w:bCs/>
          <w:i/>
          <w:kern w:val="2"/>
          <w:sz w:val="20"/>
          <w:szCs w:val="20"/>
          <w:lang w:val="en-US" w:eastAsia="en-US"/>
        </w:rPr>
        <w:t xml:space="preserve"> </w:t>
      </w:r>
      <w:r w:rsidR="001120B6" w:rsidRPr="00AC57EA">
        <w:rPr>
          <w:rFonts w:eastAsia="MS Mincho" w:cs="Arial"/>
          <w:b/>
          <w:bCs/>
          <w:i/>
          <w:kern w:val="2"/>
          <w:sz w:val="20"/>
          <w:szCs w:val="20"/>
          <w:lang w:val="en-US" w:eastAsia="en-US"/>
        </w:rPr>
        <w:t>against children and adolescents and the duty of non-revictimization</w:t>
      </w:r>
      <w:bookmarkEnd w:id="112"/>
    </w:p>
    <w:p w14:paraId="28EED271" w14:textId="77777777" w:rsidR="002C415B" w:rsidRPr="00AC57EA" w:rsidRDefault="002C415B" w:rsidP="00B5625C">
      <w:pPr>
        <w:widowControl/>
        <w:autoSpaceDE w:val="0"/>
        <w:autoSpaceDN w:val="0"/>
        <w:adjustRightInd/>
        <w:spacing w:line="240" w:lineRule="auto"/>
        <w:jc w:val="left"/>
        <w:textAlignment w:val="auto"/>
        <w:rPr>
          <w:rFonts w:eastAsiaTheme="minorHAnsi" w:cs="Arial"/>
          <w:kern w:val="2"/>
          <w:sz w:val="20"/>
          <w:szCs w:val="20"/>
          <w:lang w:val="en-US" w:eastAsia="en-US"/>
        </w:rPr>
      </w:pPr>
    </w:p>
    <w:p w14:paraId="6D0C0D92" w14:textId="2F9ECB0B" w:rsidR="00B5625C" w:rsidRPr="00AC57EA" w:rsidRDefault="00B5625C" w:rsidP="00A92F94">
      <w:pPr>
        <w:pStyle w:val="Ttulo2"/>
        <w:tabs>
          <w:tab w:val="left" w:pos="1843"/>
        </w:tabs>
        <w:spacing w:before="0" w:line="240" w:lineRule="auto"/>
        <w:ind w:left="1134"/>
        <w:rPr>
          <w:rFonts w:ascii="Verdana" w:hAnsi="Verdana"/>
          <w:b w:val="0"/>
          <w:i/>
          <w:color w:val="auto"/>
          <w:sz w:val="20"/>
          <w:szCs w:val="20"/>
          <w:lang w:val="en-US"/>
        </w:rPr>
      </w:pPr>
      <w:bookmarkStart w:id="113" w:name="_Toc495658672"/>
      <w:bookmarkStart w:id="114" w:name="_Toc514172629"/>
      <w:r w:rsidRPr="00AC57EA">
        <w:rPr>
          <w:rFonts w:ascii="Verdana" w:hAnsi="Verdana"/>
          <w:b w:val="0"/>
          <w:i/>
          <w:color w:val="auto"/>
          <w:sz w:val="20"/>
          <w:szCs w:val="20"/>
          <w:lang w:val="en-US"/>
        </w:rPr>
        <w:t>A.</w:t>
      </w:r>
      <w:r w:rsidR="002C415B" w:rsidRPr="00AC57EA">
        <w:rPr>
          <w:rFonts w:ascii="Verdana" w:hAnsi="Verdana"/>
          <w:b w:val="0"/>
          <w:i/>
          <w:color w:val="auto"/>
          <w:sz w:val="20"/>
          <w:szCs w:val="20"/>
          <w:lang w:val="en-US"/>
        </w:rPr>
        <w:t>1</w:t>
      </w:r>
      <w:r w:rsidRPr="00AC57EA">
        <w:rPr>
          <w:rFonts w:ascii="Verdana" w:hAnsi="Verdana"/>
          <w:b w:val="0"/>
          <w:i/>
          <w:color w:val="auto"/>
          <w:sz w:val="20"/>
          <w:szCs w:val="20"/>
          <w:lang w:val="en-US"/>
        </w:rPr>
        <w:tab/>
      </w:r>
      <w:r w:rsidR="001120B6" w:rsidRPr="00AC57EA">
        <w:rPr>
          <w:rFonts w:ascii="Verdana" w:hAnsi="Verdana"/>
          <w:b w:val="0"/>
          <w:i/>
          <w:color w:val="auto"/>
          <w:sz w:val="20"/>
          <w:szCs w:val="20"/>
          <w:lang w:val="en-US"/>
        </w:rPr>
        <w:t>Arguments of the parties</w:t>
      </w:r>
      <w:r w:rsidR="00171E27" w:rsidRPr="00AC57EA">
        <w:rPr>
          <w:rFonts w:ascii="Verdana" w:hAnsi="Verdana"/>
          <w:b w:val="0"/>
          <w:i/>
          <w:color w:val="auto"/>
          <w:sz w:val="20"/>
          <w:szCs w:val="20"/>
          <w:lang w:val="en-US"/>
        </w:rPr>
        <w:t xml:space="preserve"> and </w:t>
      </w:r>
      <w:r w:rsidR="00B7258C" w:rsidRPr="00AC57EA">
        <w:rPr>
          <w:rFonts w:ascii="Verdana" w:hAnsi="Verdana"/>
          <w:b w:val="0"/>
          <w:i/>
          <w:color w:val="auto"/>
          <w:sz w:val="20"/>
          <w:szCs w:val="20"/>
          <w:lang w:val="en-US"/>
        </w:rPr>
        <w:t>of the Commission</w:t>
      </w:r>
      <w:bookmarkEnd w:id="113"/>
      <w:bookmarkEnd w:id="114"/>
    </w:p>
    <w:p w14:paraId="027186B0" w14:textId="77777777" w:rsidR="00B5625C" w:rsidRPr="00AC57EA" w:rsidRDefault="00B5625C" w:rsidP="00B5625C">
      <w:pPr>
        <w:widowControl/>
        <w:autoSpaceDE w:val="0"/>
        <w:autoSpaceDN w:val="0"/>
        <w:adjustRightInd/>
        <w:spacing w:line="240" w:lineRule="auto"/>
        <w:jc w:val="left"/>
        <w:textAlignment w:val="auto"/>
        <w:rPr>
          <w:rFonts w:eastAsiaTheme="minorHAnsi" w:cs="Arial"/>
          <w:kern w:val="2"/>
          <w:sz w:val="20"/>
          <w:szCs w:val="20"/>
          <w:lang w:val="en-US" w:eastAsia="en-US"/>
        </w:rPr>
      </w:pPr>
    </w:p>
    <w:p w14:paraId="19838B96" w14:textId="516797A4" w:rsidR="00DF1E43" w:rsidRPr="00AC57EA" w:rsidRDefault="00B7258C" w:rsidP="00E51A12">
      <w:pPr>
        <w:numPr>
          <w:ilvl w:val="0"/>
          <w:numId w:val="2"/>
        </w:numPr>
        <w:tabs>
          <w:tab w:val="left" w:pos="567"/>
          <w:tab w:val="num" w:pos="12305"/>
        </w:tabs>
        <w:spacing w:line="240" w:lineRule="auto"/>
        <w:ind w:left="0" w:firstLine="0"/>
        <w:rPr>
          <w:kern w:val="2"/>
          <w:sz w:val="20"/>
          <w:szCs w:val="20"/>
          <w:lang w:val="en-US" w:eastAsia="en-US"/>
        </w:rPr>
      </w:pPr>
      <w:r w:rsidRPr="00AC57EA">
        <w:rPr>
          <w:sz w:val="20"/>
          <w:szCs w:val="20"/>
          <w:lang w:val="en-US"/>
        </w:rPr>
        <w:t xml:space="preserve">The </w:t>
      </w:r>
      <w:r w:rsidRPr="00AC57EA">
        <w:rPr>
          <w:b/>
          <w:bCs/>
          <w:i/>
          <w:iCs/>
          <w:sz w:val="20"/>
          <w:szCs w:val="20"/>
          <w:lang w:val="en-US"/>
        </w:rPr>
        <w:t>Commission</w:t>
      </w:r>
      <w:r w:rsidR="00B5625C" w:rsidRPr="00AC57EA">
        <w:rPr>
          <w:kern w:val="2"/>
          <w:sz w:val="20"/>
          <w:szCs w:val="20"/>
          <w:lang w:val="en-US" w:eastAsia="en-US"/>
        </w:rPr>
        <w:t xml:space="preserve"> consider</w:t>
      </w:r>
      <w:r w:rsidR="00E51A12" w:rsidRPr="00AC57EA">
        <w:rPr>
          <w:kern w:val="2"/>
          <w:sz w:val="20"/>
          <w:szCs w:val="20"/>
          <w:lang w:val="en-US" w:eastAsia="en-US"/>
        </w:rPr>
        <w:t xml:space="preserve">ed that the judicial proceedings </w:t>
      </w:r>
      <w:r w:rsidR="00DF1E43" w:rsidRPr="00AC57EA">
        <w:rPr>
          <w:kern w:val="2"/>
          <w:sz w:val="20"/>
          <w:szCs w:val="20"/>
          <w:lang w:val="en-US" w:eastAsia="en-US"/>
        </w:rPr>
        <w:t xml:space="preserve">for the rape of V.R.P. were not conducted with due diligence in order to clarify the facts and punish the </w:t>
      </w:r>
      <w:r w:rsidR="007F5A52" w:rsidRPr="00AC57EA">
        <w:rPr>
          <w:kern w:val="2"/>
          <w:sz w:val="20"/>
          <w:szCs w:val="20"/>
          <w:lang w:val="en-US" w:eastAsia="en-US"/>
        </w:rPr>
        <w:t>perpetrator</w:t>
      </w:r>
      <w:r w:rsidR="00DF1E43" w:rsidRPr="00AC57EA">
        <w:rPr>
          <w:kern w:val="2"/>
          <w:sz w:val="20"/>
          <w:szCs w:val="20"/>
          <w:lang w:val="en-US" w:eastAsia="en-US"/>
        </w:rPr>
        <w:t xml:space="preserve">. The Commission found that, owing to the omissions and irregularities in the investigation, the State failed to ensure the rights to personal integrity, privacy, dignity and autonomy of </w:t>
      </w:r>
      <w:r w:rsidR="00B5625C" w:rsidRPr="00AC57EA">
        <w:rPr>
          <w:kern w:val="2"/>
          <w:sz w:val="20"/>
          <w:szCs w:val="20"/>
          <w:lang w:val="en-US" w:eastAsia="en-US"/>
        </w:rPr>
        <w:t>V.R.P.</w:t>
      </w:r>
      <w:r w:rsidR="00DF1E43" w:rsidRPr="00AC57EA">
        <w:rPr>
          <w:kern w:val="2"/>
          <w:sz w:val="20"/>
          <w:szCs w:val="20"/>
          <w:lang w:val="en-US" w:eastAsia="en-US"/>
        </w:rPr>
        <w:t xml:space="preserve"> </w:t>
      </w:r>
      <w:r w:rsidR="007F5A52" w:rsidRPr="00AC57EA">
        <w:rPr>
          <w:kern w:val="2"/>
          <w:sz w:val="20"/>
          <w:szCs w:val="20"/>
          <w:lang w:val="en-US" w:eastAsia="en-US"/>
        </w:rPr>
        <w:t>In addition, ow</w:t>
      </w:r>
      <w:r w:rsidR="00DF1E43" w:rsidRPr="00AC57EA">
        <w:rPr>
          <w:kern w:val="2"/>
          <w:sz w:val="20"/>
          <w:szCs w:val="20"/>
          <w:lang w:val="en-US" w:eastAsia="en-US"/>
        </w:rPr>
        <w:t>ing to the way in which the investigation was conducted and the consequent impunity in which the facts remain, the State also violated the personal integrity of V.R.P., as well as essential aspects of her privacy, dignity and autonomy. The Commission considered that this case was emblematic of the situation of institutional violence, lack of protection and revictimization by the State against women and girl</w:t>
      </w:r>
      <w:r w:rsidR="007F5A52" w:rsidRPr="00AC57EA">
        <w:rPr>
          <w:kern w:val="2"/>
          <w:sz w:val="20"/>
          <w:szCs w:val="20"/>
          <w:lang w:val="en-US" w:eastAsia="en-US"/>
        </w:rPr>
        <w:t>s who were</w:t>
      </w:r>
      <w:r w:rsidR="00DF1E43" w:rsidRPr="00AC57EA">
        <w:rPr>
          <w:kern w:val="2"/>
          <w:sz w:val="20"/>
          <w:szCs w:val="20"/>
          <w:lang w:val="en-US" w:eastAsia="en-US"/>
        </w:rPr>
        <w:t xml:space="preserve"> victims of sexual violence and rape </w:t>
      </w:r>
      <w:r w:rsidR="007F5A52" w:rsidRPr="00AC57EA">
        <w:rPr>
          <w:kern w:val="2"/>
          <w:sz w:val="20"/>
          <w:szCs w:val="20"/>
          <w:lang w:val="en-US" w:eastAsia="en-US"/>
        </w:rPr>
        <w:t xml:space="preserve">and </w:t>
      </w:r>
      <w:r w:rsidR="00DF1E43" w:rsidRPr="00AC57EA">
        <w:rPr>
          <w:kern w:val="2"/>
          <w:sz w:val="20"/>
          <w:szCs w:val="20"/>
          <w:lang w:val="en-US" w:eastAsia="en-US"/>
        </w:rPr>
        <w:t>who have recourse to the system of justice. The Commission also alleged that</w:t>
      </w:r>
      <w:r w:rsidR="00E24FF1" w:rsidRPr="00AC57EA">
        <w:rPr>
          <w:kern w:val="2"/>
          <w:sz w:val="20"/>
          <w:szCs w:val="20"/>
          <w:lang w:val="en-US" w:eastAsia="en-US"/>
        </w:rPr>
        <w:t xml:space="preserve"> </w:t>
      </w:r>
      <w:r w:rsidR="00DF1E43" w:rsidRPr="00AC57EA">
        <w:rPr>
          <w:kern w:val="2"/>
          <w:sz w:val="20"/>
          <w:szCs w:val="20"/>
          <w:lang w:val="en-US" w:eastAsia="en-US"/>
        </w:rPr>
        <w:t>the particular circumstances of the case</w:t>
      </w:r>
      <w:r w:rsidR="00E24FF1" w:rsidRPr="00AC57EA">
        <w:rPr>
          <w:kern w:val="2"/>
          <w:sz w:val="20"/>
          <w:szCs w:val="20"/>
          <w:lang w:val="en-US" w:eastAsia="en-US"/>
        </w:rPr>
        <w:t xml:space="preserve"> called for</w:t>
      </w:r>
      <w:r w:rsidR="00DF1E43" w:rsidRPr="00AC57EA">
        <w:rPr>
          <w:kern w:val="2"/>
          <w:sz w:val="20"/>
          <w:szCs w:val="20"/>
          <w:lang w:val="en-US" w:eastAsia="en-US"/>
        </w:rPr>
        <w:t xml:space="preserve"> </w:t>
      </w:r>
      <w:r w:rsidR="00E24FF1" w:rsidRPr="00AC57EA">
        <w:rPr>
          <w:kern w:val="2"/>
          <w:sz w:val="20"/>
          <w:szCs w:val="20"/>
          <w:lang w:val="en-US" w:eastAsia="en-US"/>
        </w:rPr>
        <w:t xml:space="preserve">the most rigorous standards of action by the authorities, both in the investigation and to </w:t>
      </w:r>
      <w:r w:rsidR="007F5A52" w:rsidRPr="00AC57EA">
        <w:rPr>
          <w:kern w:val="2"/>
          <w:sz w:val="20"/>
          <w:szCs w:val="20"/>
          <w:lang w:val="en-US" w:eastAsia="en-US"/>
        </w:rPr>
        <w:t>establish</w:t>
      </w:r>
      <w:r w:rsidR="00E24FF1" w:rsidRPr="00AC57EA">
        <w:rPr>
          <w:kern w:val="2"/>
          <w:sz w:val="20"/>
          <w:szCs w:val="20"/>
          <w:lang w:val="en-US" w:eastAsia="en-US"/>
        </w:rPr>
        <w:t xml:space="preserve"> a situation of protection for the victim and her famil</w:t>
      </w:r>
      <w:r w:rsidR="007F5A52" w:rsidRPr="00AC57EA">
        <w:rPr>
          <w:kern w:val="2"/>
          <w:sz w:val="20"/>
          <w:szCs w:val="20"/>
          <w:lang w:val="en-US" w:eastAsia="en-US"/>
        </w:rPr>
        <w:t>y that</w:t>
      </w:r>
      <w:r w:rsidR="00E24FF1" w:rsidRPr="00AC57EA">
        <w:rPr>
          <w:kern w:val="2"/>
          <w:sz w:val="20"/>
          <w:szCs w:val="20"/>
          <w:lang w:val="en-US" w:eastAsia="en-US"/>
        </w:rPr>
        <w:t xml:space="preserve"> would </w:t>
      </w:r>
      <w:r w:rsidR="007F5A52" w:rsidRPr="00AC57EA">
        <w:rPr>
          <w:kern w:val="2"/>
          <w:sz w:val="20"/>
          <w:szCs w:val="20"/>
          <w:lang w:val="en-US" w:eastAsia="en-US"/>
        </w:rPr>
        <w:t>ensure</w:t>
      </w:r>
      <w:r w:rsidR="00E24FF1" w:rsidRPr="00AC57EA">
        <w:rPr>
          <w:kern w:val="2"/>
          <w:sz w:val="20"/>
          <w:szCs w:val="20"/>
          <w:lang w:val="en-US" w:eastAsia="en-US"/>
        </w:rPr>
        <w:t xml:space="preserve"> everything necessary to avoid her revictimization and achieve her rehabilitation. As indicated by the Commission, the State did not comply with these </w:t>
      </w:r>
      <w:r w:rsidR="007F5A52" w:rsidRPr="00AC57EA">
        <w:rPr>
          <w:kern w:val="2"/>
          <w:sz w:val="20"/>
          <w:szCs w:val="20"/>
          <w:lang w:val="en-US" w:eastAsia="en-US"/>
        </w:rPr>
        <w:t>enhanced</w:t>
      </w:r>
      <w:r w:rsidR="00E24FF1" w:rsidRPr="00AC57EA">
        <w:rPr>
          <w:kern w:val="2"/>
          <w:sz w:val="20"/>
          <w:szCs w:val="20"/>
          <w:lang w:val="en-US" w:eastAsia="en-US"/>
        </w:rPr>
        <w:t xml:space="preserve"> obligations based on the best interest</w:t>
      </w:r>
      <w:r w:rsidR="007F5A52" w:rsidRPr="00AC57EA">
        <w:rPr>
          <w:kern w:val="2"/>
          <w:sz w:val="20"/>
          <w:szCs w:val="20"/>
          <w:lang w:val="en-US" w:eastAsia="en-US"/>
        </w:rPr>
        <w:t>s</w:t>
      </w:r>
      <w:r w:rsidR="00E24FF1" w:rsidRPr="00AC57EA">
        <w:rPr>
          <w:kern w:val="2"/>
          <w:sz w:val="20"/>
          <w:szCs w:val="20"/>
          <w:lang w:val="en-US" w:eastAsia="en-US"/>
        </w:rPr>
        <w:t xml:space="preserve"> of the child and her right to be heard.</w:t>
      </w:r>
    </w:p>
    <w:p w14:paraId="7C6437D5" w14:textId="77777777" w:rsidR="00B5625C" w:rsidRPr="00AC57EA" w:rsidRDefault="00B5625C" w:rsidP="00B5625C">
      <w:pPr>
        <w:widowControl/>
        <w:adjustRightInd/>
        <w:spacing w:line="240" w:lineRule="auto"/>
        <w:textAlignment w:val="auto"/>
        <w:rPr>
          <w:kern w:val="2"/>
          <w:sz w:val="20"/>
          <w:szCs w:val="20"/>
          <w:lang w:val="en-US" w:eastAsia="en-US"/>
        </w:rPr>
      </w:pPr>
    </w:p>
    <w:p w14:paraId="2BBED4AD" w14:textId="2EAE8D4C" w:rsidR="00B5625C" w:rsidRPr="00AC57EA" w:rsidRDefault="00E24FF1" w:rsidP="00203253">
      <w:pPr>
        <w:numPr>
          <w:ilvl w:val="0"/>
          <w:numId w:val="2"/>
        </w:numPr>
        <w:tabs>
          <w:tab w:val="left" w:pos="567"/>
          <w:tab w:val="num" w:pos="12305"/>
        </w:tabs>
        <w:spacing w:line="240" w:lineRule="auto"/>
        <w:ind w:left="0" w:firstLine="0"/>
        <w:rPr>
          <w:kern w:val="2"/>
          <w:sz w:val="20"/>
          <w:szCs w:val="20"/>
          <w:lang w:val="en-US" w:eastAsia="en-US"/>
        </w:rPr>
      </w:pPr>
      <w:r w:rsidRPr="00AC57EA">
        <w:rPr>
          <w:kern w:val="2"/>
          <w:sz w:val="20"/>
          <w:szCs w:val="20"/>
          <w:lang w:val="en-US" w:eastAsia="en-US"/>
        </w:rPr>
        <w:t>I</w:t>
      </w:r>
      <w:r w:rsidR="00B5625C" w:rsidRPr="00AC57EA">
        <w:rPr>
          <w:kern w:val="2"/>
          <w:sz w:val="20"/>
          <w:szCs w:val="20"/>
          <w:lang w:val="en-US" w:eastAsia="en-US"/>
        </w:rPr>
        <w:t xml:space="preserve">n particular, </w:t>
      </w:r>
      <w:r w:rsidRPr="00AC57EA">
        <w:rPr>
          <w:kern w:val="2"/>
          <w:sz w:val="20"/>
          <w:szCs w:val="20"/>
          <w:lang w:val="en-US" w:eastAsia="en-US"/>
        </w:rPr>
        <w:t>the Commission underscored that</w:t>
      </w:r>
      <w:r w:rsidR="00B5625C" w:rsidRPr="00AC57EA">
        <w:rPr>
          <w:kern w:val="2"/>
          <w:sz w:val="20"/>
          <w:szCs w:val="20"/>
          <w:lang w:val="en-US" w:eastAsia="en-US"/>
        </w:rPr>
        <w:t xml:space="preserve"> </w:t>
      </w:r>
      <w:r w:rsidR="00EC52D7" w:rsidRPr="00AC57EA">
        <w:rPr>
          <w:kern w:val="2"/>
          <w:sz w:val="20"/>
          <w:szCs w:val="20"/>
          <w:lang w:val="en-US" w:eastAsia="en-US"/>
        </w:rPr>
        <w:t>the State</w:t>
      </w:r>
      <w:r w:rsidR="00B5625C" w:rsidRPr="00AC57EA">
        <w:rPr>
          <w:kern w:val="2"/>
          <w:sz w:val="20"/>
          <w:szCs w:val="20"/>
          <w:lang w:val="en-US" w:eastAsia="en-US"/>
        </w:rPr>
        <w:t xml:space="preserve"> </w:t>
      </w:r>
      <w:r w:rsidRPr="00AC57EA">
        <w:rPr>
          <w:kern w:val="2"/>
          <w:sz w:val="20"/>
          <w:szCs w:val="20"/>
          <w:lang w:val="en-US" w:eastAsia="en-US"/>
        </w:rPr>
        <w:t>had violated due diligence because: (a) even though, private medical consultations had determined that V.R.P. had been a victim of sexual assault, the State order</w:t>
      </w:r>
      <w:r w:rsidR="007F5A52" w:rsidRPr="00AC57EA">
        <w:rPr>
          <w:kern w:val="2"/>
          <w:sz w:val="20"/>
          <w:szCs w:val="20"/>
          <w:lang w:val="en-US" w:eastAsia="en-US"/>
        </w:rPr>
        <w:t>ed</w:t>
      </w:r>
      <w:r w:rsidRPr="00AC57EA">
        <w:rPr>
          <w:kern w:val="2"/>
          <w:sz w:val="20"/>
          <w:szCs w:val="20"/>
          <w:lang w:val="en-US" w:eastAsia="en-US"/>
        </w:rPr>
        <w:t xml:space="preserve"> a</w:t>
      </w:r>
      <w:r w:rsidR="007F5A52" w:rsidRPr="00AC57EA">
        <w:rPr>
          <w:kern w:val="2"/>
          <w:sz w:val="20"/>
          <w:szCs w:val="20"/>
          <w:lang w:val="en-US" w:eastAsia="en-US"/>
        </w:rPr>
        <w:t xml:space="preserve"> further</w:t>
      </w:r>
      <w:r w:rsidRPr="00AC57EA">
        <w:rPr>
          <w:kern w:val="2"/>
          <w:sz w:val="20"/>
          <w:szCs w:val="20"/>
          <w:lang w:val="en-US" w:eastAsia="en-US"/>
        </w:rPr>
        <w:t xml:space="preserve"> medical examination, which was not</w:t>
      </w:r>
      <w:r w:rsidR="00330948" w:rsidRPr="00AC57EA">
        <w:rPr>
          <w:kern w:val="2"/>
          <w:sz w:val="20"/>
          <w:szCs w:val="20"/>
          <w:lang w:val="en-US" w:eastAsia="en-US"/>
        </w:rPr>
        <w:t xml:space="preserve"> performed</w:t>
      </w:r>
      <w:r w:rsidRPr="00AC57EA">
        <w:rPr>
          <w:kern w:val="2"/>
          <w:sz w:val="20"/>
          <w:szCs w:val="20"/>
          <w:lang w:val="en-US" w:eastAsia="en-US"/>
        </w:rPr>
        <w:t xml:space="preserve"> as soon as possible and was attempted on three occasions, instead of taking measures to </w:t>
      </w:r>
      <w:r w:rsidR="00330948" w:rsidRPr="00AC57EA">
        <w:rPr>
          <w:kern w:val="2"/>
          <w:sz w:val="20"/>
          <w:szCs w:val="20"/>
          <w:lang w:val="en-US" w:eastAsia="en-US"/>
        </w:rPr>
        <w:t>ensure that the information available at the time was relevant for the proceedings; (b)</w:t>
      </w:r>
      <w:r w:rsidRPr="00AC57EA">
        <w:rPr>
          <w:kern w:val="2"/>
          <w:sz w:val="20"/>
          <w:szCs w:val="20"/>
          <w:lang w:val="en-US" w:eastAsia="en-US"/>
        </w:rPr>
        <w:t xml:space="preserve"> </w:t>
      </w:r>
      <w:r w:rsidR="00330948" w:rsidRPr="00AC57EA">
        <w:rPr>
          <w:kern w:val="2"/>
          <w:sz w:val="20"/>
          <w:szCs w:val="20"/>
          <w:lang w:val="en-US" w:eastAsia="en-US"/>
        </w:rPr>
        <w:t xml:space="preserve">the treatment received from the forensic physician responsible for conducting the medical examination of the child was denigrating and violent, and the State failed to prove that the physician in question was impartial, suitable and trained to perform this type of examination on </w:t>
      </w:r>
      <w:r w:rsidR="003C0AC1" w:rsidRPr="00AC57EA">
        <w:rPr>
          <w:kern w:val="2"/>
          <w:sz w:val="20"/>
          <w:szCs w:val="20"/>
          <w:lang w:val="en-US" w:eastAsia="en-US"/>
        </w:rPr>
        <w:t>female child</w:t>
      </w:r>
      <w:r w:rsidR="00330948" w:rsidRPr="00AC57EA">
        <w:rPr>
          <w:kern w:val="2"/>
          <w:sz w:val="20"/>
          <w:szCs w:val="20"/>
          <w:lang w:val="en-US" w:eastAsia="en-US"/>
        </w:rPr>
        <w:t>ren victims of sexual violence; (c) the irregular conduct of the physician, denounced domestically, constituted a serious act of revictimization and a fresh act of sexual violence against V.R.P.; (d) the State</w:t>
      </w:r>
      <w:r w:rsidR="00D212F3" w:rsidRPr="00AC57EA">
        <w:rPr>
          <w:kern w:val="2"/>
          <w:sz w:val="20"/>
          <w:szCs w:val="20"/>
          <w:lang w:val="en-US" w:eastAsia="en-US"/>
        </w:rPr>
        <w:t xml:space="preserve"> </w:t>
      </w:r>
      <w:r w:rsidR="007F5A52" w:rsidRPr="00AC57EA">
        <w:rPr>
          <w:kern w:val="2"/>
          <w:sz w:val="20"/>
          <w:szCs w:val="20"/>
          <w:lang w:val="en-US" w:eastAsia="en-US"/>
        </w:rPr>
        <w:t>failed to</w:t>
      </w:r>
      <w:r w:rsidR="00D212F3" w:rsidRPr="00AC57EA">
        <w:rPr>
          <w:kern w:val="2"/>
          <w:sz w:val="20"/>
          <w:szCs w:val="20"/>
          <w:lang w:val="en-US" w:eastAsia="en-US"/>
        </w:rPr>
        <w:t xml:space="preserve"> demonstrate that V.R.P. and her mother had been offered the possibility of expressing their preference as to the sex of the health care personnel who would treat her; (e) during the medical examination, there was an unjustified presence of non-medical personnel, which caused V.R.P. to be fearful; (f) the State has not justified the absolute and strict necessity for V.R.P.’s participation in the visual inspection and reconstruction of the </w:t>
      </w:r>
      <w:r w:rsidR="005A5EC1" w:rsidRPr="00AC57EA">
        <w:rPr>
          <w:kern w:val="2"/>
          <w:sz w:val="20"/>
          <w:szCs w:val="20"/>
          <w:lang w:val="en-US" w:eastAsia="en-US"/>
        </w:rPr>
        <w:t>event</w:t>
      </w:r>
      <w:r w:rsidR="00D212F3" w:rsidRPr="00AC57EA">
        <w:rPr>
          <w:kern w:val="2"/>
          <w:sz w:val="20"/>
          <w:szCs w:val="20"/>
          <w:lang w:val="en-US" w:eastAsia="en-US"/>
        </w:rPr>
        <w:t xml:space="preserve">s, which was carried out in a way that revictimized her, because the judge asked the child to place herself in the position in which, according to her account, her aggressor had placed her; (g) there is no information on special </w:t>
      </w:r>
      <w:r w:rsidR="00D212F3" w:rsidRPr="00AC57EA">
        <w:rPr>
          <w:kern w:val="2"/>
          <w:sz w:val="20"/>
          <w:szCs w:val="20"/>
          <w:lang w:val="en-US" w:eastAsia="en-US"/>
        </w:rPr>
        <w:lastRenderedPageBreak/>
        <w:t xml:space="preserve">measures adopted to protect V.R.P. as a child victim of sexual violence, and she was not provided with psychological support during the procedure </w:t>
      </w:r>
      <w:r w:rsidR="005A5EC1" w:rsidRPr="00AC57EA">
        <w:rPr>
          <w:kern w:val="2"/>
          <w:sz w:val="20"/>
          <w:szCs w:val="20"/>
          <w:lang w:val="en-US" w:eastAsia="en-US"/>
        </w:rPr>
        <w:t>to</w:t>
      </w:r>
      <w:r w:rsidR="00D212F3" w:rsidRPr="00AC57EA">
        <w:rPr>
          <w:kern w:val="2"/>
          <w:sz w:val="20"/>
          <w:szCs w:val="20"/>
          <w:lang w:val="en-US" w:eastAsia="en-US"/>
        </w:rPr>
        <w:t xml:space="preserve"> reconstruct the </w:t>
      </w:r>
      <w:r w:rsidR="005A5EC1" w:rsidRPr="00AC57EA">
        <w:rPr>
          <w:kern w:val="2"/>
          <w:sz w:val="20"/>
          <w:szCs w:val="20"/>
          <w:lang w:val="en-US" w:eastAsia="en-US"/>
        </w:rPr>
        <w:t>event</w:t>
      </w:r>
      <w:r w:rsidR="00D212F3" w:rsidRPr="00AC57EA">
        <w:rPr>
          <w:kern w:val="2"/>
          <w:sz w:val="20"/>
          <w:szCs w:val="20"/>
          <w:lang w:val="en-US" w:eastAsia="en-US"/>
        </w:rPr>
        <w:t>s; (h) during the criminal proceedings on the child’s rape, the State did not provide V.R.P. with the necessary health care services to safeguard her physical and ment</w:t>
      </w:r>
      <w:r w:rsidR="00203253" w:rsidRPr="00AC57EA">
        <w:rPr>
          <w:kern w:val="2"/>
          <w:sz w:val="20"/>
          <w:szCs w:val="20"/>
          <w:lang w:val="en-US" w:eastAsia="en-US"/>
        </w:rPr>
        <w:t>al</w:t>
      </w:r>
      <w:r w:rsidR="00D212F3" w:rsidRPr="00AC57EA">
        <w:rPr>
          <w:kern w:val="2"/>
          <w:sz w:val="20"/>
          <w:szCs w:val="20"/>
          <w:lang w:val="en-US" w:eastAsia="en-US"/>
        </w:rPr>
        <w:t xml:space="preserve"> health </w:t>
      </w:r>
      <w:r w:rsidR="00203253" w:rsidRPr="00AC57EA">
        <w:rPr>
          <w:kern w:val="2"/>
          <w:sz w:val="20"/>
          <w:szCs w:val="20"/>
          <w:lang w:val="en-US" w:eastAsia="en-US"/>
        </w:rPr>
        <w:t xml:space="preserve">when the authorities </w:t>
      </w:r>
      <w:r w:rsidR="005A5EC1" w:rsidRPr="00AC57EA">
        <w:rPr>
          <w:kern w:val="2"/>
          <w:sz w:val="20"/>
          <w:szCs w:val="20"/>
          <w:lang w:val="en-US" w:eastAsia="en-US"/>
        </w:rPr>
        <w:t>became</w:t>
      </w:r>
      <w:r w:rsidR="00203253" w:rsidRPr="00AC57EA">
        <w:rPr>
          <w:kern w:val="2"/>
          <w:sz w:val="20"/>
          <w:szCs w:val="20"/>
          <w:lang w:val="en-US" w:eastAsia="en-US"/>
        </w:rPr>
        <w:t xml:space="preserve"> aware of the facts, maintaining that Nicaragua was a poor State, a justification that is incompatible with the principles of international law; (i) the State also failed to </w:t>
      </w:r>
      <w:r w:rsidR="005A5EC1" w:rsidRPr="00AC57EA">
        <w:rPr>
          <w:kern w:val="2"/>
          <w:sz w:val="20"/>
          <w:szCs w:val="20"/>
          <w:lang w:val="en-US" w:eastAsia="en-US"/>
        </w:rPr>
        <w:t>offer</w:t>
      </w:r>
      <w:r w:rsidR="00203253" w:rsidRPr="00AC57EA">
        <w:rPr>
          <w:kern w:val="2"/>
          <w:sz w:val="20"/>
          <w:szCs w:val="20"/>
          <w:lang w:val="en-US" w:eastAsia="en-US"/>
        </w:rPr>
        <w:t xml:space="preserve"> special protection by </w:t>
      </w:r>
      <w:r w:rsidR="005A5EC1" w:rsidRPr="00AC57EA">
        <w:rPr>
          <w:kern w:val="2"/>
          <w:sz w:val="20"/>
          <w:szCs w:val="20"/>
          <w:lang w:val="en-US" w:eastAsia="en-US"/>
        </w:rPr>
        <w:t xml:space="preserve">providing </w:t>
      </w:r>
      <w:r w:rsidR="00203253" w:rsidRPr="00AC57EA">
        <w:rPr>
          <w:kern w:val="2"/>
          <w:sz w:val="20"/>
          <w:szCs w:val="20"/>
          <w:lang w:val="en-US" w:eastAsia="en-US"/>
        </w:rPr>
        <w:t xml:space="preserve">support during the proceedings and by measures that sought her rehabilitation and social reinsertion, </w:t>
      </w:r>
      <w:r w:rsidR="005A5EC1" w:rsidRPr="00AC57EA">
        <w:rPr>
          <w:kern w:val="2"/>
          <w:sz w:val="20"/>
          <w:szCs w:val="20"/>
          <w:lang w:val="en-US" w:eastAsia="en-US"/>
        </w:rPr>
        <w:t>as well as</w:t>
      </w:r>
      <w:r w:rsidR="00203253" w:rsidRPr="00AC57EA">
        <w:rPr>
          <w:kern w:val="2"/>
          <w:sz w:val="20"/>
          <w:szCs w:val="20"/>
          <w:lang w:val="en-US" w:eastAsia="en-US"/>
        </w:rPr>
        <w:t xml:space="preserve"> that of her family, and (j) there was no permanent and effective participation by a specialized entity to protect </w:t>
      </w:r>
      <w:r w:rsidR="00B5625C" w:rsidRPr="00AC57EA">
        <w:rPr>
          <w:kern w:val="2"/>
          <w:sz w:val="20"/>
          <w:szCs w:val="20"/>
          <w:lang w:val="en-US" w:eastAsia="en-US"/>
        </w:rPr>
        <w:t>V.R.P.</w:t>
      </w:r>
      <w:r w:rsidR="005A5EC1" w:rsidRPr="00AC57EA">
        <w:rPr>
          <w:kern w:val="2"/>
          <w:sz w:val="20"/>
          <w:szCs w:val="20"/>
          <w:lang w:val="en-US" w:eastAsia="en-US"/>
        </w:rPr>
        <w:t>’s rights.</w:t>
      </w:r>
    </w:p>
    <w:p w14:paraId="52F1B2B5" w14:textId="77777777" w:rsidR="00B5625C" w:rsidRPr="00AC57EA" w:rsidRDefault="00B5625C" w:rsidP="00B5625C">
      <w:pPr>
        <w:widowControl/>
        <w:adjustRightInd/>
        <w:spacing w:line="240" w:lineRule="auto"/>
        <w:textAlignment w:val="auto"/>
        <w:rPr>
          <w:kern w:val="2"/>
          <w:sz w:val="20"/>
          <w:szCs w:val="20"/>
          <w:lang w:val="en-US" w:eastAsia="en-US"/>
        </w:rPr>
      </w:pPr>
    </w:p>
    <w:p w14:paraId="1D61BCFF" w14:textId="42A81BC3" w:rsidR="00B5625C" w:rsidRPr="00AC57EA" w:rsidRDefault="00203253" w:rsidP="00203253">
      <w:pPr>
        <w:numPr>
          <w:ilvl w:val="0"/>
          <w:numId w:val="2"/>
        </w:numPr>
        <w:tabs>
          <w:tab w:val="left" w:pos="567"/>
          <w:tab w:val="num" w:pos="12305"/>
        </w:tabs>
        <w:spacing w:line="240" w:lineRule="auto"/>
        <w:ind w:left="0" w:firstLine="0"/>
        <w:rPr>
          <w:kern w:val="2"/>
          <w:sz w:val="20"/>
          <w:szCs w:val="20"/>
          <w:lang w:val="en-US" w:eastAsia="en-US"/>
        </w:rPr>
      </w:pPr>
      <w:r w:rsidRPr="00AC57EA">
        <w:rPr>
          <w:kern w:val="2"/>
          <w:sz w:val="20"/>
          <w:szCs w:val="20"/>
          <w:lang w:val="en-US" w:eastAsia="en-US"/>
        </w:rPr>
        <w:t>The</w:t>
      </w:r>
      <w:r w:rsidR="00B7258C" w:rsidRPr="00AC57EA">
        <w:rPr>
          <w:kern w:val="2"/>
          <w:sz w:val="20"/>
          <w:szCs w:val="20"/>
          <w:lang w:val="en-US" w:eastAsia="en-US"/>
        </w:rPr>
        <w:t xml:space="preserve"> Commission</w:t>
      </w:r>
      <w:r w:rsidR="00B5625C" w:rsidRPr="00AC57EA">
        <w:rPr>
          <w:kern w:val="2"/>
          <w:sz w:val="20"/>
          <w:szCs w:val="20"/>
          <w:lang w:val="en-US" w:eastAsia="en-US"/>
        </w:rPr>
        <w:t xml:space="preserve"> </w:t>
      </w:r>
      <w:r w:rsidRPr="00AC57EA">
        <w:rPr>
          <w:kern w:val="2"/>
          <w:sz w:val="20"/>
          <w:szCs w:val="20"/>
          <w:lang w:val="en-US" w:eastAsia="en-US"/>
        </w:rPr>
        <w:t xml:space="preserve">also considered that the lack of medical attention, added to the situation of impunity, </w:t>
      </w:r>
      <w:r w:rsidR="005A5EC1" w:rsidRPr="00AC57EA">
        <w:rPr>
          <w:kern w:val="2"/>
          <w:sz w:val="20"/>
          <w:szCs w:val="20"/>
          <w:lang w:val="en-US" w:eastAsia="en-US"/>
        </w:rPr>
        <w:t>exacerbated</w:t>
      </w:r>
      <w:r w:rsidRPr="00AC57EA">
        <w:rPr>
          <w:kern w:val="2"/>
          <w:sz w:val="20"/>
          <w:szCs w:val="20"/>
          <w:lang w:val="en-US" w:eastAsia="en-US"/>
        </w:rPr>
        <w:t xml:space="preserve"> V.R.P.’s mental health, </w:t>
      </w:r>
      <w:r w:rsidR="005A5EC1" w:rsidRPr="00AC57EA">
        <w:rPr>
          <w:kern w:val="2"/>
          <w:sz w:val="20"/>
          <w:szCs w:val="20"/>
          <w:lang w:val="en-US" w:eastAsia="en-US"/>
        </w:rPr>
        <w:t>increasing</w:t>
      </w:r>
      <w:r w:rsidRPr="00AC57EA">
        <w:rPr>
          <w:kern w:val="2"/>
          <w:sz w:val="20"/>
          <w:szCs w:val="20"/>
          <w:lang w:val="en-US" w:eastAsia="en-US"/>
        </w:rPr>
        <w:t xml:space="preserve"> the aftereffects of the rape and </w:t>
      </w:r>
      <w:r w:rsidR="005A5EC1" w:rsidRPr="00AC57EA">
        <w:rPr>
          <w:kern w:val="2"/>
          <w:sz w:val="20"/>
          <w:szCs w:val="20"/>
          <w:lang w:val="en-US" w:eastAsia="en-US"/>
        </w:rPr>
        <w:t xml:space="preserve">making </w:t>
      </w:r>
      <w:r w:rsidRPr="00AC57EA">
        <w:rPr>
          <w:kern w:val="2"/>
          <w:sz w:val="20"/>
          <w:szCs w:val="20"/>
          <w:lang w:val="en-US" w:eastAsia="en-US"/>
        </w:rPr>
        <w:t>the inadequate response of the state authorities</w:t>
      </w:r>
      <w:r w:rsidR="005A5EC1" w:rsidRPr="00AC57EA">
        <w:rPr>
          <w:kern w:val="2"/>
          <w:sz w:val="20"/>
          <w:szCs w:val="20"/>
          <w:lang w:val="en-US" w:eastAsia="en-US"/>
        </w:rPr>
        <w:t xml:space="preserve"> more evident</w:t>
      </w:r>
      <w:r w:rsidR="002F084B" w:rsidRPr="00AC57EA">
        <w:rPr>
          <w:kern w:val="2"/>
          <w:sz w:val="20"/>
          <w:szCs w:val="20"/>
          <w:lang w:val="en-US" w:eastAsia="en-US"/>
        </w:rPr>
        <w:t xml:space="preserve">. In this regard, the Commission observed that the State had conducted criminal proceedings that were plagued with shortcomings and instances of revictimization, to which the </w:t>
      </w:r>
      <w:r w:rsidR="005A5EC1" w:rsidRPr="00AC57EA">
        <w:rPr>
          <w:kern w:val="2"/>
          <w:sz w:val="20"/>
          <w:szCs w:val="20"/>
          <w:lang w:val="en-US" w:eastAsia="en-US"/>
        </w:rPr>
        <w:t>V.R.P.</w:t>
      </w:r>
      <w:r w:rsidR="002F084B" w:rsidRPr="00AC57EA">
        <w:rPr>
          <w:kern w:val="2"/>
          <w:sz w:val="20"/>
          <w:szCs w:val="20"/>
          <w:lang w:val="en-US" w:eastAsia="en-US"/>
        </w:rPr>
        <w:t xml:space="preserve"> was subjected for a significant portion of her childhood. Consequently</w:t>
      </w:r>
      <w:r w:rsidR="00B5625C" w:rsidRPr="00AC57EA">
        <w:rPr>
          <w:kern w:val="2"/>
          <w:sz w:val="20"/>
          <w:szCs w:val="20"/>
          <w:lang w:val="en-US" w:eastAsia="en-US"/>
        </w:rPr>
        <w:t xml:space="preserve">, </w:t>
      </w:r>
      <w:r w:rsidR="00B7258C" w:rsidRPr="00AC57EA">
        <w:rPr>
          <w:kern w:val="2"/>
          <w:sz w:val="20"/>
          <w:szCs w:val="20"/>
          <w:lang w:val="en-US" w:eastAsia="en-US"/>
        </w:rPr>
        <w:t>the Commission</w:t>
      </w:r>
      <w:r w:rsidR="00B5625C" w:rsidRPr="00AC57EA">
        <w:rPr>
          <w:kern w:val="2"/>
          <w:sz w:val="20"/>
          <w:szCs w:val="20"/>
          <w:lang w:val="en-US" w:eastAsia="en-US"/>
        </w:rPr>
        <w:t xml:space="preserve"> </w:t>
      </w:r>
      <w:r w:rsidR="002F084B" w:rsidRPr="00AC57EA">
        <w:rPr>
          <w:kern w:val="2"/>
          <w:sz w:val="20"/>
          <w:szCs w:val="20"/>
          <w:lang w:val="en-US" w:eastAsia="en-US"/>
        </w:rPr>
        <w:t>considered that</w:t>
      </w:r>
      <w:r w:rsidR="00B5625C" w:rsidRPr="00AC57EA">
        <w:rPr>
          <w:kern w:val="2"/>
          <w:sz w:val="20"/>
          <w:szCs w:val="20"/>
          <w:lang w:val="en-US" w:eastAsia="en-US"/>
        </w:rPr>
        <w:t xml:space="preserve"> </w:t>
      </w:r>
      <w:r w:rsidR="00EC52D7" w:rsidRPr="00AC57EA">
        <w:rPr>
          <w:kern w:val="2"/>
          <w:sz w:val="20"/>
          <w:szCs w:val="20"/>
          <w:lang w:val="en-US" w:eastAsia="en-US"/>
        </w:rPr>
        <w:t>the State</w:t>
      </w:r>
      <w:r w:rsidR="00B5625C" w:rsidRPr="00AC57EA">
        <w:rPr>
          <w:kern w:val="2"/>
          <w:sz w:val="20"/>
          <w:szCs w:val="20"/>
          <w:lang w:val="en-US" w:eastAsia="en-US"/>
        </w:rPr>
        <w:t xml:space="preserve"> </w:t>
      </w:r>
      <w:r w:rsidR="002F084B" w:rsidRPr="00AC57EA">
        <w:rPr>
          <w:kern w:val="2"/>
          <w:sz w:val="20"/>
          <w:szCs w:val="20"/>
          <w:lang w:val="en-US" w:eastAsia="en-US"/>
        </w:rPr>
        <w:t>had violated the right</w:t>
      </w:r>
      <w:r w:rsidR="00B5625C" w:rsidRPr="00AC57EA">
        <w:rPr>
          <w:kern w:val="2"/>
          <w:sz w:val="20"/>
          <w:szCs w:val="20"/>
          <w:lang w:val="en-US" w:eastAsia="en-US"/>
        </w:rPr>
        <w:t xml:space="preserve"> </w:t>
      </w:r>
      <w:r w:rsidR="002F084B" w:rsidRPr="00AC57EA">
        <w:rPr>
          <w:kern w:val="2"/>
          <w:sz w:val="20"/>
          <w:szCs w:val="20"/>
          <w:lang w:val="en-US" w:eastAsia="en-US"/>
        </w:rPr>
        <w:t xml:space="preserve">to judicial guarantees </w:t>
      </w:r>
      <w:r w:rsidR="00171E27" w:rsidRPr="00AC57EA">
        <w:rPr>
          <w:kern w:val="2"/>
          <w:sz w:val="20"/>
          <w:szCs w:val="20"/>
          <w:lang w:val="en-US" w:eastAsia="en-US"/>
        </w:rPr>
        <w:t xml:space="preserve">and </w:t>
      </w:r>
      <w:r w:rsidR="00B5625C" w:rsidRPr="00AC57EA">
        <w:rPr>
          <w:kern w:val="2"/>
          <w:sz w:val="20"/>
          <w:szCs w:val="20"/>
          <w:lang w:val="en-US" w:eastAsia="en-US"/>
        </w:rPr>
        <w:t>judicial</w:t>
      </w:r>
      <w:r w:rsidR="002F084B" w:rsidRPr="00AC57EA">
        <w:rPr>
          <w:kern w:val="2"/>
          <w:sz w:val="20"/>
          <w:szCs w:val="20"/>
          <w:lang w:val="en-US" w:eastAsia="en-US"/>
        </w:rPr>
        <w:t xml:space="preserve"> protection</w:t>
      </w:r>
      <w:r w:rsidR="00B5625C" w:rsidRPr="00AC57EA">
        <w:rPr>
          <w:kern w:val="2"/>
          <w:sz w:val="20"/>
          <w:szCs w:val="20"/>
          <w:lang w:val="en-US" w:eastAsia="en-US"/>
        </w:rPr>
        <w:t xml:space="preserve">, </w:t>
      </w:r>
      <w:r w:rsidR="002F084B" w:rsidRPr="00AC57EA">
        <w:rPr>
          <w:kern w:val="2"/>
          <w:sz w:val="20"/>
          <w:szCs w:val="20"/>
          <w:lang w:val="en-US" w:eastAsia="en-US"/>
        </w:rPr>
        <w:t>established in</w:t>
      </w:r>
      <w:r w:rsidR="00B5625C" w:rsidRPr="00AC57EA">
        <w:rPr>
          <w:kern w:val="2"/>
          <w:sz w:val="20"/>
          <w:szCs w:val="20"/>
          <w:lang w:val="en-US" w:eastAsia="en-US"/>
        </w:rPr>
        <w:t xml:space="preserve"> </w:t>
      </w:r>
      <w:r w:rsidR="00B7258C" w:rsidRPr="00AC57EA">
        <w:rPr>
          <w:kern w:val="2"/>
          <w:sz w:val="20"/>
          <w:szCs w:val="20"/>
          <w:lang w:val="en-US" w:eastAsia="en-US"/>
        </w:rPr>
        <w:t>Articles</w:t>
      </w:r>
      <w:r w:rsidR="00B5625C" w:rsidRPr="00AC57EA">
        <w:rPr>
          <w:kern w:val="2"/>
          <w:sz w:val="20"/>
          <w:szCs w:val="20"/>
          <w:lang w:val="en-US" w:eastAsia="en-US"/>
        </w:rPr>
        <w:t xml:space="preserve"> </w:t>
      </w:r>
      <w:r w:rsidR="00171E27" w:rsidRPr="00AC57EA">
        <w:rPr>
          <w:kern w:val="2"/>
          <w:sz w:val="20"/>
          <w:szCs w:val="20"/>
          <w:lang w:val="en-US" w:eastAsia="en-US"/>
        </w:rPr>
        <w:t xml:space="preserve">8(1) and </w:t>
      </w:r>
      <w:r w:rsidR="00B5625C" w:rsidRPr="00AC57EA">
        <w:rPr>
          <w:kern w:val="2"/>
          <w:sz w:val="20"/>
          <w:szCs w:val="20"/>
          <w:lang w:val="en-US" w:eastAsia="en-US"/>
        </w:rPr>
        <w:t>2</w:t>
      </w:r>
      <w:r w:rsidR="00171E27" w:rsidRPr="00AC57EA">
        <w:rPr>
          <w:kern w:val="2"/>
          <w:sz w:val="20"/>
          <w:szCs w:val="20"/>
          <w:lang w:val="en-US" w:eastAsia="en-US"/>
        </w:rPr>
        <w:t>5(1)</w:t>
      </w:r>
      <w:r w:rsidR="00B5625C" w:rsidRPr="00AC57EA">
        <w:rPr>
          <w:kern w:val="2"/>
          <w:sz w:val="20"/>
          <w:szCs w:val="20"/>
          <w:lang w:val="en-US" w:eastAsia="en-US"/>
        </w:rPr>
        <w:t xml:space="preserve">, </w:t>
      </w:r>
      <w:r w:rsidR="00171E27" w:rsidRPr="00AC57EA">
        <w:rPr>
          <w:kern w:val="2"/>
          <w:sz w:val="20"/>
          <w:szCs w:val="20"/>
          <w:lang w:val="en-US" w:eastAsia="en-US"/>
        </w:rPr>
        <w:t>in relation to Article 1(1)</w:t>
      </w:r>
      <w:r w:rsidR="00B7258C" w:rsidRPr="00AC57EA">
        <w:rPr>
          <w:kern w:val="2"/>
          <w:sz w:val="20"/>
          <w:szCs w:val="20"/>
          <w:lang w:val="en-US" w:eastAsia="en-US"/>
        </w:rPr>
        <w:t xml:space="preserve"> of the American Convention</w:t>
      </w:r>
      <w:r w:rsidR="00B5625C" w:rsidRPr="00AC57EA">
        <w:rPr>
          <w:kern w:val="2"/>
          <w:sz w:val="20"/>
          <w:szCs w:val="20"/>
          <w:lang w:val="en-US" w:eastAsia="en-US"/>
        </w:rPr>
        <w:t xml:space="preserve">, </w:t>
      </w:r>
      <w:r w:rsidR="002F084B" w:rsidRPr="00AC57EA">
        <w:rPr>
          <w:kern w:val="2"/>
          <w:sz w:val="20"/>
          <w:szCs w:val="20"/>
          <w:lang w:val="en-US" w:eastAsia="en-US"/>
        </w:rPr>
        <w:t>as well as</w:t>
      </w:r>
      <w:r w:rsidR="00B5625C" w:rsidRPr="00AC57EA">
        <w:rPr>
          <w:kern w:val="2"/>
          <w:sz w:val="20"/>
          <w:szCs w:val="20"/>
          <w:lang w:val="en-US" w:eastAsia="en-US"/>
        </w:rPr>
        <w:t xml:space="preserve"> </w:t>
      </w:r>
      <w:r w:rsidR="00B7258C" w:rsidRPr="00AC57EA">
        <w:rPr>
          <w:kern w:val="2"/>
          <w:sz w:val="20"/>
          <w:szCs w:val="20"/>
          <w:lang w:val="en-US" w:eastAsia="en-US"/>
        </w:rPr>
        <w:t>Article</w:t>
      </w:r>
      <w:r w:rsidR="00B5625C" w:rsidRPr="00AC57EA">
        <w:rPr>
          <w:kern w:val="2"/>
          <w:sz w:val="20"/>
          <w:szCs w:val="20"/>
          <w:lang w:val="en-US" w:eastAsia="en-US"/>
        </w:rPr>
        <w:t xml:space="preserve"> </w:t>
      </w:r>
      <w:r w:rsidR="007D5AA2" w:rsidRPr="00AC57EA">
        <w:rPr>
          <w:kern w:val="2"/>
          <w:sz w:val="20"/>
          <w:szCs w:val="20"/>
          <w:lang w:val="en-US" w:eastAsia="en-US"/>
        </w:rPr>
        <w:t>7(b)</w:t>
      </w:r>
      <w:r w:rsidR="00B7258C" w:rsidRPr="00AC57EA">
        <w:rPr>
          <w:kern w:val="2"/>
          <w:sz w:val="20"/>
          <w:szCs w:val="20"/>
          <w:lang w:val="en-US" w:eastAsia="en-US"/>
        </w:rPr>
        <w:t xml:space="preserve"> of the </w:t>
      </w:r>
      <w:r w:rsidR="00171E27" w:rsidRPr="00AC57EA">
        <w:rPr>
          <w:kern w:val="2"/>
          <w:sz w:val="20"/>
          <w:szCs w:val="20"/>
          <w:lang w:val="en-US" w:eastAsia="en-US"/>
        </w:rPr>
        <w:t>Convention of Belém</w:t>
      </w:r>
      <w:r w:rsidR="00B5625C" w:rsidRPr="00AC57EA">
        <w:rPr>
          <w:kern w:val="2"/>
          <w:sz w:val="20"/>
          <w:szCs w:val="20"/>
          <w:lang w:val="en-US" w:eastAsia="en-US"/>
        </w:rPr>
        <w:t xml:space="preserve"> do Pará </w:t>
      </w:r>
      <w:r w:rsidR="002F084B" w:rsidRPr="00AC57EA">
        <w:rPr>
          <w:kern w:val="2"/>
          <w:sz w:val="20"/>
          <w:szCs w:val="20"/>
          <w:lang w:val="en-US" w:eastAsia="en-US"/>
        </w:rPr>
        <w:t>to the detriment of</w:t>
      </w:r>
      <w:r w:rsidR="00B5625C" w:rsidRPr="00AC57EA">
        <w:rPr>
          <w:kern w:val="2"/>
          <w:sz w:val="20"/>
          <w:szCs w:val="20"/>
          <w:lang w:val="en-US" w:eastAsia="en-US"/>
        </w:rPr>
        <w:t xml:space="preserve"> V.R.P</w:t>
      </w:r>
      <w:r w:rsidR="00171E27" w:rsidRPr="00AC57EA">
        <w:rPr>
          <w:kern w:val="2"/>
          <w:sz w:val="20"/>
          <w:szCs w:val="20"/>
          <w:lang w:val="en-US" w:eastAsia="en-US"/>
        </w:rPr>
        <w:t xml:space="preserve"> and </w:t>
      </w:r>
      <w:r w:rsidR="00B5625C" w:rsidRPr="00AC57EA">
        <w:rPr>
          <w:kern w:val="2"/>
          <w:sz w:val="20"/>
          <w:szCs w:val="20"/>
          <w:lang w:val="en-US" w:eastAsia="en-US"/>
        </w:rPr>
        <w:t xml:space="preserve">V.P.C. </w:t>
      </w:r>
      <w:r w:rsidR="002F084B" w:rsidRPr="00AC57EA">
        <w:rPr>
          <w:kern w:val="2"/>
          <w:sz w:val="20"/>
          <w:szCs w:val="20"/>
          <w:lang w:val="en-US" w:eastAsia="en-US"/>
        </w:rPr>
        <w:t xml:space="preserve">It also concluded that the State had failed to comply with its obligation as guarantor of the rights to personal integrity, privacy, dignity and autonomy of </w:t>
      </w:r>
      <w:r w:rsidR="00B5625C" w:rsidRPr="00AC57EA">
        <w:rPr>
          <w:kern w:val="2"/>
          <w:sz w:val="20"/>
          <w:szCs w:val="20"/>
          <w:lang w:val="en-US" w:eastAsia="en-US"/>
        </w:rPr>
        <w:t>V.R.P</w:t>
      </w:r>
      <w:r w:rsidR="00FA24CE" w:rsidRPr="00AC57EA">
        <w:rPr>
          <w:kern w:val="2"/>
          <w:sz w:val="20"/>
          <w:szCs w:val="20"/>
          <w:lang w:val="en-US" w:eastAsia="en-US"/>
        </w:rPr>
        <w:t>.</w:t>
      </w:r>
      <w:r w:rsidR="00B5625C" w:rsidRPr="00AC57EA">
        <w:rPr>
          <w:kern w:val="2"/>
          <w:sz w:val="20"/>
          <w:szCs w:val="20"/>
          <w:lang w:val="en-US" w:eastAsia="en-US"/>
        </w:rPr>
        <w:t xml:space="preserve">, </w:t>
      </w:r>
      <w:r w:rsidR="002F084B" w:rsidRPr="00AC57EA">
        <w:rPr>
          <w:kern w:val="2"/>
          <w:sz w:val="20"/>
          <w:szCs w:val="20"/>
          <w:lang w:val="en-US" w:eastAsia="en-US"/>
        </w:rPr>
        <w:t xml:space="preserve">and was therefore responsible for the violation of </w:t>
      </w:r>
      <w:r w:rsidR="00B7258C" w:rsidRPr="00AC57EA">
        <w:rPr>
          <w:kern w:val="2"/>
          <w:sz w:val="20"/>
          <w:szCs w:val="20"/>
          <w:lang w:val="en-US" w:eastAsia="en-US"/>
        </w:rPr>
        <w:t>Articles</w:t>
      </w:r>
      <w:r w:rsidR="00B5625C" w:rsidRPr="00AC57EA">
        <w:rPr>
          <w:kern w:val="2"/>
          <w:sz w:val="20"/>
          <w:szCs w:val="20"/>
          <w:lang w:val="en-US" w:eastAsia="en-US"/>
        </w:rPr>
        <w:t xml:space="preserve"> </w:t>
      </w:r>
      <w:r w:rsidR="00171E27" w:rsidRPr="00AC57EA">
        <w:rPr>
          <w:kern w:val="2"/>
          <w:sz w:val="20"/>
          <w:szCs w:val="20"/>
          <w:lang w:val="en-US" w:eastAsia="en-US"/>
        </w:rPr>
        <w:t>5(1)</w:t>
      </w:r>
      <w:r w:rsidR="00B5625C" w:rsidRPr="00AC57EA">
        <w:rPr>
          <w:kern w:val="2"/>
          <w:sz w:val="20"/>
          <w:szCs w:val="20"/>
          <w:lang w:val="en-US" w:eastAsia="en-US"/>
        </w:rPr>
        <w:t xml:space="preserve">, </w:t>
      </w:r>
      <w:r w:rsidR="004151E3" w:rsidRPr="00AC57EA">
        <w:rPr>
          <w:kern w:val="2"/>
          <w:sz w:val="20"/>
          <w:szCs w:val="20"/>
          <w:lang w:val="en-US" w:eastAsia="en-US"/>
        </w:rPr>
        <w:t>11(2)</w:t>
      </w:r>
      <w:r w:rsidR="00171E27" w:rsidRPr="00AC57EA">
        <w:rPr>
          <w:kern w:val="2"/>
          <w:sz w:val="20"/>
          <w:szCs w:val="20"/>
          <w:lang w:val="en-US" w:eastAsia="en-US"/>
        </w:rPr>
        <w:t xml:space="preserve"> and </w:t>
      </w:r>
      <w:r w:rsidR="00B5625C" w:rsidRPr="00AC57EA">
        <w:rPr>
          <w:kern w:val="2"/>
          <w:sz w:val="20"/>
          <w:szCs w:val="20"/>
          <w:lang w:val="en-US" w:eastAsia="en-US"/>
        </w:rPr>
        <w:t>19</w:t>
      </w:r>
      <w:r w:rsidR="00B7258C" w:rsidRPr="00AC57EA">
        <w:rPr>
          <w:kern w:val="2"/>
          <w:sz w:val="20"/>
          <w:szCs w:val="20"/>
          <w:lang w:val="en-US" w:eastAsia="en-US"/>
        </w:rPr>
        <w:t xml:space="preserve"> of the American Convention</w:t>
      </w:r>
      <w:r w:rsidR="00B5625C" w:rsidRPr="00AC57EA">
        <w:rPr>
          <w:kern w:val="2"/>
          <w:sz w:val="20"/>
          <w:szCs w:val="20"/>
          <w:lang w:val="en-US" w:eastAsia="en-US"/>
        </w:rPr>
        <w:t xml:space="preserve">, </w:t>
      </w:r>
      <w:r w:rsidR="00171E27" w:rsidRPr="00AC57EA">
        <w:rPr>
          <w:kern w:val="2"/>
          <w:sz w:val="20"/>
          <w:szCs w:val="20"/>
          <w:lang w:val="en-US" w:eastAsia="en-US"/>
        </w:rPr>
        <w:t>in relation to Article 1(1)</w:t>
      </w:r>
      <w:r w:rsidR="00B5625C" w:rsidRPr="00AC57EA">
        <w:rPr>
          <w:kern w:val="2"/>
          <w:sz w:val="20"/>
          <w:szCs w:val="20"/>
          <w:lang w:val="en-US" w:eastAsia="en-US"/>
        </w:rPr>
        <w:t xml:space="preserve"> </w:t>
      </w:r>
      <w:r w:rsidR="00171E27" w:rsidRPr="00AC57EA">
        <w:rPr>
          <w:kern w:val="2"/>
          <w:sz w:val="20"/>
          <w:szCs w:val="20"/>
          <w:lang w:val="en-US" w:eastAsia="en-US"/>
        </w:rPr>
        <w:t>of this instrument</w:t>
      </w:r>
      <w:r w:rsidR="00B5625C" w:rsidRPr="00AC57EA">
        <w:rPr>
          <w:kern w:val="2"/>
          <w:sz w:val="20"/>
          <w:szCs w:val="20"/>
          <w:lang w:val="en-US" w:eastAsia="en-US"/>
        </w:rPr>
        <w:t xml:space="preserve">, </w:t>
      </w:r>
      <w:r w:rsidR="002F084B" w:rsidRPr="00AC57EA">
        <w:rPr>
          <w:kern w:val="2"/>
          <w:sz w:val="20"/>
          <w:szCs w:val="20"/>
          <w:lang w:val="en-US" w:eastAsia="en-US"/>
        </w:rPr>
        <w:t>to the detriment of</w:t>
      </w:r>
      <w:r w:rsidR="00B5625C" w:rsidRPr="00AC57EA">
        <w:rPr>
          <w:kern w:val="2"/>
          <w:sz w:val="20"/>
          <w:szCs w:val="20"/>
          <w:lang w:val="en-US" w:eastAsia="en-US"/>
        </w:rPr>
        <w:t xml:space="preserve"> V.R.P.</w:t>
      </w:r>
    </w:p>
    <w:p w14:paraId="499C440D" w14:textId="77777777" w:rsidR="00B5625C" w:rsidRPr="00AC57EA" w:rsidRDefault="00B5625C" w:rsidP="00B5625C">
      <w:pPr>
        <w:widowControl/>
        <w:adjustRightInd/>
        <w:spacing w:line="240" w:lineRule="auto"/>
        <w:textAlignment w:val="auto"/>
        <w:rPr>
          <w:b/>
          <w:kern w:val="2"/>
          <w:sz w:val="20"/>
          <w:szCs w:val="20"/>
          <w:u w:val="single"/>
          <w:lang w:val="en-US" w:eastAsia="en-US"/>
        </w:rPr>
      </w:pPr>
    </w:p>
    <w:p w14:paraId="0AEB7028" w14:textId="4217A2DB" w:rsidR="00B5625C" w:rsidRPr="00AC57EA" w:rsidRDefault="00171E27" w:rsidP="00EB5F2A">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The </w:t>
      </w:r>
      <w:r w:rsidRPr="00AC57EA">
        <w:rPr>
          <w:b/>
          <w:bCs/>
          <w:i/>
          <w:iCs/>
          <w:kern w:val="2"/>
          <w:sz w:val="20"/>
          <w:szCs w:val="20"/>
          <w:lang w:val="en-US" w:eastAsia="en-US"/>
        </w:rPr>
        <w:t>representatives</w:t>
      </w:r>
      <w:r w:rsidR="00B5625C" w:rsidRPr="00AC57EA">
        <w:rPr>
          <w:b/>
          <w:i/>
          <w:kern w:val="2"/>
          <w:sz w:val="20"/>
          <w:szCs w:val="20"/>
          <w:lang w:val="en-US" w:eastAsia="en-US"/>
        </w:rPr>
        <w:t xml:space="preserve"> </w:t>
      </w:r>
      <w:r w:rsidR="00EB5F2A" w:rsidRPr="00AC57EA">
        <w:rPr>
          <w:kern w:val="2"/>
          <w:sz w:val="20"/>
          <w:szCs w:val="20"/>
          <w:lang w:val="en-US" w:eastAsia="en-US"/>
        </w:rPr>
        <w:t>indicated that</w:t>
      </w:r>
      <w:r w:rsidR="00B5625C" w:rsidRPr="00AC57EA">
        <w:rPr>
          <w:kern w:val="2"/>
          <w:sz w:val="20"/>
          <w:szCs w:val="20"/>
          <w:lang w:val="en-US" w:eastAsia="en-US"/>
        </w:rPr>
        <w:t xml:space="preserve"> </w:t>
      </w:r>
      <w:r w:rsidR="00EC52D7" w:rsidRPr="00AC57EA">
        <w:rPr>
          <w:kern w:val="2"/>
          <w:sz w:val="20"/>
          <w:szCs w:val="20"/>
          <w:lang w:val="en-US" w:eastAsia="en-US"/>
        </w:rPr>
        <w:t>the State</w:t>
      </w:r>
      <w:r w:rsidR="00B5625C" w:rsidRPr="00AC57EA">
        <w:rPr>
          <w:kern w:val="2"/>
          <w:sz w:val="20"/>
          <w:szCs w:val="20"/>
          <w:lang w:val="en-US" w:eastAsia="en-US"/>
        </w:rPr>
        <w:t xml:space="preserve"> </w:t>
      </w:r>
      <w:r w:rsidR="00EB5F2A" w:rsidRPr="00AC57EA">
        <w:rPr>
          <w:kern w:val="2"/>
          <w:sz w:val="20"/>
          <w:szCs w:val="20"/>
          <w:lang w:val="en-US" w:eastAsia="en-US"/>
        </w:rPr>
        <w:t xml:space="preserve">had been unable to respond effectively to </w:t>
      </w:r>
      <w:r w:rsidR="00EC52D7" w:rsidRPr="00AC57EA">
        <w:rPr>
          <w:kern w:val="2"/>
          <w:sz w:val="20"/>
          <w:szCs w:val="20"/>
          <w:lang w:val="en-US" w:eastAsia="en-US"/>
        </w:rPr>
        <w:t>the presumed victim</w:t>
      </w:r>
      <w:r w:rsidR="00B5625C" w:rsidRPr="00AC57EA">
        <w:rPr>
          <w:kern w:val="2"/>
          <w:sz w:val="20"/>
          <w:szCs w:val="20"/>
          <w:lang w:val="en-US" w:eastAsia="en-US"/>
        </w:rPr>
        <w:t>.</w:t>
      </w:r>
      <w:r w:rsidR="00EB5F2A" w:rsidRPr="00AC57EA">
        <w:rPr>
          <w:kern w:val="2"/>
          <w:sz w:val="20"/>
          <w:szCs w:val="20"/>
          <w:lang w:val="en-US" w:eastAsia="en-US"/>
        </w:rPr>
        <w:t xml:space="preserve"> They argued that the State had directly violated the child’s personal integrity because it had exposed her to an unnecessary and unwise revictimization by performing a medical assessment of her body in the presence of several people, even some who were no involved in the investigation, thus infringing V.R.P.’s dignity and privacy, and </w:t>
      </w:r>
      <w:r w:rsidR="005A5EC1" w:rsidRPr="00AC57EA">
        <w:rPr>
          <w:kern w:val="2"/>
          <w:sz w:val="20"/>
          <w:szCs w:val="20"/>
          <w:lang w:val="en-US" w:eastAsia="en-US"/>
        </w:rPr>
        <w:t>employin</w:t>
      </w:r>
      <w:r w:rsidR="00EB5F2A" w:rsidRPr="00AC57EA">
        <w:rPr>
          <w:kern w:val="2"/>
          <w:sz w:val="20"/>
          <w:szCs w:val="20"/>
          <w:lang w:val="en-US" w:eastAsia="en-US"/>
        </w:rPr>
        <w:t>g mental and moral violence. According to</w:t>
      </w:r>
      <w:r w:rsidR="00B5625C" w:rsidRPr="00AC57EA">
        <w:rPr>
          <w:kern w:val="2"/>
          <w:sz w:val="20"/>
          <w:szCs w:val="20"/>
          <w:lang w:val="en-US" w:eastAsia="en-US"/>
        </w:rPr>
        <w:t xml:space="preserve"> </w:t>
      </w:r>
      <w:r w:rsidRPr="00AC57EA">
        <w:rPr>
          <w:kern w:val="2"/>
          <w:sz w:val="20"/>
          <w:szCs w:val="20"/>
          <w:lang w:val="en-US" w:eastAsia="en-US"/>
        </w:rPr>
        <w:t>the representatives</w:t>
      </w:r>
      <w:r w:rsidR="00B5625C" w:rsidRPr="00AC57EA">
        <w:rPr>
          <w:kern w:val="2"/>
          <w:sz w:val="20"/>
          <w:szCs w:val="20"/>
          <w:lang w:val="en-US" w:eastAsia="en-US"/>
        </w:rPr>
        <w:t>, V.P.C.</w:t>
      </w:r>
      <w:r w:rsidR="00EB5F2A" w:rsidRPr="00AC57EA">
        <w:rPr>
          <w:kern w:val="2"/>
          <w:sz w:val="20"/>
          <w:szCs w:val="20"/>
          <w:lang w:val="en-US" w:eastAsia="en-US"/>
        </w:rPr>
        <w:t xml:space="preserve"> had not requested the medical team </w:t>
      </w:r>
      <w:r w:rsidR="005A5EC1" w:rsidRPr="00AC57EA">
        <w:rPr>
          <w:kern w:val="2"/>
          <w:sz w:val="20"/>
          <w:szCs w:val="20"/>
          <w:lang w:val="en-US" w:eastAsia="en-US"/>
        </w:rPr>
        <w:t>created</w:t>
      </w:r>
      <w:r w:rsidR="00EB5F2A" w:rsidRPr="00AC57EA">
        <w:rPr>
          <w:kern w:val="2"/>
          <w:sz w:val="20"/>
          <w:szCs w:val="20"/>
          <w:lang w:val="en-US" w:eastAsia="en-US"/>
        </w:rPr>
        <w:t xml:space="preserve"> for the first medical examination, rather it was the judge in charge of the case who had requested this. The representatives also indicated that the judge of the case also revictimized V.R.P. during the procedure to reconstruct the </w:t>
      </w:r>
      <w:r w:rsidR="005A5EC1" w:rsidRPr="00AC57EA">
        <w:rPr>
          <w:kern w:val="2"/>
          <w:sz w:val="20"/>
          <w:szCs w:val="20"/>
          <w:lang w:val="en-US" w:eastAsia="en-US"/>
        </w:rPr>
        <w:t>even</w:t>
      </w:r>
      <w:r w:rsidR="00EB5F2A" w:rsidRPr="00AC57EA">
        <w:rPr>
          <w:kern w:val="2"/>
          <w:sz w:val="20"/>
          <w:szCs w:val="20"/>
          <w:lang w:val="en-US" w:eastAsia="en-US"/>
        </w:rPr>
        <w:t xml:space="preserve">ts, because she asked </w:t>
      </w:r>
      <w:r w:rsidR="005A5EC1" w:rsidRPr="00AC57EA">
        <w:rPr>
          <w:kern w:val="2"/>
          <w:sz w:val="20"/>
          <w:szCs w:val="20"/>
          <w:lang w:val="en-US" w:eastAsia="en-US"/>
        </w:rPr>
        <w:t>V.R.P.</w:t>
      </w:r>
      <w:r w:rsidR="00EB5F2A" w:rsidRPr="00AC57EA">
        <w:rPr>
          <w:kern w:val="2"/>
          <w:sz w:val="20"/>
          <w:szCs w:val="20"/>
          <w:lang w:val="en-US" w:eastAsia="en-US"/>
        </w:rPr>
        <w:t xml:space="preserve"> to place herself in the position in which she was raped and recreated the child’s traumatic experience. They added that, even though the mother had requested this procedure, it was incumbent on the State to determine the most protective measures that could be adopted, and that the implementation of the procedure could not be considered V.P.C.’s responsibility. The representatives underlined </w:t>
      </w:r>
      <w:r w:rsidR="00683808" w:rsidRPr="00AC57EA">
        <w:rPr>
          <w:kern w:val="2"/>
          <w:sz w:val="20"/>
          <w:szCs w:val="20"/>
          <w:lang w:val="en-US" w:eastAsia="en-US"/>
        </w:rPr>
        <w:t>that the both</w:t>
      </w:r>
      <w:r w:rsidR="0045213C" w:rsidRPr="00AC57EA">
        <w:rPr>
          <w:kern w:val="2"/>
          <w:sz w:val="20"/>
          <w:szCs w:val="20"/>
          <w:lang w:val="en-US" w:eastAsia="en-US"/>
        </w:rPr>
        <w:t xml:space="preserve"> </w:t>
      </w:r>
      <w:r w:rsidR="00246365" w:rsidRPr="00AC57EA">
        <w:rPr>
          <w:kern w:val="2"/>
          <w:sz w:val="20"/>
          <w:szCs w:val="20"/>
          <w:lang w:val="en-US" w:eastAsia="en-US"/>
        </w:rPr>
        <w:t>forensic physician</w:t>
      </w:r>
      <w:r w:rsidRPr="00AC57EA">
        <w:rPr>
          <w:kern w:val="2"/>
          <w:sz w:val="20"/>
          <w:szCs w:val="20"/>
          <w:lang w:val="en-US" w:eastAsia="en-US"/>
        </w:rPr>
        <w:t xml:space="preserve"> and </w:t>
      </w:r>
      <w:r w:rsidR="00EB5F2A" w:rsidRPr="00AC57EA">
        <w:rPr>
          <w:kern w:val="2"/>
          <w:sz w:val="20"/>
          <w:szCs w:val="20"/>
          <w:lang w:val="en-US" w:eastAsia="en-US"/>
        </w:rPr>
        <w:t xml:space="preserve">the judge </w:t>
      </w:r>
      <w:r w:rsidR="00683808" w:rsidRPr="00AC57EA">
        <w:rPr>
          <w:kern w:val="2"/>
          <w:sz w:val="20"/>
          <w:szCs w:val="20"/>
          <w:lang w:val="en-US" w:eastAsia="en-US"/>
        </w:rPr>
        <w:t>were unqualified to participate in</w:t>
      </w:r>
      <w:r w:rsidR="00EB5F2A" w:rsidRPr="00AC57EA">
        <w:rPr>
          <w:kern w:val="2"/>
          <w:sz w:val="20"/>
          <w:szCs w:val="20"/>
          <w:lang w:val="en-US" w:eastAsia="en-US"/>
        </w:rPr>
        <w:t xml:space="preserve"> cases such as this one, because they </w:t>
      </w:r>
      <w:r w:rsidR="00683808" w:rsidRPr="00AC57EA">
        <w:rPr>
          <w:kern w:val="2"/>
          <w:sz w:val="20"/>
          <w:szCs w:val="20"/>
          <w:lang w:val="en-US" w:eastAsia="en-US"/>
        </w:rPr>
        <w:t>failed to provide</w:t>
      </w:r>
      <w:r w:rsidR="00EB5F2A" w:rsidRPr="00AC57EA">
        <w:rPr>
          <w:kern w:val="2"/>
          <w:sz w:val="20"/>
          <w:szCs w:val="20"/>
          <w:lang w:val="en-US" w:eastAsia="en-US"/>
        </w:rPr>
        <w:t xml:space="preserve"> treatment that was appropriate to </w:t>
      </w:r>
      <w:r w:rsidR="00683808" w:rsidRPr="00AC57EA">
        <w:rPr>
          <w:kern w:val="2"/>
          <w:sz w:val="20"/>
          <w:szCs w:val="20"/>
          <w:lang w:val="en-US" w:eastAsia="en-US"/>
        </w:rPr>
        <w:t>the victim’s</w:t>
      </w:r>
      <w:r w:rsidR="00EB5F2A" w:rsidRPr="00AC57EA">
        <w:rPr>
          <w:kern w:val="2"/>
          <w:sz w:val="20"/>
          <w:szCs w:val="20"/>
          <w:lang w:val="en-US" w:eastAsia="en-US"/>
        </w:rPr>
        <w:t xml:space="preserve"> condition, based on the best interest</w:t>
      </w:r>
      <w:r w:rsidR="00683808" w:rsidRPr="00AC57EA">
        <w:rPr>
          <w:kern w:val="2"/>
          <w:sz w:val="20"/>
          <w:szCs w:val="20"/>
          <w:lang w:val="en-US" w:eastAsia="en-US"/>
        </w:rPr>
        <w:t>s</w:t>
      </w:r>
      <w:r w:rsidR="00EB5F2A" w:rsidRPr="00AC57EA">
        <w:rPr>
          <w:kern w:val="2"/>
          <w:sz w:val="20"/>
          <w:szCs w:val="20"/>
          <w:lang w:val="en-US" w:eastAsia="en-US"/>
        </w:rPr>
        <w:t xml:space="preserve"> of the child. According to the representatives, the actions of the physician and the judge subject</w:t>
      </w:r>
      <w:r w:rsidR="00683808" w:rsidRPr="00AC57EA">
        <w:rPr>
          <w:kern w:val="2"/>
          <w:sz w:val="20"/>
          <w:szCs w:val="20"/>
          <w:lang w:val="en-US" w:eastAsia="en-US"/>
        </w:rPr>
        <w:t>ed</w:t>
      </w:r>
      <w:r w:rsidR="00EB5F2A" w:rsidRPr="00AC57EA">
        <w:rPr>
          <w:kern w:val="2"/>
          <w:sz w:val="20"/>
          <w:szCs w:val="20"/>
          <w:lang w:val="en-US" w:eastAsia="en-US"/>
        </w:rPr>
        <w:t xml:space="preserve"> V.R.P. to acts of violence a second time, without the State having adopted special measures of protection and assistance based on her condition as a </w:t>
      </w:r>
      <w:r w:rsidR="003C0AC1" w:rsidRPr="00AC57EA">
        <w:rPr>
          <w:kern w:val="2"/>
          <w:sz w:val="20"/>
          <w:szCs w:val="20"/>
          <w:lang w:val="en-US" w:eastAsia="en-US"/>
        </w:rPr>
        <w:t>female child</w:t>
      </w:r>
      <w:r w:rsidR="00EB5F2A" w:rsidRPr="00AC57EA">
        <w:rPr>
          <w:kern w:val="2"/>
          <w:sz w:val="20"/>
          <w:szCs w:val="20"/>
          <w:lang w:val="en-US" w:eastAsia="en-US"/>
        </w:rPr>
        <w:t xml:space="preserve">, making her the victim of </w:t>
      </w:r>
      <w:r w:rsidR="00683808" w:rsidRPr="00AC57EA">
        <w:rPr>
          <w:kern w:val="2"/>
          <w:sz w:val="20"/>
          <w:szCs w:val="20"/>
          <w:lang w:val="en-US" w:eastAsia="en-US"/>
        </w:rPr>
        <w:t>violence a second time</w:t>
      </w:r>
      <w:r w:rsidR="005E306E" w:rsidRPr="00AC57EA">
        <w:rPr>
          <w:kern w:val="2"/>
          <w:sz w:val="20"/>
          <w:szCs w:val="20"/>
          <w:lang w:val="en-US" w:eastAsia="en-US"/>
        </w:rPr>
        <w:t xml:space="preserve">, </w:t>
      </w:r>
      <w:r w:rsidR="00683808" w:rsidRPr="00AC57EA">
        <w:rPr>
          <w:kern w:val="2"/>
          <w:sz w:val="20"/>
          <w:szCs w:val="20"/>
          <w:lang w:val="en-US" w:eastAsia="en-US"/>
        </w:rPr>
        <w:t>and this</w:t>
      </w:r>
      <w:r w:rsidR="005E306E" w:rsidRPr="00AC57EA">
        <w:rPr>
          <w:kern w:val="2"/>
          <w:sz w:val="20"/>
          <w:szCs w:val="20"/>
          <w:lang w:val="en-US" w:eastAsia="en-US"/>
        </w:rPr>
        <w:t xml:space="preserve"> also constituted institutional violence. They considered that the State had not ensured the best interest</w:t>
      </w:r>
      <w:r w:rsidR="00683808" w:rsidRPr="00AC57EA">
        <w:rPr>
          <w:kern w:val="2"/>
          <w:sz w:val="20"/>
          <w:szCs w:val="20"/>
          <w:lang w:val="en-US" w:eastAsia="en-US"/>
        </w:rPr>
        <w:t>s</w:t>
      </w:r>
      <w:r w:rsidR="005E306E" w:rsidRPr="00AC57EA">
        <w:rPr>
          <w:kern w:val="2"/>
          <w:sz w:val="20"/>
          <w:szCs w:val="20"/>
          <w:lang w:val="en-US" w:eastAsia="en-US"/>
        </w:rPr>
        <w:t xml:space="preserve"> of the child or endeavored to protect V.R.P. </w:t>
      </w:r>
      <w:r w:rsidR="00683808" w:rsidRPr="00AC57EA">
        <w:rPr>
          <w:kern w:val="2"/>
          <w:sz w:val="20"/>
          <w:szCs w:val="20"/>
          <w:lang w:val="en-US" w:eastAsia="en-US"/>
        </w:rPr>
        <w:t xml:space="preserve">in order </w:t>
      </w:r>
      <w:r w:rsidR="005E306E" w:rsidRPr="00AC57EA">
        <w:rPr>
          <w:kern w:val="2"/>
          <w:sz w:val="20"/>
          <w:szCs w:val="20"/>
          <w:lang w:val="en-US" w:eastAsia="en-US"/>
        </w:rPr>
        <w:t xml:space="preserve">to safeguard her subsequent development, including the care required for both her physical health (as a result of the </w:t>
      </w:r>
      <w:r w:rsidR="005E306E" w:rsidRPr="00AC57EA">
        <w:rPr>
          <w:sz w:val="20"/>
          <w:szCs w:val="20"/>
          <w:lang w:val="en-US"/>
        </w:rPr>
        <w:t xml:space="preserve">human papillomavirus and </w:t>
      </w:r>
      <w:r w:rsidR="00683808" w:rsidRPr="00AC57EA">
        <w:rPr>
          <w:sz w:val="20"/>
          <w:szCs w:val="20"/>
          <w:lang w:val="en-US"/>
        </w:rPr>
        <w:t>other injuries</w:t>
      </w:r>
      <w:r w:rsidR="005E306E" w:rsidRPr="00AC57EA">
        <w:rPr>
          <w:sz w:val="20"/>
          <w:szCs w:val="20"/>
          <w:lang w:val="en-US"/>
        </w:rPr>
        <w:t xml:space="preserve">) and her mental health; rather, the State had </w:t>
      </w:r>
      <w:r w:rsidR="00683808" w:rsidRPr="00AC57EA">
        <w:rPr>
          <w:sz w:val="20"/>
          <w:szCs w:val="20"/>
          <w:lang w:val="en-US"/>
        </w:rPr>
        <w:t>increased</w:t>
      </w:r>
      <w:r w:rsidR="005E306E" w:rsidRPr="00AC57EA">
        <w:rPr>
          <w:sz w:val="20"/>
          <w:szCs w:val="20"/>
          <w:lang w:val="en-US"/>
        </w:rPr>
        <w:t xml:space="preserve"> the child’s trauma in violation of its obligation to provide </w:t>
      </w:r>
      <w:r w:rsidR="00ED058B" w:rsidRPr="00AC57EA">
        <w:rPr>
          <w:sz w:val="20"/>
          <w:szCs w:val="20"/>
          <w:lang w:val="en-US"/>
        </w:rPr>
        <w:t>enhanced protection</w:t>
      </w:r>
      <w:r w:rsidR="005E306E" w:rsidRPr="00AC57EA">
        <w:rPr>
          <w:sz w:val="20"/>
          <w:szCs w:val="20"/>
          <w:lang w:val="en-US"/>
        </w:rPr>
        <w:t xml:space="preserve">. Based on these arguments, </w:t>
      </w:r>
      <w:r w:rsidRPr="00AC57EA">
        <w:rPr>
          <w:kern w:val="2"/>
          <w:sz w:val="20"/>
          <w:szCs w:val="20"/>
          <w:lang w:val="en-US" w:eastAsia="en-US"/>
        </w:rPr>
        <w:t>the representatives</w:t>
      </w:r>
      <w:r w:rsidR="00B5625C" w:rsidRPr="00AC57EA">
        <w:rPr>
          <w:kern w:val="2"/>
          <w:sz w:val="20"/>
          <w:szCs w:val="20"/>
          <w:lang w:val="en-US" w:eastAsia="en-US"/>
        </w:rPr>
        <w:t xml:space="preserve"> </w:t>
      </w:r>
      <w:r w:rsidR="002F084B" w:rsidRPr="00AC57EA">
        <w:rPr>
          <w:kern w:val="2"/>
          <w:sz w:val="20"/>
          <w:szCs w:val="20"/>
          <w:lang w:val="en-US" w:eastAsia="en-US"/>
        </w:rPr>
        <w:t>concluded that</w:t>
      </w:r>
      <w:r w:rsidR="00B5625C" w:rsidRPr="00AC57EA">
        <w:rPr>
          <w:kern w:val="2"/>
          <w:sz w:val="20"/>
          <w:szCs w:val="20"/>
          <w:lang w:val="en-US" w:eastAsia="en-US"/>
        </w:rPr>
        <w:t xml:space="preserve"> </w:t>
      </w:r>
      <w:r w:rsidR="00EC52D7" w:rsidRPr="00AC57EA">
        <w:rPr>
          <w:kern w:val="2"/>
          <w:sz w:val="20"/>
          <w:szCs w:val="20"/>
          <w:lang w:val="en-US" w:eastAsia="en-US"/>
        </w:rPr>
        <w:t>the State</w:t>
      </w:r>
      <w:r w:rsidR="00B5625C" w:rsidRPr="00AC57EA">
        <w:rPr>
          <w:kern w:val="2"/>
          <w:sz w:val="20"/>
          <w:szCs w:val="20"/>
          <w:lang w:val="en-US" w:eastAsia="en-US"/>
        </w:rPr>
        <w:t xml:space="preserve"> </w:t>
      </w:r>
      <w:r w:rsidR="002F084B" w:rsidRPr="00AC57EA">
        <w:rPr>
          <w:kern w:val="2"/>
          <w:sz w:val="20"/>
          <w:szCs w:val="20"/>
          <w:lang w:val="en-US" w:eastAsia="en-US"/>
        </w:rPr>
        <w:t>had violated</w:t>
      </w:r>
      <w:r w:rsidR="00B5625C" w:rsidRPr="00AC57EA">
        <w:rPr>
          <w:kern w:val="2"/>
          <w:sz w:val="20"/>
          <w:szCs w:val="20"/>
          <w:lang w:val="en-US" w:eastAsia="en-US"/>
        </w:rPr>
        <w:t xml:space="preserve"> </w:t>
      </w:r>
      <w:r w:rsidRPr="00AC57EA">
        <w:rPr>
          <w:kern w:val="2"/>
          <w:sz w:val="20"/>
          <w:szCs w:val="20"/>
          <w:lang w:val="en-US" w:eastAsia="en-US"/>
        </w:rPr>
        <w:t>Articles 1(1)</w:t>
      </w:r>
      <w:r w:rsidR="00B5625C" w:rsidRPr="00AC57EA">
        <w:rPr>
          <w:kern w:val="2"/>
          <w:sz w:val="20"/>
          <w:szCs w:val="20"/>
          <w:lang w:val="en-US" w:eastAsia="en-US"/>
        </w:rPr>
        <w:t xml:space="preserve">, </w:t>
      </w:r>
      <w:r w:rsidRPr="00AC57EA">
        <w:rPr>
          <w:kern w:val="2"/>
          <w:sz w:val="20"/>
          <w:szCs w:val="20"/>
          <w:lang w:val="en-US" w:eastAsia="en-US"/>
        </w:rPr>
        <w:t>5(1)</w:t>
      </w:r>
      <w:r w:rsidR="00B5625C" w:rsidRPr="00AC57EA">
        <w:rPr>
          <w:kern w:val="2"/>
          <w:sz w:val="20"/>
          <w:szCs w:val="20"/>
          <w:lang w:val="en-US" w:eastAsia="en-US"/>
        </w:rPr>
        <w:t>,</w:t>
      </w:r>
      <w:r w:rsidR="002E2D2E" w:rsidRPr="00AC57EA">
        <w:rPr>
          <w:kern w:val="2"/>
          <w:sz w:val="20"/>
          <w:szCs w:val="20"/>
          <w:lang w:val="en-US" w:eastAsia="en-US"/>
        </w:rPr>
        <w:t xml:space="preserve"> 11,</w:t>
      </w:r>
      <w:r w:rsidR="00B5625C" w:rsidRPr="00AC57EA">
        <w:rPr>
          <w:kern w:val="2"/>
          <w:sz w:val="20"/>
          <w:szCs w:val="20"/>
          <w:lang w:val="en-US" w:eastAsia="en-US"/>
        </w:rPr>
        <w:t xml:space="preserve"> 19</w:t>
      </w:r>
      <w:r w:rsidRPr="00AC57EA">
        <w:rPr>
          <w:kern w:val="2"/>
          <w:sz w:val="20"/>
          <w:szCs w:val="20"/>
          <w:lang w:val="en-US" w:eastAsia="en-US"/>
        </w:rPr>
        <w:t xml:space="preserve"> and </w:t>
      </w:r>
      <w:r w:rsidR="00B5625C" w:rsidRPr="00AC57EA">
        <w:rPr>
          <w:kern w:val="2"/>
          <w:sz w:val="20"/>
          <w:szCs w:val="20"/>
          <w:lang w:val="en-US" w:eastAsia="en-US"/>
        </w:rPr>
        <w:t>24</w:t>
      </w:r>
      <w:r w:rsidR="00B7258C" w:rsidRPr="00AC57EA">
        <w:rPr>
          <w:kern w:val="2"/>
          <w:sz w:val="20"/>
          <w:szCs w:val="20"/>
          <w:lang w:val="en-US" w:eastAsia="en-US"/>
        </w:rPr>
        <w:t xml:space="preserve"> of the American Convention</w:t>
      </w:r>
      <w:r w:rsidR="00B5625C" w:rsidRPr="00AC57EA">
        <w:rPr>
          <w:kern w:val="2"/>
          <w:sz w:val="20"/>
          <w:szCs w:val="20"/>
          <w:lang w:val="en-US" w:eastAsia="en-US"/>
        </w:rPr>
        <w:t xml:space="preserve">, </w:t>
      </w:r>
      <w:r w:rsidR="002F084B" w:rsidRPr="00AC57EA">
        <w:rPr>
          <w:kern w:val="2"/>
          <w:sz w:val="20"/>
          <w:szCs w:val="20"/>
          <w:lang w:val="en-US" w:eastAsia="en-US"/>
        </w:rPr>
        <w:t>as well as</w:t>
      </w:r>
      <w:r w:rsidR="00B5625C" w:rsidRPr="00AC57EA">
        <w:rPr>
          <w:kern w:val="2"/>
          <w:sz w:val="20"/>
          <w:szCs w:val="20"/>
          <w:lang w:val="en-US" w:eastAsia="en-US"/>
        </w:rPr>
        <w:t xml:space="preserve"> </w:t>
      </w:r>
      <w:r w:rsidR="00B7258C" w:rsidRPr="00AC57EA">
        <w:rPr>
          <w:kern w:val="2"/>
          <w:sz w:val="20"/>
          <w:szCs w:val="20"/>
          <w:lang w:val="en-US" w:eastAsia="en-US"/>
        </w:rPr>
        <w:t>Article</w:t>
      </w:r>
      <w:r w:rsidR="00B5625C" w:rsidRPr="00AC57EA">
        <w:rPr>
          <w:kern w:val="2"/>
          <w:sz w:val="20"/>
          <w:szCs w:val="20"/>
          <w:lang w:val="en-US" w:eastAsia="en-US"/>
        </w:rPr>
        <w:t xml:space="preserve"> </w:t>
      </w:r>
      <w:r w:rsidR="007D5AA2" w:rsidRPr="00AC57EA">
        <w:rPr>
          <w:kern w:val="2"/>
          <w:sz w:val="20"/>
          <w:szCs w:val="20"/>
          <w:lang w:val="en-US" w:eastAsia="en-US"/>
        </w:rPr>
        <w:t>7(b)</w:t>
      </w:r>
      <w:r w:rsidR="00B7258C" w:rsidRPr="00AC57EA">
        <w:rPr>
          <w:kern w:val="2"/>
          <w:sz w:val="20"/>
          <w:szCs w:val="20"/>
          <w:lang w:val="en-US" w:eastAsia="en-US"/>
        </w:rPr>
        <w:t xml:space="preserve"> of the </w:t>
      </w:r>
      <w:r w:rsidRPr="00AC57EA">
        <w:rPr>
          <w:kern w:val="2"/>
          <w:sz w:val="20"/>
          <w:szCs w:val="20"/>
          <w:lang w:val="en-US" w:eastAsia="en-US"/>
        </w:rPr>
        <w:t>Convention of Belém</w:t>
      </w:r>
      <w:r w:rsidR="00B5625C" w:rsidRPr="00AC57EA">
        <w:rPr>
          <w:kern w:val="2"/>
          <w:sz w:val="20"/>
          <w:szCs w:val="20"/>
          <w:lang w:val="en-US" w:eastAsia="en-US"/>
        </w:rPr>
        <w:t xml:space="preserve"> do Pará.</w:t>
      </w:r>
    </w:p>
    <w:p w14:paraId="053A6250" w14:textId="77777777" w:rsidR="00B5625C" w:rsidRPr="00AC57EA" w:rsidRDefault="00B5625C" w:rsidP="00B5625C">
      <w:pPr>
        <w:widowControl/>
        <w:adjustRightInd/>
        <w:spacing w:line="240" w:lineRule="auto"/>
        <w:textAlignment w:val="auto"/>
        <w:rPr>
          <w:b/>
          <w:i/>
          <w:kern w:val="2"/>
          <w:sz w:val="20"/>
          <w:szCs w:val="20"/>
          <w:u w:val="single"/>
          <w:lang w:val="en-US" w:eastAsia="en-US"/>
        </w:rPr>
      </w:pPr>
    </w:p>
    <w:p w14:paraId="6D9EA201" w14:textId="31FFCC23" w:rsidR="00B5625C" w:rsidRPr="00AC57EA" w:rsidRDefault="00EC52D7" w:rsidP="00B5625C">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 xml:space="preserve">The </w:t>
      </w:r>
      <w:r w:rsidRPr="00AC57EA">
        <w:rPr>
          <w:b/>
          <w:bCs/>
          <w:i/>
          <w:iCs/>
          <w:kern w:val="2"/>
          <w:sz w:val="20"/>
          <w:szCs w:val="20"/>
          <w:lang w:val="en-US" w:eastAsia="en-US"/>
        </w:rPr>
        <w:t>State</w:t>
      </w:r>
      <w:r w:rsidRPr="00AC57EA">
        <w:rPr>
          <w:kern w:val="2"/>
          <w:sz w:val="20"/>
          <w:szCs w:val="20"/>
          <w:lang w:val="en-US" w:eastAsia="en-US"/>
        </w:rPr>
        <w:t xml:space="preserve"> </w:t>
      </w:r>
      <w:r w:rsidR="002F084B" w:rsidRPr="00AC57EA">
        <w:rPr>
          <w:kern w:val="2"/>
          <w:sz w:val="20"/>
          <w:szCs w:val="20"/>
          <w:lang w:val="en-US" w:eastAsia="en-US"/>
        </w:rPr>
        <w:t>underlined that the rape of</w:t>
      </w:r>
      <w:r w:rsidR="00B5625C" w:rsidRPr="00AC57EA">
        <w:rPr>
          <w:kern w:val="2"/>
          <w:sz w:val="20"/>
          <w:szCs w:val="20"/>
          <w:lang w:val="en-US" w:eastAsia="en-US"/>
        </w:rPr>
        <w:t xml:space="preserve"> V.R.P. </w:t>
      </w:r>
      <w:r w:rsidR="002F084B" w:rsidRPr="00AC57EA">
        <w:rPr>
          <w:kern w:val="2"/>
          <w:sz w:val="20"/>
          <w:szCs w:val="20"/>
          <w:lang w:val="en-US" w:eastAsia="en-US"/>
        </w:rPr>
        <w:t>was not committed by a state agent or by someone acting with the State’s acquiescence and that</w:t>
      </w:r>
      <w:r w:rsidR="00683808" w:rsidRPr="00AC57EA">
        <w:rPr>
          <w:kern w:val="2"/>
          <w:sz w:val="20"/>
          <w:szCs w:val="20"/>
          <w:lang w:val="en-US" w:eastAsia="en-US"/>
        </w:rPr>
        <w:t>,</w:t>
      </w:r>
      <w:r w:rsidR="002F084B" w:rsidRPr="00AC57EA">
        <w:rPr>
          <w:kern w:val="2"/>
          <w:sz w:val="20"/>
          <w:szCs w:val="20"/>
          <w:lang w:val="en-US" w:eastAsia="en-US"/>
        </w:rPr>
        <w:t xml:space="preserve"> since the obligation to investigate was of means and not of results, the judicial authority had conducted a diligent and effective investigation. </w:t>
      </w:r>
      <w:r w:rsidR="002F084B" w:rsidRPr="00AC57EA">
        <w:rPr>
          <w:kern w:val="2"/>
          <w:sz w:val="20"/>
          <w:szCs w:val="20"/>
          <w:lang w:val="en-US" w:eastAsia="en-US"/>
        </w:rPr>
        <w:lastRenderedPageBreak/>
        <w:t xml:space="preserve">Regarding the medical examinations performed during the criminal proceedings and the revictimization, it indicated that </w:t>
      </w:r>
      <w:r w:rsidR="005E306E" w:rsidRPr="00AC57EA">
        <w:rPr>
          <w:kern w:val="2"/>
          <w:sz w:val="20"/>
          <w:szCs w:val="20"/>
          <w:lang w:val="en-US" w:eastAsia="en-US"/>
        </w:rPr>
        <w:t>the phrases that the forensic physician had</w:t>
      </w:r>
      <w:r w:rsidR="00683808" w:rsidRPr="00AC57EA">
        <w:rPr>
          <w:kern w:val="2"/>
          <w:sz w:val="20"/>
          <w:szCs w:val="20"/>
          <w:lang w:val="en-US" w:eastAsia="en-US"/>
        </w:rPr>
        <w:t xml:space="preserve"> allegedly</w:t>
      </w:r>
      <w:r w:rsidR="005E306E" w:rsidRPr="00AC57EA">
        <w:rPr>
          <w:kern w:val="2"/>
          <w:sz w:val="20"/>
          <w:szCs w:val="20"/>
          <w:lang w:val="en-US" w:eastAsia="en-US"/>
        </w:rPr>
        <w:t xml:space="preserve"> uttered against the child during his evaluation did not appear in the file of the proceedings, or in V.P.C.’s communications addressed to the Director of the Victoria Motta Hospital, or in the file of the complaint against this physician. The State considered that no </w:t>
      </w:r>
      <w:r w:rsidR="00683808" w:rsidRPr="00AC57EA">
        <w:rPr>
          <w:kern w:val="2"/>
          <w:sz w:val="20"/>
          <w:szCs w:val="20"/>
          <w:lang w:val="en-US" w:eastAsia="en-US"/>
        </w:rPr>
        <w:t>documents</w:t>
      </w:r>
      <w:r w:rsidR="005E306E" w:rsidRPr="00AC57EA">
        <w:rPr>
          <w:kern w:val="2"/>
          <w:sz w:val="20"/>
          <w:szCs w:val="20"/>
          <w:lang w:val="en-US" w:eastAsia="en-US"/>
        </w:rPr>
        <w:t xml:space="preserve"> </w:t>
      </w:r>
      <w:r w:rsidR="00683808" w:rsidRPr="00AC57EA">
        <w:rPr>
          <w:kern w:val="2"/>
          <w:sz w:val="20"/>
          <w:szCs w:val="20"/>
          <w:lang w:val="en-US" w:eastAsia="en-US"/>
        </w:rPr>
        <w:t xml:space="preserve">existed </w:t>
      </w:r>
      <w:r w:rsidR="0051012C" w:rsidRPr="00AC57EA">
        <w:rPr>
          <w:kern w:val="2"/>
          <w:sz w:val="20"/>
          <w:szCs w:val="20"/>
          <w:lang w:val="en-US" w:eastAsia="en-US"/>
        </w:rPr>
        <w:t>i</w:t>
      </w:r>
      <w:r w:rsidR="005E306E" w:rsidRPr="00AC57EA">
        <w:rPr>
          <w:kern w:val="2"/>
          <w:sz w:val="20"/>
          <w:szCs w:val="20"/>
          <w:lang w:val="en-US" w:eastAsia="en-US"/>
        </w:rPr>
        <w:t>ndicat</w:t>
      </w:r>
      <w:r w:rsidR="0051012C" w:rsidRPr="00AC57EA">
        <w:rPr>
          <w:kern w:val="2"/>
          <w:sz w:val="20"/>
          <w:szCs w:val="20"/>
          <w:lang w:val="en-US" w:eastAsia="en-US"/>
        </w:rPr>
        <w:t>ing</w:t>
      </w:r>
      <w:r w:rsidR="005E306E" w:rsidRPr="00AC57EA">
        <w:rPr>
          <w:kern w:val="2"/>
          <w:sz w:val="20"/>
          <w:szCs w:val="20"/>
          <w:lang w:val="en-US" w:eastAsia="en-US"/>
        </w:rPr>
        <w:t xml:space="preserve"> that the physician</w:t>
      </w:r>
      <w:r w:rsidR="00683808" w:rsidRPr="00AC57EA">
        <w:rPr>
          <w:kern w:val="2"/>
          <w:sz w:val="20"/>
          <w:szCs w:val="20"/>
          <w:lang w:val="en-US" w:eastAsia="en-US"/>
        </w:rPr>
        <w:t xml:space="preserve"> had uttered these expressions</w:t>
      </w:r>
      <w:r w:rsidR="005E306E" w:rsidRPr="00AC57EA">
        <w:rPr>
          <w:kern w:val="2"/>
          <w:sz w:val="20"/>
          <w:szCs w:val="20"/>
          <w:lang w:val="en-US" w:eastAsia="en-US"/>
        </w:rPr>
        <w:t xml:space="preserve">, and the State found it “concerning” that undocumented statements were brought up many years later. The State asserted that V.R.P.’s reluctance to be examined was not due to the actions of the forensic physician, but to the traumatic situation </w:t>
      </w:r>
      <w:r w:rsidR="0051012C" w:rsidRPr="00AC57EA">
        <w:rPr>
          <w:kern w:val="2"/>
          <w:sz w:val="20"/>
          <w:szCs w:val="20"/>
          <w:lang w:val="en-US" w:eastAsia="en-US"/>
        </w:rPr>
        <w:t xml:space="preserve">she had </w:t>
      </w:r>
      <w:r w:rsidR="005E306E" w:rsidRPr="00AC57EA">
        <w:rPr>
          <w:kern w:val="2"/>
          <w:sz w:val="20"/>
          <w:szCs w:val="20"/>
          <w:lang w:val="en-US" w:eastAsia="en-US"/>
        </w:rPr>
        <w:t xml:space="preserve">experienced, which could be corroborated by the testimony of the first two doctors who had evaluated her privately. </w:t>
      </w:r>
      <w:r w:rsidR="003561C4" w:rsidRPr="00AC57EA">
        <w:rPr>
          <w:kern w:val="2"/>
          <w:sz w:val="20"/>
          <w:szCs w:val="20"/>
          <w:lang w:val="en-US" w:eastAsia="en-US"/>
        </w:rPr>
        <w:t xml:space="preserve">The State also argued that the experts </w:t>
      </w:r>
      <w:r w:rsidR="0051012C" w:rsidRPr="00AC57EA">
        <w:rPr>
          <w:kern w:val="2"/>
          <w:sz w:val="20"/>
          <w:szCs w:val="20"/>
          <w:lang w:val="en-US" w:eastAsia="en-US"/>
        </w:rPr>
        <w:t>requested by</w:t>
      </w:r>
      <w:r w:rsidR="003561C4" w:rsidRPr="00AC57EA">
        <w:rPr>
          <w:kern w:val="2"/>
          <w:sz w:val="20"/>
          <w:szCs w:val="20"/>
          <w:lang w:val="en-US" w:eastAsia="en-US"/>
        </w:rPr>
        <w:t xml:space="preserve"> the child’s mother were present during the forensic medical evaluation. Regarding the suitability, independence and impartiality of the medical personnel who performed this procedure, the State affirmed that they were qualified to </w:t>
      </w:r>
      <w:r w:rsidR="0051012C" w:rsidRPr="00AC57EA">
        <w:rPr>
          <w:kern w:val="2"/>
          <w:sz w:val="20"/>
          <w:szCs w:val="20"/>
          <w:lang w:val="en-US" w:eastAsia="en-US"/>
        </w:rPr>
        <w:t>conduct</w:t>
      </w:r>
      <w:r w:rsidR="003561C4" w:rsidRPr="00AC57EA">
        <w:rPr>
          <w:kern w:val="2"/>
          <w:sz w:val="20"/>
          <w:szCs w:val="20"/>
          <w:lang w:val="en-US" w:eastAsia="en-US"/>
        </w:rPr>
        <w:t xml:space="preserve"> this evaluation because they had met the requirements and qualifications to be forensic physicians under the domestic norms in force. The State indicated that, based on the alleged conduct of the forensic physician that was detrimental to V.R.P., complaint proceedings had been instituted, but these were not process</w:t>
      </w:r>
      <w:r w:rsidR="0051012C" w:rsidRPr="00AC57EA">
        <w:rPr>
          <w:kern w:val="2"/>
          <w:sz w:val="20"/>
          <w:szCs w:val="20"/>
          <w:lang w:val="en-US" w:eastAsia="en-US"/>
        </w:rPr>
        <w:t>ed</w:t>
      </w:r>
      <w:r w:rsidR="003561C4" w:rsidRPr="00AC57EA">
        <w:rPr>
          <w:kern w:val="2"/>
          <w:sz w:val="20"/>
          <w:szCs w:val="20"/>
          <w:lang w:val="en-US" w:eastAsia="en-US"/>
        </w:rPr>
        <w:t xml:space="preserve"> due to lack of evidence</w:t>
      </w:r>
      <w:r w:rsidR="0051012C" w:rsidRPr="00AC57EA">
        <w:rPr>
          <w:kern w:val="2"/>
          <w:sz w:val="20"/>
          <w:szCs w:val="20"/>
          <w:lang w:val="en-US" w:eastAsia="en-US"/>
        </w:rPr>
        <w:t>;</w:t>
      </w:r>
      <w:r w:rsidR="003561C4" w:rsidRPr="00AC57EA">
        <w:rPr>
          <w:kern w:val="2"/>
          <w:sz w:val="20"/>
          <w:szCs w:val="20"/>
          <w:lang w:val="en-US" w:eastAsia="en-US"/>
        </w:rPr>
        <w:t xml:space="preserve"> it added that the said physician no longer worked for the Judiciary </w:t>
      </w:r>
      <w:r w:rsidR="0051012C" w:rsidRPr="00AC57EA">
        <w:rPr>
          <w:kern w:val="2"/>
          <w:sz w:val="20"/>
          <w:szCs w:val="20"/>
          <w:lang w:val="en-US" w:eastAsia="en-US"/>
        </w:rPr>
        <w:t>as</w:t>
      </w:r>
      <w:r w:rsidR="003561C4" w:rsidRPr="00AC57EA">
        <w:rPr>
          <w:kern w:val="2"/>
          <w:sz w:val="20"/>
          <w:szCs w:val="20"/>
          <w:lang w:val="en-US" w:eastAsia="en-US"/>
        </w:rPr>
        <w:t xml:space="preserve"> he had renounced this position.</w:t>
      </w:r>
    </w:p>
    <w:p w14:paraId="05770DDA" w14:textId="77777777" w:rsidR="00683808" w:rsidRPr="00AC57EA" w:rsidRDefault="00683808" w:rsidP="00683808">
      <w:pPr>
        <w:widowControl/>
        <w:tabs>
          <w:tab w:val="left" w:pos="567"/>
        </w:tabs>
        <w:adjustRightInd/>
        <w:spacing w:line="240" w:lineRule="auto"/>
        <w:textAlignment w:val="auto"/>
        <w:rPr>
          <w:b/>
          <w:kern w:val="2"/>
          <w:sz w:val="20"/>
          <w:szCs w:val="20"/>
          <w:lang w:val="en-US" w:eastAsia="en-US"/>
        </w:rPr>
      </w:pPr>
    </w:p>
    <w:p w14:paraId="79B9F672" w14:textId="34856B99" w:rsidR="00B5625C" w:rsidRPr="00AC57EA" w:rsidRDefault="00803AB0" w:rsidP="00803AB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Regarding</w:t>
      </w:r>
      <w:r w:rsidR="00B5625C" w:rsidRPr="00AC57EA">
        <w:rPr>
          <w:kern w:val="2"/>
          <w:sz w:val="20"/>
          <w:szCs w:val="20"/>
          <w:lang w:val="en-US" w:eastAsia="en-US"/>
        </w:rPr>
        <w:t xml:space="preserve"> </w:t>
      </w:r>
      <w:r w:rsidRPr="00AC57EA">
        <w:rPr>
          <w:kern w:val="2"/>
          <w:sz w:val="20"/>
          <w:szCs w:val="20"/>
          <w:lang w:val="en-US" w:eastAsia="en-US"/>
        </w:rPr>
        <w:t xml:space="preserve">the visual </w:t>
      </w:r>
      <w:r w:rsidR="00986A34" w:rsidRPr="00AC57EA">
        <w:rPr>
          <w:kern w:val="2"/>
          <w:sz w:val="20"/>
          <w:szCs w:val="20"/>
          <w:lang w:val="en-US" w:eastAsia="en-US"/>
        </w:rPr>
        <w:t>inspection and reconstruction of the events</w:t>
      </w:r>
      <w:r w:rsidR="00B5625C" w:rsidRPr="00AC57EA">
        <w:rPr>
          <w:kern w:val="2"/>
          <w:sz w:val="20"/>
          <w:szCs w:val="20"/>
          <w:lang w:val="en-US" w:eastAsia="en-US"/>
        </w:rPr>
        <w:t xml:space="preserve">, </w:t>
      </w:r>
      <w:r w:rsidR="00EC52D7" w:rsidRPr="00AC57EA">
        <w:rPr>
          <w:kern w:val="2"/>
          <w:sz w:val="20"/>
          <w:szCs w:val="20"/>
          <w:lang w:val="en-US" w:eastAsia="en-US"/>
        </w:rPr>
        <w:t>the State</w:t>
      </w:r>
      <w:r w:rsidR="00B5625C" w:rsidRPr="00AC57EA">
        <w:rPr>
          <w:kern w:val="2"/>
          <w:sz w:val="20"/>
          <w:szCs w:val="20"/>
          <w:lang w:val="en-US" w:eastAsia="en-US"/>
        </w:rPr>
        <w:t xml:space="preserve"> </w:t>
      </w:r>
      <w:r w:rsidRPr="00AC57EA">
        <w:rPr>
          <w:kern w:val="2"/>
          <w:sz w:val="20"/>
          <w:szCs w:val="20"/>
          <w:lang w:val="en-US" w:eastAsia="en-US"/>
        </w:rPr>
        <w:t xml:space="preserve">indicated that this was conducted in keeping with the Procedural Code at that time and at the request of </w:t>
      </w:r>
      <w:r w:rsidR="00B5625C" w:rsidRPr="00AC57EA">
        <w:rPr>
          <w:kern w:val="2"/>
          <w:sz w:val="20"/>
          <w:szCs w:val="20"/>
          <w:lang w:val="en-US" w:eastAsia="en-US"/>
        </w:rPr>
        <w:t>V.P.C.</w:t>
      </w:r>
      <w:r w:rsidR="00B5625C" w:rsidRPr="00AC57EA">
        <w:rPr>
          <w:b/>
          <w:kern w:val="2"/>
          <w:sz w:val="16"/>
          <w:szCs w:val="16"/>
          <w:lang w:val="en-US" w:eastAsia="en-US"/>
        </w:rPr>
        <w:t xml:space="preserve"> </w:t>
      </w:r>
      <w:r w:rsidRPr="00AC57EA">
        <w:rPr>
          <w:kern w:val="2"/>
          <w:sz w:val="20"/>
          <w:szCs w:val="20"/>
          <w:lang w:val="en-US" w:eastAsia="en-US"/>
        </w:rPr>
        <w:t>During th</w:t>
      </w:r>
      <w:r w:rsidR="00133A27" w:rsidRPr="00AC57EA">
        <w:rPr>
          <w:kern w:val="2"/>
          <w:sz w:val="20"/>
          <w:szCs w:val="20"/>
          <w:lang w:val="en-US" w:eastAsia="en-US"/>
        </w:rPr>
        <w:t>e</w:t>
      </w:r>
      <w:r w:rsidRPr="00AC57EA">
        <w:rPr>
          <w:kern w:val="2"/>
          <w:sz w:val="20"/>
          <w:szCs w:val="20"/>
          <w:lang w:val="en-US" w:eastAsia="en-US"/>
        </w:rPr>
        <w:t xml:space="preserve"> reconstruction, the child was accompanied by her mother, V.P.C., and was supported by the psychiatrist assigned to</w:t>
      </w:r>
      <w:r w:rsidR="00133A27" w:rsidRPr="00AC57EA">
        <w:rPr>
          <w:kern w:val="2"/>
          <w:sz w:val="20"/>
          <w:szCs w:val="20"/>
          <w:lang w:val="en-US" w:eastAsia="en-US"/>
        </w:rPr>
        <w:t xml:space="preserve"> monitor</w:t>
      </w:r>
      <w:r w:rsidRPr="00AC57EA">
        <w:rPr>
          <w:kern w:val="2"/>
          <w:sz w:val="20"/>
          <w:szCs w:val="20"/>
          <w:lang w:val="en-US" w:eastAsia="en-US"/>
        </w:rPr>
        <w:t xml:space="preserve"> her. The State indicated that the case file d</w:t>
      </w:r>
      <w:r w:rsidR="00133A27" w:rsidRPr="00AC57EA">
        <w:rPr>
          <w:kern w:val="2"/>
          <w:sz w:val="20"/>
          <w:szCs w:val="20"/>
          <w:lang w:val="en-US" w:eastAsia="en-US"/>
        </w:rPr>
        <w:t>id</w:t>
      </w:r>
      <w:r w:rsidRPr="00AC57EA">
        <w:rPr>
          <w:kern w:val="2"/>
          <w:sz w:val="20"/>
          <w:szCs w:val="20"/>
          <w:lang w:val="en-US" w:eastAsia="en-US"/>
        </w:rPr>
        <w:t xml:space="preserve"> not record the presence of the accused during this procedure, a measure that was taken to safeguard the child’s integrity. The State also denied </w:t>
      </w:r>
      <w:r w:rsidR="00133A27" w:rsidRPr="00AC57EA">
        <w:rPr>
          <w:kern w:val="2"/>
          <w:sz w:val="20"/>
          <w:szCs w:val="20"/>
          <w:lang w:val="en-US" w:eastAsia="en-US"/>
        </w:rPr>
        <w:t>that V.R.P. was</w:t>
      </w:r>
      <w:r w:rsidRPr="00AC57EA">
        <w:rPr>
          <w:kern w:val="2"/>
          <w:sz w:val="20"/>
          <w:szCs w:val="20"/>
          <w:lang w:val="en-US" w:eastAsia="en-US"/>
        </w:rPr>
        <w:t xml:space="preserve"> revictimiz</w:t>
      </w:r>
      <w:r w:rsidR="00133A27" w:rsidRPr="00AC57EA">
        <w:rPr>
          <w:kern w:val="2"/>
          <w:sz w:val="20"/>
          <w:szCs w:val="20"/>
          <w:lang w:val="en-US" w:eastAsia="en-US"/>
        </w:rPr>
        <w:t>ed</w:t>
      </w:r>
      <w:r w:rsidRPr="00AC57EA">
        <w:rPr>
          <w:kern w:val="2"/>
          <w:sz w:val="20"/>
          <w:szCs w:val="20"/>
          <w:lang w:val="en-US" w:eastAsia="en-US"/>
        </w:rPr>
        <w:t xml:space="preserve"> and mistreat</w:t>
      </w:r>
      <w:r w:rsidR="00133A27" w:rsidRPr="00AC57EA">
        <w:rPr>
          <w:kern w:val="2"/>
          <w:sz w:val="20"/>
          <w:szCs w:val="20"/>
          <w:lang w:val="en-US" w:eastAsia="en-US"/>
        </w:rPr>
        <w:t xml:space="preserve">ed </w:t>
      </w:r>
      <w:r w:rsidRPr="00AC57EA">
        <w:rPr>
          <w:kern w:val="2"/>
          <w:sz w:val="20"/>
          <w:szCs w:val="20"/>
          <w:lang w:val="en-US" w:eastAsia="en-US"/>
        </w:rPr>
        <w:t>during th</w:t>
      </w:r>
      <w:r w:rsidR="00133A27" w:rsidRPr="00AC57EA">
        <w:rPr>
          <w:kern w:val="2"/>
          <w:sz w:val="20"/>
          <w:szCs w:val="20"/>
          <w:lang w:val="en-US" w:eastAsia="en-US"/>
        </w:rPr>
        <w:t>e</w:t>
      </w:r>
      <w:r w:rsidRPr="00AC57EA">
        <w:rPr>
          <w:kern w:val="2"/>
          <w:sz w:val="20"/>
          <w:szCs w:val="20"/>
          <w:lang w:val="en-US" w:eastAsia="en-US"/>
        </w:rPr>
        <w:t xml:space="preserve"> procedure.</w:t>
      </w:r>
    </w:p>
    <w:p w14:paraId="6E307DCE" w14:textId="77777777" w:rsidR="00B5625C" w:rsidRPr="00AC57EA" w:rsidRDefault="00B5625C" w:rsidP="00B5625C">
      <w:pPr>
        <w:widowControl/>
        <w:adjustRightInd/>
        <w:spacing w:line="240" w:lineRule="auto"/>
        <w:textAlignment w:val="auto"/>
        <w:rPr>
          <w:kern w:val="2"/>
          <w:sz w:val="20"/>
          <w:szCs w:val="20"/>
          <w:lang w:val="en-US" w:eastAsia="en-US"/>
        </w:rPr>
      </w:pPr>
    </w:p>
    <w:p w14:paraId="5557348E" w14:textId="5AA49449" w:rsidR="00B5625C" w:rsidRPr="00AC57EA" w:rsidRDefault="00EC52D7" w:rsidP="00803AB0">
      <w:pPr>
        <w:widowControl/>
        <w:numPr>
          <w:ilvl w:val="0"/>
          <w:numId w:val="2"/>
        </w:numPr>
        <w:tabs>
          <w:tab w:val="left" w:pos="567"/>
          <w:tab w:val="num" w:pos="12305"/>
        </w:tabs>
        <w:adjustRightInd/>
        <w:spacing w:line="240" w:lineRule="auto"/>
        <w:ind w:left="0" w:firstLine="0"/>
        <w:textAlignment w:val="auto"/>
        <w:rPr>
          <w:rFonts w:eastAsia="Calibri" w:cs="Arial"/>
          <w:b/>
          <w:kern w:val="2"/>
          <w:sz w:val="20"/>
          <w:szCs w:val="20"/>
          <w:lang w:val="en-US" w:eastAsia="en-US"/>
        </w:rPr>
      </w:pPr>
      <w:r w:rsidRPr="00AC57EA">
        <w:rPr>
          <w:kern w:val="2"/>
          <w:sz w:val="20"/>
          <w:szCs w:val="20"/>
          <w:lang w:val="en-US" w:eastAsia="en-US"/>
        </w:rPr>
        <w:t>The State</w:t>
      </w:r>
      <w:r w:rsidR="00B5625C" w:rsidRPr="00AC57EA">
        <w:rPr>
          <w:kern w:val="2"/>
          <w:sz w:val="20"/>
          <w:szCs w:val="20"/>
          <w:lang w:val="en-US" w:eastAsia="en-US"/>
        </w:rPr>
        <w:t xml:space="preserve"> </w:t>
      </w:r>
      <w:r w:rsidR="00803AB0" w:rsidRPr="00AC57EA">
        <w:rPr>
          <w:kern w:val="2"/>
          <w:sz w:val="20"/>
          <w:szCs w:val="20"/>
          <w:lang w:val="en-US" w:eastAsia="en-US"/>
        </w:rPr>
        <w:t xml:space="preserve">contested the assertion that </w:t>
      </w:r>
      <w:r w:rsidR="00B5625C" w:rsidRPr="00AC57EA">
        <w:rPr>
          <w:kern w:val="2"/>
          <w:sz w:val="20"/>
          <w:szCs w:val="20"/>
          <w:lang w:val="en-US" w:eastAsia="en-US"/>
        </w:rPr>
        <w:t xml:space="preserve">V.R.P. </w:t>
      </w:r>
      <w:r w:rsidR="00803AB0" w:rsidRPr="00AC57EA">
        <w:rPr>
          <w:kern w:val="2"/>
          <w:sz w:val="20"/>
          <w:szCs w:val="20"/>
          <w:lang w:val="en-US" w:eastAsia="en-US"/>
        </w:rPr>
        <w:t xml:space="preserve">had not received psychological or psychiatric support and argued that, from the moment the judicial authority became aware of the rape, it ordered the intervention of a psychiatrist to evaluate V.R.P. </w:t>
      </w:r>
      <w:r w:rsidR="00133A27" w:rsidRPr="00AC57EA">
        <w:rPr>
          <w:kern w:val="2"/>
          <w:sz w:val="20"/>
          <w:szCs w:val="20"/>
          <w:lang w:val="en-US" w:eastAsia="en-US"/>
        </w:rPr>
        <w:t>The State</w:t>
      </w:r>
      <w:r w:rsidR="00803AB0" w:rsidRPr="00AC57EA">
        <w:rPr>
          <w:kern w:val="2"/>
          <w:sz w:val="20"/>
          <w:szCs w:val="20"/>
          <w:lang w:val="en-US" w:eastAsia="en-US"/>
        </w:rPr>
        <w:t xml:space="preserve"> also stressed that the child was referred to the Institute of Forensic Medicine for a physical and mental evaluation, and she was provided with support during the visual inspection. It underscored that, in this specific case, the State had taken the necessary care to ensure the physical and mental health of V.R.P., through the</w:t>
      </w:r>
      <w:r w:rsidR="00803AB0" w:rsidRPr="00AC57EA">
        <w:rPr>
          <w:rFonts w:eastAsia="Calibri" w:cs="Arial"/>
          <w:b/>
          <w:kern w:val="2"/>
          <w:sz w:val="20"/>
          <w:szCs w:val="20"/>
          <w:lang w:val="en-US" w:eastAsia="en-US"/>
        </w:rPr>
        <w:t xml:space="preserve"> </w:t>
      </w:r>
      <w:r w:rsidR="00EB7A83" w:rsidRPr="00AC57EA">
        <w:rPr>
          <w:rFonts w:eastAsia="Calibri" w:cs="Arial"/>
          <w:kern w:val="2"/>
          <w:sz w:val="20"/>
          <w:szCs w:val="20"/>
          <w:lang w:val="en-US" w:eastAsia="en-US"/>
        </w:rPr>
        <w:t>Victoria Motta Hospital</w:t>
      </w:r>
      <w:r w:rsidR="00B5625C" w:rsidRPr="00AC57EA">
        <w:rPr>
          <w:rFonts w:eastAsia="Calibri" w:cs="Arial"/>
          <w:kern w:val="2"/>
          <w:sz w:val="20"/>
          <w:szCs w:val="20"/>
          <w:lang w:val="en-US" w:eastAsia="en-US"/>
        </w:rPr>
        <w:t xml:space="preserve">. </w:t>
      </w:r>
      <w:r w:rsidRPr="00AC57EA">
        <w:rPr>
          <w:kern w:val="2"/>
          <w:sz w:val="20"/>
          <w:szCs w:val="20"/>
          <w:lang w:val="en-US" w:eastAsia="en-US"/>
        </w:rPr>
        <w:t>The State</w:t>
      </w:r>
      <w:r w:rsidR="00B5625C" w:rsidRPr="00AC57EA">
        <w:rPr>
          <w:kern w:val="2"/>
          <w:sz w:val="20"/>
          <w:szCs w:val="20"/>
          <w:lang w:val="en-US" w:eastAsia="en-US"/>
        </w:rPr>
        <w:t xml:space="preserve"> </w:t>
      </w:r>
      <w:r w:rsidR="00803AB0" w:rsidRPr="00AC57EA">
        <w:rPr>
          <w:kern w:val="2"/>
          <w:sz w:val="20"/>
          <w:szCs w:val="20"/>
          <w:lang w:val="en-US" w:eastAsia="en-US"/>
        </w:rPr>
        <w:t xml:space="preserve">indicated that the medical care was constant; however, it could not be provided once </w:t>
      </w:r>
      <w:r w:rsidR="00B5625C" w:rsidRPr="00AC57EA">
        <w:rPr>
          <w:kern w:val="2"/>
          <w:sz w:val="20"/>
          <w:szCs w:val="20"/>
          <w:lang w:val="en-US" w:eastAsia="en-US"/>
        </w:rPr>
        <w:t>V.P.C.</w:t>
      </w:r>
      <w:r w:rsidR="00171E27" w:rsidRPr="00AC57EA">
        <w:rPr>
          <w:kern w:val="2"/>
          <w:sz w:val="20"/>
          <w:szCs w:val="20"/>
          <w:lang w:val="en-US" w:eastAsia="en-US"/>
        </w:rPr>
        <w:t xml:space="preserve"> and </w:t>
      </w:r>
      <w:r w:rsidR="00803AB0" w:rsidRPr="00AC57EA">
        <w:rPr>
          <w:kern w:val="2"/>
          <w:sz w:val="20"/>
          <w:szCs w:val="20"/>
          <w:lang w:val="en-US" w:eastAsia="en-US"/>
        </w:rPr>
        <w:t>her daughter had left the country, because the State was unable to provide the recommended treatment outside Nicaragua, and this could not be attributed to it.</w:t>
      </w:r>
    </w:p>
    <w:p w14:paraId="0D881B02" w14:textId="77777777" w:rsidR="00B5625C" w:rsidRPr="00AC57EA" w:rsidRDefault="00B5625C" w:rsidP="00B5625C">
      <w:pPr>
        <w:widowControl/>
        <w:adjustRightInd/>
        <w:spacing w:line="240" w:lineRule="auto"/>
        <w:textAlignment w:val="auto"/>
        <w:rPr>
          <w:b/>
          <w:kern w:val="2"/>
          <w:sz w:val="20"/>
          <w:szCs w:val="20"/>
          <w:lang w:val="en-US" w:eastAsia="en-US"/>
        </w:rPr>
      </w:pPr>
    </w:p>
    <w:p w14:paraId="3980D306" w14:textId="29F5983F" w:rsidR="00B5625C" w:rsidRPr="00AC57EA" w:rsidRDefault="00B5125C" w:rsidP="00687E8B">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F</w:t>
      </w:r>
      <w:r w:rsidR="00687E8B" w:rsidRPr="00AC57EA">
        <w:rPr>
          <w:kern w:val="2"/>
          <w:sz w:val="20"/>
          <w:szCs w:val="20"/>
          <w:lang w:val="en-US" w:eastAsia="en-US"/>
        </w:rPr>
        <w:t xml:space="preserve">inally, the State indicated that, in the instant case, it had complied with the standards of due diligence in investigations into the perpetration of sexual offenses, because: (a) V.R.P.’s statement had been taken in a comfortable and safe environment; she had been provided with privacy and a climate of trust, and her mother was present; (b) V.R.P.’s statement was clear and precise and she was free to explain what happened; she was not asked revictimizing questions, and was not summoned to provide a second statement, limiting the need to repeat it; (c) she was provided with medical, hygienic and psychological care as soon as the facts were known, and the psychiatrist assigned to her monitored </w:t>
      </w:r>
      <w:r w:rsidR="00133A27" w:rsidRPr="00AC57EA">
        <w:rPr>
          <w:kern w:val="2"/>
          <w:sz w:val="20"/>
          <w:szCs w:val="20"/>
          <w:lang w:val="en-US" w:eastAsia="en-US"/>
        </w:rPr>
        <w:t>her</w:t>
      </w:r>
      <w:r w:rsidR="00687E8B" w:rsidRPr="00AC57EA">
        <w:rPr>
          <w:kern w:val="2"/>
          <w:sz w:val="20"/>
          <w:szCs w:val="20"/>
          <w:lang w:val="en-US" w:eastAsia="en-US"/>
        </w:rPr>
        <w:t xml:space="preserve"> </w:t>
      </w:r>
      <w:r w:rsidR="00133A27" w:rsidRPr="00AC57EA">
        <w:rPr>
          <w:kern w:val="2"/>
          <w:sz w:val="20"/>
          <w:szCs w:val="20"/>
          <w:lang w:val="en-US" w:eastAsia="en-US"/>
        </w:rPr>
        <w:t>throughout the</w:t>
      </w:r>
      <w:r w:rsidR="00687E8B" w:rsidRPr="00AC57EA">
        <w:rPr>
          <w:kern w:val="2"/>
          <w:sz w:val="20"/>
          <w:szCs w:val="20"/>
          <w:lang w:val="en-US" w:eastAsia="en-US"/>
        </w:rPr>
        <w:t xml:space="preserve"> proceedings; (d) immediately after the complaint had been filed, a medical and psychological examination of V.R.P. was required by suitable and qualified personnel; (e) a series of investigative procedures were conducted and the accused was arrested; (f) access to free legal assistance was provided; (g) the proceedings were kept confidential to preserve the victim’s privacy, and (h) in order to avoid revictimization, and in accordance with the psychiatrist’s report that recommended trying to avoid the victim continuing to recall the events, the State determined that V.R.P. should not play any further role in the domestic proceedings</w:t>
      </w:r>
      <w:r w:rsidR="00B5625C" w:rsidRPr="00AC57EA">
        <w:rPr>
          <w:kern w:val="2"/>
          <w:sz w:val="20"/>
          <w:szCs w:val="20"/>
          <w:lang w:val="en-US" w:eastAsia="en-US"/>
        </w:rPr>
        <w:t>.</w:t>
      </w:r>
    </w:p>
    <w:p w14:paraId="1E2C68F8" w14:textId="77777777" w:rsidR="00B5625C" w:rsidRPr="00AC57EA" w:rsidRDefault="00B5625C" w:rsidP="005C0C42">
      <w:pPr>
        <w:widowControl/>
        <w:adjustRightInd/>
        <w:spacing w:line="240" w:lineRule="auto"/>
        <w:textAlignment w:val="auto"/>
        <w:rPr>
          <w:b/>
          <w:kern w:val="2"/>
          <w:sz w:val="20"/>
          <w:szCs w:val="20"/>
          <w:lang w:val="en-US" w:eastAsia="en-US"/>
        </w:rPr>
      </w:pPr>
    </w:p>
    <w:p w14:paraId="28C3B921" w14:textId="250CB24E" w:rsidR="00B5625C" w:rsidRPr="00AC57EA" w:rsidRDefault="00A92F94" w:rsidP="00A92F94">
      <w:pPr>
        <w:pStyle w:val="Ttulo2"/>
        <w:tabs>
          <w:tab w:val="left" w:pos="1843"/>
        </w:tabs>
        <w:spacing w:before="0" w:line="240" w:lineRule="auto"/>
        <w:ind w:left="1134"/>
        <w:rPr>
          <w:rFonts w:ascii="Verdana" w:hAnsi="Verdana"/>
          <w:b w:val="0"/>
          <w:i/>
          <w:color w:val="auto"/>
          <w:sz w:val="20"/>
          <w:szCs w:val="20"/>
          <w:lang w:val="en-US"/>
        </w:rPr>
      </w:pPr>
      <w:bookmarkStart w:id="115" w:name="_Toc470180077"/>
      <w:bookmarkStart w:id="116" w:name="_Toc495658675"/>
      <w:bookmarkStart w:id="117" w:name="_Toc514172630"/>
      <w:r w:rsidRPr="00AC57EA">
        <w:rPr>
          <w:rFonts w:ascii="Verdana" w:hAnsi="Verdana"/>
          <w:b w:val="0"/>
          <w:i/>
          <w:color w:val="auto"/>
          <w:sz w:val="20"/>
          <w:szCs w:val="20"/>
          <w:lang w:val="en-US"/>
        </w:rPr>
        <w:lastRenderedPageBreak/>
        <w:t>A</w:t>
      </w:r>
      <w:r w:rsidR="00B5625C" w:rsidRPr="00AC57EA">
        <w:rPr>
          <w:rFonts w:ascii="Verdana" w:hAnsi="Verdana"/>
          <w:b w:val="0"/>
          <w:i/>
          <w:color w:val="auto"/>
          <w:sz w:val="20"/>
          <w:szCs w:val="20"/>
          <w:lang w:val="en-US"/>
        </w:rPr>
        <w:t>.</w:t>
      </w:r>
      <w:r w:rsidR="00A20472" w:rsidRPr="00AC57EA">
        <w:rPr>
          <w:rFonts w:ascii="Verdana" w:hAnsi="Verdana"/>
          <w:b w:val="0"/>
          <w:i/>
          <w:color w:val="auto"/>
          <w:sz w:val="20"/>
          <w:szCs w:val="20"/>
          <w:lang w:val="en-US"/>
        </w:rPr>
        <w:t>2</w:t>
      </w:r>
      <w:r w:rsidR="00B5625C" w:rsidRPr="00AC57EA">
        <w:rPr>
          <w:rFonts w:ascii="Verdana" w:hAnsi="Verdana"/>
          <w:b w:val="0"/>
          <w:i/>
          <w:color w:val="auto"/>
          <w:sz w:val="20"/>
          <w:szCs w:val="20"/>
          <w:lang w:val="en-US"/>
        </w:rPr>
        <w:tab/>
      </w:r>
      <w:r w:rsidR="002223C8" w:rsidRPr="00AC57EA">
        <w:rPr>
          <w:rFonts w:ascii="Verdana" w:hAnsi="Verdana"/>
          <w:b w:val="0"/>
          <w:i/>
          <w:color w:val="auto"/>
          <w:sz w:val="20"/>
          <w:szCs w:val="20"/>
          <w:lang w:val="en-US"/>
        </w:rPr>
        <w:t>Considerations</w:t>
      </w:r>
      <w:r w:rsidR="00B7258C" w:rsidRPr="00AC57EA">
        <w:rPr>
          <w:rFonts w:ascii="Verdana" w:hAnsi="Verdana"/>
          <w:b w:val="0"/>
          <w:i/>
          <w:color w:val="auto"/>
          <w:sz w:val="20"/>
          <w:szCs w:val="20"/>
          <w:lang w:val="en-US"/>
        </w:rPr>
        <w:t xml:space="preserve"> of the Court</w:t>
      </w:r>
      <w:bookmarkEnd w:id="115"/>
      <w:bookmarkEnd w:id="116"/>
      <w:bookmarkEnd w:id="117"/>
    </w:p>
    <w:p w14:paraId="77A1E1F4" w14:textId="77777777" w:rsidR="00B5625C" w:rsidRPr="00AC57EA" w:rsidRDefault="00B5625C" w:rsidP="00B5625C">
      <w:pPr>
        <w:widowControl/>
        <w:autoSpaceDE w:val="0"/>
        <w:autoSpaceDN w:val="0"/>
        <w:adjustRightInd/>
        <w:spacing w:line="240" w:lineRule="auto"/>
        <w:jc w:val="left"/>
        <w:textAlignment w:val="auto"/>
        <w:rPr>
          <w:rFonts w:eastAsiaTheme="minorHAnsi" w:cs="Arial"/>
          <w:kern w:val="2"/>
          <w:sz w:val="20"/>
          <w:szCs w:val="20"/>
          <w:lang w:val="en-US" w:eastAsia="en-US"/>
        </w:rPr>
      </w:pPr>
    </w:p>
    <w:p w14:paraId="18664BF9" w14:textId="4B783AD0" w:rsidR="00B5625C" w:rsidRPr="00AC57EA" w:rsidRDefault="00B7258C" w:rsidP="005C0C42">
      <w:pPr>
        <w:widowControl/>
        <w:numPr>
          <w:ilvl w:val="0"/>
          <w:numId w:val="2"/>
        </w:numPr>
        <w:tabs>
          <w:tab w:val="left" w:pos="567"/>
          <w:tab w:val="num" w:pos="12305"/>
        </w:tabs>
        <w:adjustRightInd/>
        <w:spacing w:line="240" w:lineRule="auto"/>
        <w:ind w:left="0" w:firstLine="0"/>
        <w:textAlignment w:val="auto"/>
        <w:rPr>
          <w:rFonts w:eastAsia="Calibri"/>
          <w:b/>
          <w:kern w:val="2"/>
          <w:sz w:val="20"/>
          <w:szCs w:val="20"/>
          <w:lang w:val="en-US" w:eastAsia="en-US"/>
        </w:rPr>
      </w:pPr>
      <w:r w:rsidRPr="00AC57EA">
        <w:rPr>
          <w:kern w:val="2"/>
          <w:sz w:val="20"/>
          <w:szCs w:val="20"/>
          <w:lang w:val="en-US" w:eastAsia="en-US"/>
        </w:rPr>
        <w:t>The Court</w:t>
      </w:r>
      <w:r w:rsidR="00B5625C" w:rsidRPr="00AC57EA">
        <w:rPr>
          <w:rFonts w:eastAsia="Calibri"/>
          <w:kern w:val="2"/>
          <w:sz w:val="20"/>
          <w:szCs w:val="20"/>
          <w:lang w:val="en-US" w:eastAsia="en-US"/>
        </w:rPr>
        <w:t xml:space="preserve"> ha</w:t>
      </w:r>
      <w:r w:rsidR="00687E8B" w:rsidRPr="00AC57EA">
        <w:rPr>
          <w:rFonts w:eastAsia="Calibri"/>
          <w:kern w:val="2"/>
          <w:sz w:val="20"/>
          <w:szCs w:val="20"/>
          <w:lang w:val="en-US" w:eastAsia="en-US"/>
        </w:rPr>
        <w:t>s established that, pursuant to</w:t>
      </w:r>
      <w:r w:rsidR="00B5625C" w:rsidRPr="00AC57EA">
        <w:rPr>
          <w:rFonts w:eastAsia="Calibri"/>
          <w:kern w:val="2"/>
          <w:sz w:val="20"/>
          <w:szCs w:val="20"/>
          <w:lang w:val="en-US" w:eastAsia="en-US"/>
        </w:rPr>
        <w:t xml:space="preserve"> </w:t>
      </w:r>
      <w:r w:rsidRPr="00AC57EA">
        <w:rPr>
          <w:rFonts w:eastAsia="Calibri"/>
          <w:kern w:val="2"/>
          <w:sz w:val="20"/>
          <w:szCs w:val="20"/>
          <w:lang w:val="en-US" w:eastAsia="en-US"/>
        </w:rPr>
        <w:t>the American Convention</w:t>
      </w:r>
      <w:r w:rsidR="00B5625C" w:rsidRPr="00AC57EA">
        <w:rPr>
          <w:rFonts w:eastAsia="Calibri"/>
          <w:kern w:val="2"/>
          <w:sz w:val="20"/>
          <w:szCs w:val="20"/>
          <w:lang w:val="en-US" w:eastAsia="en-US"/>
        </w:rPr>
        <w:t>,</w:t>
      </w:r>
      <w:r w:rsidR="00687E8B" w:rsidRPr="00AC57EA">
        <w:rPr>
          <w:rFonts w:eastAsia="Calibri"/>
          <w:kern w:val="2"/>
          <w:sz w:val="20"/>
          <w:szCs w:val="20"/>
          <w:lang w:val="en-US" w:eastAsia="en-US"/>
        </w:rPr>
        <w:t xml:space="preserve"> States Parties are obliged to provide effective judicial remedies to the victims of human rights violations </w:t>
      </w:r>
      <w:r w:rsidR="00B5625C" w:rsidRPr="00AC57EA">
        <w:rPr>
          <w:rFonts w:eastAsia="Calibri"/>
          <w:kern w:val="2"/>
          <w:sz w:val="20"/>
          <w:szCs w:val="20"/>
          <w:lang w:val="en-US" w:eastAsia="en-US"/>
        </w:rPr>
        <w:t>(</w:t>
      </w:r>
      <w:r w:rsidRPr="00AC57EA">
        <w:rPr>
          <w:rFonts w:eastAsia="Calibri"/>
          <w:kern w:val="2"/>
          <w:sz w:val="20"/>
          <w:szCs w:val="20"/>
          <w:lang w:val="en-US" w:eastAsia="en-US"/>
        </w:rPr>
        <w:t>Article</w:t>
      </w:r>
      <w:r w:rsidR="00B5625C" w:rsidRPr="00AC57EA">
        <w:rPr>
          <w:rFonts w:eastAsia="Calibri"/>
          <w:kern w:val="2"/>
          <w:sz w:val="20"/>
          <w:szCs w:val="20"/>
          <w:lang w:val="en-US" w:eastAsia="en-US"/>
        </w:rPr>
        <w:t xml:space="preserve"> 25), re</w:t>
      </w:r>
      <w:r w:rsidR="00687E8B" w:rsidRPr="00AC57EA">
        <w:rPr>
          <w:rFonts w:eastAsia="Calibri"/>
          <w:kern w:val="2"/>
          <w:sz w:val="20"/>
          <w:szCs w:val="20"/>
          <w:lang w:val="en-US" w:eastAsia="en-US"/>
        </w:rPr>
        <w:t xml:space="preserve">medies that must be substantiated in accordance with the rules of due process of law </w:t>
      </w:r>
      <w:r w:rsidR="00B5625C" w:rsidRPr="00AC57EA">
        <w:rPr>
          <w:rFonts w:eastAsia="Calibri"/>
          <w:kern w:val="2"/>
          <w:sz w:val="20"/>
          <w:szCs w:val="20"/>
          <w:lang w:val="en-US" w:eastAsia="en-US"/>
        </w:rPr>
        <w:t>(</w:t>
      </w:r>
      <w:r w:rsidRPr="00AC57EA">
        <w:rPr>
          <w:rFonts w:eastAsia="Calibri"/>
          <w:kern w:val="2"/>
          <w:sz w:val="20"/>
          <w:szCs w:val="20"/>
          <w:lang w:val="en-US" w:eastAsia="en-US"/>
        </w:rPr>
        <w:t>Article</w:t>
      </w:r>
      <w:r w:rsidR="00B5625C" w:rsidRPr="00AC57EA">
        <w:rPr>
          <w:rFonts w:eastAsia="Calibri"/>
          <w:kern w:val="2"/>
          <w:sz w:val="20"/>
          <w:szCs w:val="20"/>
          <w:lang w:val="en-US" w:eastAsia="en-US"/>
        </w:rPr>
        <w:t xml:space="preserve"> </w:t>
      </w:r>
      <w:r w:rsidR="00171E27" w:rsidRPr="00AC57EA">
        <w:rPr>
          <w:rFonts w:eastAsia="Calibri"/>
          <w:kern w:val="2"/>
          <w:sz w:val="20"/>
          <w:szCs w:val="20"/>
          <w:lang w:val="en-US" w:eastAsia="en-US"/>
        </w:rPr>
        <w:t>8(1)</w:t>
      </w:r>
      <w:r w:rsidR="00B5625C" w:rsidRPr="00AC57EA">
        <w:rPr>
          <w:rFonts w:eastAsia="Calibri"/>
          <w:kern w:val="2"/>
          <w:sz w:val="20"/>
          <w:szCs w:val="20"/>
          <w:lang w:val="en-US" w:eastAsia="en-US"/>
        </w:rPr>
        <w:t xml:space="preserve">), </w:t>
      </w:r>
      <w:r w:rsidR="00687E8B" w:rsidRPr="00AC57EA">
        <w:rPr>
          <w:rFonts w:eastAsia="Calibri"/>
          <w:kern w:val="2"/>
          <w:sz w:val="20"/>
          <w:szCs w:val="20"/>
          <w:lang w:val="en-US" w:eastAsia="en-US"/>
        </w:rPr>
        <w:t xml:space="preserve">all of this under the general obligation of those State to ensure the free and full exercise of the rights recognized by </w:t>
      </w:r>
      <w:r w:rsidRPr="00AC57EA">
        <w:rPr>
          <w:rFonts w:eastAsia="Calibri"/>
          <w:kern w:val="2"/>
          <w:sz w:val="20"/>
          <w:szCs w:val="20"/>
          <w:lang w:val="en-US" w:eastAsia="en-US"/>
        </w:rPr>
        <w:t>the Convention</w:t>
      </w:r>
      <w:r w:rsidR="00B5625C" w:rsidRPr="00AC57EA">
        <w:rPr>
          <w:rFonts w:eastAsia="Calibri"/>
          <w:kern w:val="2"/>
          <w:sz w:val="20"/>
          <w:szCs w:val="20"/>
          <w:lang w:val="en-US" w:eastAsia="en-US"/>
        </w:rPr>
        <w:t xml:space="preserve"> </w:t>
      </w:r>
      <w:r w:rsidR="00687E8B" w:rsidRPr="00AC57EA">
        <w:rPr>
          <w:rFonts w:eastAsia="Calibri"/>
          <w:kern w:val="2"/>
          <w:sz w:val="20"/>
          <w:szCs w:val="20"/>
          <w:lang w:val="en-US" w:eastAsia="en-US"/>
        </w:rPr>
        <w:t xml:space="preserve">to all persons subject to their jurisdiction </w:t>
      </w:r>
      <w:r w:rsidR="00B5625C" w:rsidRPr="00AC57EA">
        <w:rPr>
          <w:rFonts w:eastAsia="Calibri"/>
          <w:kern w:val="2"/>
          <w:sz w:val="20"/>
          <w:szCs w:val="20"/>
          <w:lang w:val="en-US" w:eastAsia="en-US"/>
        </w:rPr>
        <w:t>(</w:t>
      </w:r>
      <w:r w:rsidR="00171E27" w:rsidRPr="00AC57EA">
        <w:rPr>
          <w:rFonts w:eastAsia="Calibri"/>
          <w:kern w:val="2"/>
          <w:sz w:val="20"/>
          <w:szCs w:val="20"/>
          <w:lang w:val="en-US" w:eastAsia="en-US"/>
        </w:rPr>
        <w:t>Article 1(1)</w:t>
      </w:r>
      <w:r w:rsidR="00B5625C" w:rsidRPr="00AC57EA">
        <w:rPr>
          <w:rFonts w:eastAsia="Calibri"/>
          <w:kern w:val="2"/>
          <w:sz w:val="20"/>
          <w:szCs w:val="20"/>
          <w:lang w:val="en-US" w:eastAsia="en-US"/>
        </w:rPr>
        <w:t>)</w:t>
      </w:r>
      <w:r w:rsidR="00687E8B" w:rsidRPr="00AC57EA">
        <w:rPr>
          <w:rFonts w:eastAsia="Calibri"/>
          <w:kern w:val="2"/>
          <w:sz w:val="20"/>
          <w:szCs w:val="20"/>
          <w:lang w:val="en-US" w:eastAsia="en-US"/>
        </w:rPr>
        <w:t>.</w:t>
      </w:r>
      <w:r w:rsidR="00B5625C" w:rsidRPr="00AC57EA">
        <w:rPr>
          <w:rFonts w:eastAsia="Calibri"/>
          <w:kern w:val="2"/>
          <w:sz w:val="20"/>
          <w:szCs w:val="20"/>
          <w:vertAlign w:val="superscript"/>
          <w:lang w:val="en-US" w:eastAsia="en-US"/>
        </w:rPr>
        <w:footnoteReference w:id="191"/>
      </w:r>
      <w:r w:rsidR="00B5625C" w:rsidRPr="00AC57EA">
        <w:rPr>
          <w:rFonts w:eastAsia="Calibri"/>
          <w:kern w:val="2"/>
          <w:sz w:val="20"/>
          <w:szCs w:val="20"/>
          <w:lang w:val="en-US" w:eastAsia="en-US"/>
        </w:rPr>
        <w:t xml:space="preserve"> </w:t>
      </w:r>
      <w:r w:rsidR="00687E8B" w:rsidRPr="00AC57EA">
        <w:rPr>
          <w:rFonts w:eastAsia="Calibri"/>
          <w:kern w:val="2"/>
          <w:sz w:val="20"/>
          <w:szCs w:val="20"/>
          <w:lang w:val="en-US" w:eastAsia="en-US"/>
        </w:rPr>
        <w:t>It has also indicated that</w:t>
      </w:r>
      <w:r w:rsidR="00133A27" w:rsidRPr="00AC57EA">
        <w:rPr>
          <w:rFonts w:eastAsia="Calibri"/>
          <w:kern w:val="2"/>
          <w:sz w:val="20"/>
          <w:szCs w:val="20"/>
          <w:lang w:val="en-US" w:eastAsia="en-US"/>
        </w:rPr>
        <w:t xml:space="preserve"> the</w:t>
      </w:r>
      <w:r w:rsidR="00687E8B" w:rsidRPr="00AC57EA">
        <w:rPr>
          <w:rFonts w:eastAsia="Calibri"/>
          <w:kern w:val="2"/>
          <w:sz w:val="20"/>
          <w:szCs w:val="20"/>
          <w:lang w:val="en-US" w:eastAsia="en-US"/>
        </w:rPr>
        <w:t xml:space="preserve"> right of access to justice must ensure, within a reasonable time, the right </w:t>
      </w:r>
      <w:r w:rsidR="00171E27" w:rsidRPr="00AC57EA">
        <w:rPr>
          <w:rFonts w:eastAsia="Calibri"/>
          <w:kern w:val="2"/>
          <w:sz w:val="20"/>
          <w:szCs w:val="20"/>
          <w:lang w:val="en-US" w:eastAsia="en-US"/>
        </w:rPr>
        <w:t>of the presumed victims</w:t>
      </w:r>
      <w:r w:rsidR="00B5625C" w:rsidRPr="00AC57EA">
        <w:rPr>
          <w:rFonts w:eastAsia="Calibri"/>
          <w:kern w:val="2"/>
          <w:sz w:val="20"/>
          <w:szCs w:val="20"/>
          <w:lang w:val="en-US" w:eastAsia="en-US"/>
        </w:rPr>
        <w:t xml:space="preserve"> o</w:t>
      </w:r>
      <w:r w:rsidR="00687E8B" w:rsidRPr="00AC57EA">
        <w:rPr>
          <w:rFonts w:eastAsia="Calibri"/>
          <w:kern w:val="2"/>
          <w:sz w:val="20"/>
          <w:szCs w:val="20"/>
          <w:lang w:val="en-US" w:eastAsia="en-US"/>
        </w:rPr>
        <w:t>r their family members that everything necessary is done to know the truth of what happened and to investigate, prosecute and punish, as appropriate, those eventually found responsible.</w:t>
      </w:r>
      <w:r w:rsidR="00B5625C" w:rsidRPr="00AC57EA">
        <w:rPr>
          <w:rFonts w:eastAsia="Calibri"/>
          <w:kern w:val="2"/>
          <w:sz w:val="20"/>
          <w:szCs w:val="20"/>
          <w:vertAlign w:val="superscript"/>
          <w:lang w:val="en-US" w:eastAsia="en-US"/>
        </w:rPr>
        <w:footnoteReference w:id="192"/>
      </w:r>
    </w:p>
    <w:p w14:paraId="277D4C87" w14:textId="77777777" w:rsidR="00B5625C" w:rsidRPr="00AC57EA" w:rsidRDefault="00B5625C" w:rsidP="00B5625C">
      <w:pPr>
        <w:widowControl/>
        <w:adjustRightInd/>
        <w:spacing w:line="240" w:lineRule="auto"/>
        <w:jc w:val="left"/>
        <w:textAlignment w:val="auto"/>
        <w:rPr>
          <w:rFonts w:eastAsia="Calibri"/>
          <w:b/>
          <w:kern w:val="2"/>
          <w:sz w:val="20"/>
          <w:szCs w:val="20"/>
          <w:lang w:val="en-US" w:eastAsia="en-US"/>
        </w:rPr>
      </w:pPr>
    </w:p>
    <w:p w14:paraId="0CED8BF2" w14:textId="6C587D26" w:rsidR="00B5625C" w:rsidRPr="00AC57EA" w:rsidRDefault="00B7258C" w:rsidP="002E79B0">
      <w:pPr>
        <w:widowControl/>
        <w:numPr>
          <w:ilvl w:val="0"/>
          <w:numId w:val="2"/>
        </w:numPr>
        <w:tabs>
          <w:tab w:val="left" w:pos="567"/>
          <w:tab w:val="num" w:pos="12305"/>
        </w:tabs>
        <w:adjustRightInd/>
        <w:spacing w:line="240" w:lineRule="auto"/>
        <w:ind w:left="0" w:firstLine="0"/>
        <w:textAlignment w:val="auto"/>
        <w:rPr>
          <w:rFonts w:eastAsia="Calibri"/>
          <w:b/>
          <w:kern w:val="2"/>
          <w:sz w:val="20"/>
          <w:szCs w:val="20"/>
          <w:lang w:val="en-US" w:eastAsia="en-US"/>
        </w:rPr>
      </w:pPr>
      <w:r w:rsidRPr="00AC57EA">
        <w:rPr>
          <w:rFonts w:eastAsia="Calibri" w:cs="Arial"/>
          <w:kern w:val="2"/>
          <w:sz w:val="20"/>
          <w:szCs w:val="20"/>
          <w:lang w:val="en-US" w:eastAsia="en-US"/>
        </w:rPr>
        <w:t>The Court</w:t>
      </w:r>
      <w:r w:rsidR="00B5625C" w:rsidRPr="00AC57EA">
        <w:rPr>
          <w:rFonts w:eastAsia="Calibri" w:cs="Arial"/>
          <w:kern w:val="2"/>
          <w:sz w:val="20"/>
          <w:szCs w:val="20"/>
          <w:lang w:val="en-US" w:eastAsia="en-US"/>
        </w:rPr>
        <w:t xml:space="preserve"> </w:t>
      </w:r>
      <w:r w:rsidR="00B5625C" w:rsidRPr="00AC57EA">
        <w:rPr>
          <w:kern w:val="2"/>
          <w:sz w:val="20"/>
          <w:szCs w:val="20"/>
          <w:lang w:val="en-US" w:eastAsia="en-US"/>
        </w:rPr>
        <w:t>ha</w:t>
      </w:r>
      <w:r w:rsidR="002E79B0" w:rsidRPr="00AC57EA">
        <w:rPr>
          <w:rFonts w:eastAsia="Calibri" w:cs="Arial"/>
          <w:kern w:val="2"/>
          <w:sz w:val="20"/>
          <w:szCs w:val="20"/>
          <w:lang w:val="en-US" w:eastAsia="en-US"/>
        </w:rPr>
        <w:t xml:space="preserve">s indicated in its </w:t>
      </w:r>
      <w:r w:rsidR="00133A27" w:rsidRPr="00AC57EA">
        <w:rPr>
          <w:rFonts w:eastAsia="Calibri" w:cs="Arial"/>
          <w:kern w:val="2"/>
          <w:sz w:val="20"/>
          <w:szCs w:val="20"/>
          <w:lang w:val="en-US" w:eastAsia="en-US"/>
        </w:rPr>
        <w:t>consistent</w:t>
      </w:r>
      <w:r w:rsidR="002E79B0" w:rsidRPr="00AC57EA">
        <w:rPr>
          <w:rFonts w:eastAsia="Calibri" w:cs="Arial"/>
          <w:kern w:val="2"/>
          <w:sz w:val="20"/>
          <w:szCs w:val="20"/>
          <w:lang w:val="en-US" w:eastAsia="en-US"/>
        </w:rPr>
        <w:t xml:space="preserve"> case law that the obligation to investigate is an obligation of means and not of results, which must be assumed by the State as an inherent legal duty</w:t>
      </w:r>
      <w:r w:rsidR="00DE3080" w:rsidRPr="00AC57EA">
        <w:rPr>
          <w:rFonts w:eastAsia="Calibri" w:cs="Arial"/>
          <w:kern w:val="2"/>
          <w:sz w:val="20"/>
          <w:szCs w:val="20"/>
          <w:lang w:val="en-US" w:eastAsia="en-US"/>
        </w:rPr>
        <w:t xml:space="preserve"> and not as a mere formality preordained to be unsuccessful, or as a measure taken by private interests that depends on the procedural initiative of the victims or their family members, or on the private contribution of probative elements. This obligations remains “whosoever the agent who may eventually be attributed with the violation, even private individuals because, if their acts are not investigated in earnest, they would to a certain extent be abetted by the public authorities, and this would engage the international responsibility of the State.</w:t>
      </w:r>
      <w:r w:rsidR="00B5625C" w:rsidRPr="00AC57EA">
        <w:rPr>
          <w:rFonts w:eastAsia="Calibri" w:cs="Arial"/>
          <w:kern w:val="2"/>
          <w:sz w:val="20"/>
          <w:szCs w:val="20"/>
          <w:lang w:val="en-US" w:eastAsia="en-US"/>
        </w:rPr>
        <w:t>”</w:t>
      </w:r>
      <w:r w:rsidR="00B5625C" w:rsidRPr="00AC57EA">
        <w:rPr>
          <w:rFonts w:eastAsia="Calibri"/>
          <w:kern w:val="2"/>
          <w:sz w:val="20"/>
          <w:szCs w:val="20"/>
          <w:vertAlign w:val="superscript"/>
          <w:lang w:val="en-US" w:eastAsia="en-US"/>
        </w:rPr>
        <w:footnoteReference w:id="193"/>
      </w:r>
      <w:r w:rsidR="00DE3080" w:rsidRPr="00AC57EA">
        <w:rPr>
          <w:rFonts w:eastAsia="Calibri" w:cs="Arial"/>
          <w:kern w:val="2"/>
          <w:sz w:val="20"/>
          <w:szCs w:val="20"/>
          <w:lang w:val="en-US" w:eastAsia="en-US"/>
        </w:rPr>
        <w:t xml:space="preserve"> In addition, due diligence requires that the investigating agent conduct all those actions and inquiries required to achieve the result sought. To the contrary, the investigation is not effective in the terms </w:t>
      </w:r>
      <w:r w:rsidRPr="00AC57EA">
        <w:rPr>
          <w:rFonts w:eastAsia="Calibri"/>
          <w:kern w:val="2"/>
          <w:sz w:val="20"/>
          <w:szCs w:val="20"/>
          <w:lang w:val="en-US" w:eastAsia="en-US"/>
        </w:rPr>
        <w:t>of the Convention</w:t>
      </w:r>
      <w:r w:rsidR="00DE3080" w:rsidRPr="00AC57EA">
        <w:rPr>
          <w:rFonts w:eastAsia="Calibri"/>
          <w:kern w:val="2"/>
          <w:sz w:val="20"/>
          <w:szCs w:val="20"/>
          <w:lang w:val="en-US" w:eastAsia="en-US"/>
        </w:rPr>
        <w:t>.</w:t>
      </w:r>
      <w:r w:rsidR="00B5625C" w:rsidRPr="00AC57EA">
        <w:rPr>
          <w:rFonts w:eastAsia="Calibri"/>
          <w:kern w:val="2"/>
          <w:sz w:val="20"/>
          <w:szCs w:val="20"/>
          <w:vertAlign w:val="superscript"/>
          <w:lang w:val="en-US" w:eastAsia="en-US"/>
        </w:rPr>
        <w:footnoteReference w:id="194"/>
      </w:r>
    </w:p>
    <w:p w14:paraId="101E7F89" w14:textId="77777777" w:rsidR="00B5625C" w:rsidRPr="00AC57EA" w:rsidRDefault="00B5625C" w:rsidP="00B5625C">
      <w:pPr>
        <w:widowControl/>
        <w:adjustRightInd/>
        <w:spacing w:line="240" w:lineRule="auto"/>
        <w:ind w:left="720"/>
        <w:jc w:val="left"/>
        <w:textAlignment w:val="auto"/>
        <w:rPr>
          <w:rFonts w:eastAsia="Calibri"/>
          <w:b/>
          <w:kern w:val="2"/>
          <w:sz w:val="20"/>
          <w:szCs w:val="20"/>
          <w:lang w:val="en-US" w:eastAsia="en-US"/>
        </w:rPr>
      </w:pPr>
    </w:p>
    <w:p w14:paraId="7D0F5C38" w14:textId="3CE039CA" w:rsidR="008E1F78" w:rsidRPr="00AC57EA" w:rsidRDefault="00DE3080" w:rsidP="00E7485E">
      <w:pPr>
        <w:widowControl/>
        <w:numPr>
          <w:ilvl w:val="0"/>
          <w:numId w:val="2"/>
        </w:numPr>
        <w:tabs>
          <w:tab w:val="left" w:pos="567"/>
          <w:tab w:val="num" w:pos="12305"/>
        </w:tabs>
        <w:adjustRightInd/>
        <w:spacing w:line="240" w:lineRule="auto"/>
        <w:ind w:left="0" w:firstLine="0"/>
        <w:textAlignment w:val="auto"/>
        <w:rPr>
          <w:rFonts w:eastAsia="Calibri"/>
          <w:b/>
          <w:kern w:val="2"/>
          <w:sz w:val="20"/>
          <w:szCs w:val="20"/>
          <w:lang w:val="en-US" w:eastAsia="en-US"/>
        </w:rPr>
      </w:pPr>
      <w:r w:rsidRPr="00AC57EA">
        <w:rPr>
          <w:kern w:val="2"/>
          <w:sz w:val="20"/>
          <w:szCs w:val="20"/>
          <w:lang w:val="en-US" w:eastAsia="en-US"/>
        </w:rPr>
        <w:t>The</w:t>
      </w:r>
      <w:r w:rsidR="00B7258C" w:rsidRPr="00AC57EA">
        <w:rPr>
          <w:rFonts w:eastAsia="Batang"/>
          <w:bCs/>
          <w:kern w:val="2"/>
          <w:sz w:val="20"/>
          <w:szCs w:val="20"/>
          <w:lang w:val="en-US" w:eastAsia="en-US"/>
        </w:rPr>
        <w:t xml:space="preserve"> Court</w:t>
      </w:r>
      <w:r w:rsidR="00B5625C" w:rsidRPr="00AC57EA">
        <w:rPr>
          <w:bCs/>
          <w:kern w:val="2"/>
          <w:sz w:val="20"/>
          <w:szCs w:val="20"/>
          <w:lang w:val="en-US" w:eastAsia="en-US"/>
        </w:rPr>
        <w:t xml:space="preserve"> </w:t>
      </w:r>
      <w:r w:rsidRPr="00AC57EA">
        <w:rPr>
          <w:bCs/>
          <w:kern w:val="2"/>
          <w:sz w:val="20"/>
          <w:szCs w:val="20"/>
          <w:lang w:val="en-US" w:eastAsia="en-US"/>
        </w:rPr>
        <w:t xml:space="preserve">also recalls that, in cases of violence against women, the general obligations established in </w:t>
      </w:r>
      <w:r w:rsidR="00B7258C" w:rsidRPr="00AC57EA">
        <w:rPr>
          <w:bCs/>
          <w:kern w:val="2"/>
          <w:sz w:val="20"/>
          <w:szCs w:val="20"/>
          <w:lang w:val="en-US" w:eastAsia="en-US"/>
        </w:rPr>
        <w:t>Articles</w:t>
      </w:r>
      <w:r w:rsidR="00B5625C" w:rsidRPr="00AC57EA">
        <w:rPr>
          <w:bCs/>
          <w:kern w:val="2"/>
          <w:sz w:val="20"/>
          <w:szCs w:val="20"/>
          <w:lang w:val="en-US" w:eastAsia="en-US"/>
        </w:rPr>
        <w:t xml:space="preserve"> 8</w:t>
      </w:r>
      <w:r w:rsidR="00171E27" w:rsidRPr="00AC57EA">
        <w:rPr>
          <w:bCs/>
          <w:kern w:val="2"/>
          <w:sz w:val="20"/>
          <w:szCs w:val="20"/>
          <w:lang w:val="en-US" w:eastAsia="en-US"/>
        </w:rPr>
        <w:t xml:space="preserve"> and </w:t>
      </w:r>
      <w:r w:rsidR="00B5625C" w:rsidRPr="00AC57EA">
        <w:rPr>
          <w:bCs/>
          <w:kern w:val="2"/>
          <w:sz w:val="20"/>
          <w:szCs w:val="20"/>
          <w:lang w:val="en-US" w:eastAsia="en-US"/>
        </w:rPr>
        <w:t>25</w:t>
      </w:r>
      <w:r w:rsidR="00B7258C" w:rsidRPr="00AC57EA">
        <w:rPr>
          <w:bCs/>
          <w:kern w:val="2"/>
          <w:sz w:val="20"/>
          <w:szCs w:val="20"/>
          <w:lang w:val="en-US" w:eastAsia="en-US"/>
        </w:rPr>
        <w:t xml:space="preserve"> of the American Convention</w:t>
      </w:r>
      <w:r w:rsidR="00B5625C" w:rsidRPr="00AC57EA">
        <w:rPr>
          <w:bCs/>
          <w:kern w:val="2"/>
          <w:sz w:val="20"/>
          <w:szCs w:val="20"/>
          <w:lang w:val="en-US" w:eastAsia="en-US"/>
        </w:rPr>
        <w:t xml:space="preserve"> </w:t>
      </w:r>
      <w:r w:rsidRPr="00AC57EA">
        <w:rPr>
          <w:bCs/>
          <w:kern w:val="2"/>
          <w:sz w:val="20"/>
          <w:szCs w:val="20"/>
          <w:lang w:val="en-US" w:eastAsia="en-US"/>
        </w:rPr>
        <w:t xml:space="preserve">are complemented and reinforced for those States that are parties, by the obligations derived from the specific inter-American treaty, </w:t>
      </w:r>
      <w:r w:rsidR="00B7258C" w:rsidRPr="00AC57EA">
        <w:rPr>
          <w:bCs/>
          <w:kern w:val="2"/>
          <w:sz w:val="20"/>
          <w:szCs w:val="20"/>
          <w:lang w:val="en-US" w:eastAsia="en-US"/>
        </w:rPr>
        <w:t xml:space="preserve">the </w:t>
      </w:r>
      <w:r w:rsidR="00171E27" w:rsidRPr="00AC57EA">
        <w:rPr>
          <w:bCs/>
          <w:kern w:val="2"/>
          <w:sz w:val="20"/>
          <w:szCs w:val="20"/>
          <w:lang w:val="en-US" w:eastAsia="en-US"/>
        </w:rPr>
        <w:t>Convention of Belém</w:t>
      </w:r>
      <w:r w:rsidR="00B5625C" w:rsidRPr="00AC57EA">
        <w:rPr>
          <w:bCs/>
          <w:kern w:val="2"/>
          <w:sz w:val="20"/>
          <w:szCs w:val="20"/>
          <w:lang w:val="en-US" w:eastAsia="en-US"/>
        </w:rPr>
        <w:t xml:space="preserve"> do Pará. </w:t>
      </w:r>
      <w:r w:rsidR="00B7258C" w:rsidRPr="00AC57EA">
        <w:rPr>
          <w:bCs/>
          <w:kern w:val="2"/>
          <w:sz w:val="20"/>
          <w:szCs w:val="20"/>
          <w:lang w:val="en-US" w:eastAsia="en-US"/>
        </w:rPr>
        <w:t>Article</w:t>
      </w:r>
      <w:r w:rsidR="008E1F78" w:rsidRPr="00AC57EA">
        <w:rPr>
          <w:bCs/>
          <w:kern w:val="2"/>
          <w:sz w:val="20"/>
          <w:szCs w:val="20"/>
          <w:lang w:val="en-US" w:eastAsia="en-US"/>
        </w:rPr>
        <w:t xml:space="preserve"> </w:t>
      </w:r>
      <w:r w:rsidR="007D5AA2" w:rsidRPr="00AC57EA">
        <w:rPr>
          <w:bCs/>
          <w:kern w:val="2"/>
          <w:sz w:val="20"/>
          <w:szCs w:val="20"/>
          <w:lang w:val="en-US" w:eastAsia="en-US"/>
        </w:rPr>
        <w:t>7(b)</w:t>
      </w:r>
      <w:r w:rsidRPr="00AC57EA">
        <w:rPr>
          <w:bCs/>
          <w:kern w:val="2"/>
          <w:sz w:val="20"/>
          <w:szCs w:val="20"/>
          <w:lang w:val="en-US" w:eastAsia="en-US"/>
        </w:rPr>
        <w:t xml:space="preserve"> of this Convention specifically obliges </w:t>
      </w:r>
      <w:r w:rsidR="002E79B0" w:rsidRPr="00AC57EA">
        <w:rPr>
          <w:bCs/>
          <w:kern w:val="2"/>
          <w:sz w:val="20"/>
          <w:szCs w:val="20"/>
          <w:lang w:val="en-US" w:eastAsia="en-US"/>
        </w:rPr>
        <w:t>the States Parties</w:t>
      </w:r>
      <w:r w:rsidR="008E1F78" w:rsidRPr="00AC57EA">
        <w:rPr>
          <w:bCs/>
          <w:kern w:val="2"/>
          <w:sz w:val="20"/>
          <w:szCs w:val="20"/>
          <w:lang w:val="en-US" w:eastAsia="en-US"/>
        </w:rPr>
        <w:t xml:space="preserve"> </w:t>
      </w:r>
      <w:r w:rsidRPr="00AC57EA">
        <w:rPr>
          <w:bCs/>
          <w:kern w:val="2"/>
          <w:sz w:val="20"/>
          <w:szCs w:val="20"/>
          <w:lang w:val="en-US" w:eastAsia="en-US"/>
        </w:rPr>
        <w:t xml:space="preserve">to </w:t>
      </w:r>
      <w:r w:rsidRPr="00AC57EA">
        <w:rPr>
          <w:rFonts w:eastAsiaTheme="minorHAnsi" w:cs="Calibri"/>
          <w:sz w:val="20"/>
          <w:szCs w:val="20"/>
          <w:lang w:val="en-US" w:eastAsia="en-US"/>
        </w:rPr>
        <w:t>apply due diligence to prevent, investigate, punish and eradicate violence against women</w:t>
      </w:r>
      <w:r w:rsidRPr="00AC57EA">
        <w:rPr>
          <w:bCs/>
          <w:kern w:val="2"/>
          <w:sz w:val="20"/>
          <w:szCs w:val="20"/>
          <w:lang w:val="en-US" w:eastAsia="en-US"/>
        </w:rPr>
        <w:t xml:space="preserve">. Thus, when an act of violence is committed against a woman, </w:t>
      </w:r>
      <w:r w:rsidR="00215E35" w:rsidRPr="00AC57EA">
        <w:rPr>
          <w:bCs/>
          <w:kern w:val="2"/>
          <w:sz w:val="20"/>
          <w:szCs w:val="20"/>
          <w:lang w:val="en-US" w:eastAsia="en-US"/>
        </w:rPr>
        <w:t xml:space="preserve">by </w:t>
      </w:r>
      <w:r w:rsidRPr="00AC57EA">
        <w:rPr>
          <w:bCs/>
          <w:kern w:val="2"/>
          <w:sz w:val="20"/>
          <w:szCs w:val="20"/>
          <w:lang w:val="en-US" w:eastAsia="en-US"/>
        </w:rPr>
        <w:t xml:space="preserve">either a state agent or a private individual, it is especially important that the authorities in charge of the investigation conduct it with determination and effectiveness, taking into account the duty of society to reject violence against women and the obligation of the State to eradicate this and to </w:t>
      </w:r>
      <w:r w:rsidR="00215E35" w:rsidRPr="00AC57EA">
        <w:rPr>
          <w:bCs/>
          <w:kern w:val="2"/>
          <w:sz w:val="20"/>
          <w:szCs w:val="20"/>
          <w:lang w:val="en-US" w:eastAsia="en-US"/>
        </w:rPr>
        <w:t>ensure that</w:t>
      </w:r>
      <w:r w:rsidRPr="00AC57EA">
        <w:rPr>
          <w:bCs/>
          <w:kern w:val="2"/>
          <w:sz w:val="20"/>
          <w:szCs w:val="20"/>
          <w:lang w:val="en-US" w:eastAsia="en-US"/>
        </w:rPr>
        <w:t xml:space="preserve"> victims</w:t>
      </w:r>
      <w:r w:rsidR="00215E35" w:rsidRPr="00AC57EA">
        <w:rPr>
          <w:bCs/>
          <w:kern w:val="2"/>
          <w:sz w:val="20"/>
          <w:szCs w:val="20"/>
          <w:lang w:val="en-US" w:eastAsia="en-US"/>
        </w:rPr>
        <w:t xml:space="preserve"> have confidence</w:t>
      </w:r>
      <w:r w:rsidRPr="00AC57EA">
        <w:rPr>
          <w:bCs/>
          <w:kern w:val="2"/>
          <w:sz w:val="20"/>
          <w:szCs w:val="20"/>
          <w:lang w:val="en-US" w:eastAsia="en-US"/>
        </w:rPr>
        <w:t xml:space="preserve"> in the institutions established by the State for their protection.</w:t>
      </w:r>
      <w:r w:rsidR="00FB7337" w:rsidRPr="00AC57EA">
        <w:rPr>
          <w:bCs/>
          <w:kern w:val="2"/>
          <w:sz w:val="20"/>
          <w:szCs w:val="20"/>
          <w:vertAlign w:val="superscript"/>
          <w:lang w:val="en-US" w:eastAsia="en-US"/>
        </w:rPr>
        <w:footnoteReference w:id="195"/>
      </w:r>
    </w:p>
    <w:p w14:paraId="5151CC0D" w14:textId="77777777" w:rsidR="008E1F78" w:rsidRPr="00AC57EA" w:rsidRDefault="008E1F78" w:rsidP="008E1F78">
      <w:pPr>
        <w:widowControl/>
        <w:tabs>
          <w:tab w:val="left" w:pos="567"/>
        </w:tabs>
        <w:adjustRightInd/>
        <w:spacing w:line="240" w:lineRule="auto"/>
        <w:textAlignment w:val="auto"/>
        <w:rPr>
          <w:rFonts w:eastAsia="Calibri"/>
          <w:b/>
          <w:kern w:val="2"/>
          <w:sz w:val="20"/>
          <w:szCs w:val="20"/>
          <w:lang w:val="en-US" w:eastAsia="en-US"/>
        </w:rPr>
      </w:pPr>
    </w:p>
    <w:p w14:paraId="4A0DE45E" w14:textId="25ED7F2A" w:rsidR="00B5625C" w:rsidRPr="00AC57EA" w:rsidRDefault="00DE3080" w:rsidP="00DE3080">
      <w:pPr>
        <w:widowControl/>
        <w:numPr>
          <w:ilvl w:val="0"/>
          <w:numId w:val="2"/>
        </w:numPr>
        <w:tabs>
          <w:tab w:val="left" w:pos="567"/>
          <w:tab w:val="num" w:pos="12305"/>
        </w:tabs>
        <w:adjustRightInd/>
        <w:spacing w:line="240" w:lineRule="auto"/>
        <w:ind w:left="0" w:firstLine="0"/>
        <w:textAlignment w:val="auto"/>
        <w:rPr>
          <w:rFonts w:eastAsia="Calibri"/>
          <w:b/>
          <w:kern w:val="2"/>
          <w:sz w:val="20"/>
          <w:szCs w:val="20"/>
          <w:lang w:val="en-US" w:eastAsia="en-US"/>
        </w:rPr>
      </w:pPr>
      <w:r w:rsidRPr="00AC57EA">
        <w:rPr>
          <w:sz w:val="20"/>
          <w:szCs w:val="20"/>
          <w:lang w:val="en-US" w:eastAsia="en-US"/>
        </w:rPr>
        <w:t>Thus,</w:t>
      </w:r>
      <w:r w:rsidR="00B5625C" w:rsidRPr="00AC57EA">
        <w:rPr>
          <w:sz w:val="20"/>
          <w:szCs w:val="20"/>
          <w:lang w:val="en-US" w:eastAsia="en-US"/>
        </w:rPr>
        <w:t xml:space="preserve"> </w:t>
      </w:r>
      <w:r w:rsidR="00B7258C" w:rsidRPr="00AC57EA">
        <w:rPr>
          <w:sz w:val="20"/>
          <w:szCs w:val="20"/>
          <w:lang w:val="en-US" w:eastAsia="en-US"/>
        </w:rPr>
        <w:t>the Court</w:t>
      </w:r>
      <w:r w:rsidR="00B5625C" w:rsidRPr="00AC57EA">
        <w:rPr>
          <w:sz w:val="20"/>
          <w:szCs w:val="20"/>
          <w:lang w:val="en-US" w:eastAsia="en-US"/>
        </w:rPr>
        <w:t xml:space="preserve"> ha</w:t>
      </w:r>
      <w:r w:rsidRPr="00AC57EA">
        <w:rPr>
          <w:sz w:val="20"/>
          <w:szCs w:val="20"/>
          <w:lang w:val="en-US" w:eastAsia="en-US"/>
        </w:rPr>
        <w:t xml:space="preserve">s established that States must adopt comprehensive measures to comply with due diligence. In particular, they must have an appropriate legal </w:t>
      </w:r>
      <w:r w:rsidR="0058389C" w:rsidRPr="00AC57EA">
        <w:rPr>
          <w:sz w:val="20"/>
          <w:szCs w:val="20"/>
          <w:lang w:val="en-US" w:eastAsia="en-US"/>
        </w:rPr>
        <w:t xml:space="preserve">protection </w:t>
      </w:r>
      <w:r w:rsidRPr="00AC57EA">
        <w:rPr>
          <w:sz w:val="20"/>
          <w:szCs w:val="20"/>
          <w:lang w:val="en-US" w:eastAsia="en-US"/>
        </w:rPr>
        <w:t>framework</w:t>
      </w:r>
      <w:r w:rsidR="0058389C" w:rsidRPr="00AC57EA">
        <w:rPr>
          <w:sz w:val="20"/>
          <w:szCs w:val="20"/>
          <w:lang w:val="en-US" w:eastAsia="en-US"/>
        </w:rPr>
        <w:t>, which is enforced effectively, and prevention policies and practices that allow it to act effectively in response to reports. The prevention strategy must be comprehensive; in other words, it must prevent the risk factors and, also, strengthen the institutions so that they can provide an effective response.</w:t>
      </w:r>
      <w:r w:rsidR="00B5625C" w:rsidRPr="00AC57EA">
        <w:rPr>
          <w:sz w:val="20"/>
          <w:szCs w:val="20"/>
          <w:vertAlign w:val="superscript"/>
          <w:lang w:val="en-US" w:eastAsia="en-US"/>
        </w:rPr>
        <w:footnoteReference w:id="196"/>
      </w:r>
    </w:p>
    <w:p w14:paraId="11FEB53B" w14:textId="77777777" w:rsidR="00B5625C" w:rsidRPr="00AC57EA" w:rsidRDefault="00B5625C" w:rsidP="00F23EC8">
      <w:pPr>
        <w:widowControl/>
        <w:tabs>
          <w:tab w:val="left" w:pos="567"/>
        </w:tabs>
        <w:adjustRightInd/>
        <w:spacing w:line="240" w:lineRule="auto"/>
        <w:textAlignment w:val="auto"/>
        <w:rPr>
          <w:bCs/>
          <w:kern w:val="2"/>
          <w:sz w:val="22"/>
          <w:szCs w:val="20"/>
          <w:lang w:val="en-US" w:eastAsia="en-US"/>
        </w:rPr>
      </w:pPr>
    </w:p>
    <w:p w14:paraId="737B4C0E" w14:textId="0DFC0A8B" w:rsidR="0018538B" w:rsidRPr="00AC57EA" w:rsidRDefault="0058389C" w:rsidP="0018538B">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rFonts w:eastAsia="Batang"/>
          <w:kern w:val="2"/>
          <w:sz w:val="20"/>
          <w:szCs w:val="20"/>
          <w:lang w:val="en-US" w:eastAsia="en-US"/>
        </w:rPr>
        <w:t xml:space="preserve">In cases of sexual violence and rape involving adult women, the Court has established a series of criteria that States must follow to ensure that the investigations and criminal proceedings that are undertaken are </w:t>
      </w:r>
      <w:r w:rsidR="00215E35" w:rsidRPr="00AC57EA">
        <w:rPr>
          <w:rFonts w:eastAsia="Batang"/>
          <w:kern w:val="2"/>
          <w:sz w:val="20"/>
          <w:szCs w:val="20"/>
          <w:lang w:val="en-US" w:eastAsia="en-US"/>
        </w:rPr>
        <w:t xml:space="preserve">conducted </w:t>
      </w:r>
      <w:r w:rsidRPr="00AC57EA">
        <w:rPr>
          <w:rFonts w:eastAsia="Batang"/>
          <w:kern w:val="2"/>
          <w:sz w:val="20"/>
          <w:szCs w:val="20"/>
          <w:lang w:val="en-US" w:eastAsia="en-US"/>
        </w:rPr>
        <w:t>with due diligence.</w:t>
      </w:r>
      <w:r w:rsidR="003A005E" w:rsidRPr="00AC57EA">
        <w:rPr>
          <w:rFonts w:eastAsia="Batang"/>
          <w:kern w:val="2"/>
          <w:sz w:val="20"/>
          <w:szCs w:val="20"/>
          <w:vertAlign w:val="superscript"/>
          <w:lang w:val="en-US" w:eastAsia="en-US"/>
        </w:rPr>
        <w:footnoteReference w:id="197"/>
      </w:r>
      <w:r w:rsidR="00B5625C" w:rsidRPr="00AC57EA">
        <w:rPr>
          <w:rFonts w:eastAsia="Batang"/>
          <w:kern w:val="2"/>
          <w:sz w:val="20"/>
          <w:szCs w:val="20"/>
          <w:lang w:val="en-US" w:eastAsia="en-US"/>
        </w:rPr>
        <w:t xml:space="preserve"> </w:t>
      </w:r>
      <w:r w:rsidRPr="00AC57EA">
        <w:rPr>
          <w:rFonts w:eastAsia="Batang"/>
          <w:kern w:val="2"/>
          <w:sz w:val="20"/>
          <w:szCs w:val="20"/>
          <w:lang w:val="en-US" w:eastAsia="en-US"/>
        </w:rPr>
        <w:t>In the instant case</w:t>
      </w:r>
      <w:r w:rsidR="00B5625C" w:rsidRPr="00AC57EA">
        <w:rPr>
          <w:rFonts w:eastAsia="Batang"/>
          <w:kern w:val="2"/>
          <w:sz w:val="20"/>
          <w:szCs w:val="20"/>
          <w:lang w:val="en-US" w:eastAsia="en-US"/>
        </w:rPr>
        <w:t xml:space="preserve">, </w:t>
      </w:r>
      <w:r w:rsidR="00B7258C" w:rsidRPr="00AC57EA">
        <w:rPr>
          <w:rFonts w:eastAsia="Batang"/>
          <w:kern w:val="2"/>
          <w:sz w:val="20"/>
          <w:szCs w:val="20"/>
          <w:lang w:val="en-US" w:eastAsia="en-US"/>
        </w:rPr>
        <w:t>the Court</w:t>
      </w:r>
      <w:r w:rsidR="00B5625C" w:rsidRPr="00AC57EA">
        <w:rPr>
          <w:rFonts w:eastAsia="Batang"/>
          <w:kern w:val="2"/>
          <w:sz w:val="20"/>
          <w:szCs w:val="20"/>
          <w:lang w:val="en-US" w:eastAsia="en-US"/>
        </w:rPr>
        <w:t xml:space="preserve"> </w:t>
      </w:r>
      <w:r w:rsidRPr="00AC57EA">
        <w:rPr>
          <w:rFonts w:eastAsia="Batang"/>
          <w:kern w:val="2"/>
          <w:sz w:val="20"/>
          <w:szCs w:val="20"/>
          <w:lang w:val="en-US" w:eastAsia="en-US"/>
        </w:rPr>
        <w:t xml:space="preserve">has the opportunity to refer to the obligations of a State when the investigations and the criminal proceedings are conducted in the context of a case of rape committed against a child. Consequently, the Court will adopt an intersectoral approach that takes into account the age and gender of the child. </w:t>
      </w:r>
    </w:p>
    <w:p w14:paraId="5C21BB0E" w14:textId="77777777" w:rsidR="00BE5576" w:rsidRPr="00AC57EA" w:rsidRDefault="00BE5576" w:rsidP="00BE5576">
      <w:pPr>
        <w:widowControl/>
        <w:tabs>
          <w:tab w:val="left" w:pos="567"/>
        </w:tabs>
        <w:adjustRightInd/>
        <w:spacing w:line="240" w:lineRule="auto"/>
        <w:textAlignment w:val="auto"/>
        <w:rPr>
          <w:b/>
          <w:kern w:val="2"/>
          <w:sz w:val="20"/>
          <w:szCs w:val="20"/>
          <w:lang w:val="en-US" w:eastAsia="en-US"/>
        </w:rPr>
      </w:pPr>
    </w:p>
    <w:p w14:paraId="1511FF99" w14:textId="10FF7A5B" w:rsidR="00237B54" w:rsidRPr="00AC57EA" w:rsidRDefault="00B7258C" w:rsidP="00D76EF1">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rFonts w:eastAsia="Batang"/>
          <w:kern w:val="2"/>
          <w:sz w:val="20"/>
          <w:szCs w:val="20"/>
          <w:lang w:val="en-US" w:eastAsia="en-US"/>
        </w:rPr>
        <w:t>The Court</w:t>
      </w:r>
      <w:r w:rsidR="00B5625C" w:rsidRPr="00AC57EA">
        <w:rPr>
          <w:rFonts w:eastAsia="Batang"/>
          <w:kern w:val="2"/>
          <w:sz w:val="20"/>
          <w:szCs w:val="20"/>
          <w:lang w:val="en-US" w:eastAsia="en-US"/>
        </w:rPr>
        <w:t xml:space="preserve"> consider</w:t>
      </w:r>
      <w:r w:rsidR="00D76EF1" w:rsidRPr="00AC57EA">
        <w:rPr>
          <w:rFonts w:eastAsia="Batang"/>
          <w:kern w:val="2"/>
          <w:sz w:val="20"/>
          <w:szCs w:val="20"/>
          <w:lang w:val="en-US" w:eastAsia="en-US"/>
        </w:rPr>
        <w:t xml:space="preserve">s that, notwithstanding the </w:t>
      </w:r>
      <w:r w:rsidR="00215E35" w:rsidRPr="00AC57EA">
        <w:rPr>
          <w:rFonts w:eastAsia="Batang"/>
          <w:kern w:val="2"/>
          <w:sz w:val="20"/>
          <w:szCs w:val="20"/>
          <w:lang w:val="en-US" w:eastAsia="en-US"/>
        </w:rPr>
        <w:t>criteria</w:t>
      </w:r>
      <w:r w:rsidR="00D76EF1" w:rsidRPr="00AC57EA">
        <w:rPr>
          <w:rFonts w:eastAsia="Batang"/>
          <w:kern w:val="2"/>
          <w:sz w:val="20"/>
          <w:szCs w:val="20"/>
          <w:lang w:val="en-US" w:eastAsia="en-US"/>
        </w:rPr>
        <w:t xml:space="preserve"> established in cases of sexual violence and rape</w:t>
      </w:r>
      <w:r w:rsidR="00215E35" w:rsidRPr="00AC57EA">
        <w:rPr>
          <w:rFonts w:eastAsia="Batang"/>
          <w:kern w:val="2"/>
          <w:sz w:val="20"/>
          <w:szCs w:val="20"/>
          <w:lang w:val="en-US" w:eastAsia="en-US"/>
        </w:rPr>
        <w:t xml:space="preserve"> perpetrated</w:t>
      </w:r>
      <w:r w:rsidR="00D76EF1" w:rsidRPr="00AC57EA">
        <w:rPr>
          <w:rFonts w:eastAsia="Batang"/>
          <w:kern w:val="2"/>
          <w:sz w:val="20"/>
          <w:szCs w:val="20"/>
          <w:lang w:val="en-US" w:eastAsia="en-US"/>
        </w:rPr>
        <w:t xml:space="preserve"> against adult women, the States must adopt, in the context of observance </w:t>
      </w:r>
      <w:r w:rsidR="00B5625C" w:rsidRPr="00AC57EA">
        <w:rPr>
          <w:rFonts w:eastAsia="Batang"/>
          <w:kern w:val="2"/>
          <w:sz w:val="20"/>
          <w:szCs w:val="20"/>
          <w:lang w:val="en-US" w:eastAsia="en-US"/>
        </w:rPr>
        <w:t xml:space="preserve"> </w:t>
      </w:r>
      <w:r w:rsidR="00171E27" w:rsidRPr="00AC57EA">
        <w:rPr>
          <w:kern w:val="2"/>
          <w:sz w:val="20"/>
          <w:szCs w:val="20"/>
          <w:lang w:val="en-US" w:eastAsia="en-US"/>
        </w:rPr>
        <w:t>of Article</w:t>
      </w:r>
      <w:r w:rsidR="003E3AA9" w:rsidRPr="00AC57EA">
        <w:rPr>
          <w:kern w:val="2"/>
          <w:sz w:val="20"/>
          <w:szCs w:val="20"/>
          <w:lang w:val="en-US" w:eastAsia="en-US"/>
        </w:rPr>
        <w:t xml:space="preserve"> 19</w:t>
      </w:r>
      <w:r w:rsidRPr="00AC57EA">
        <w:rPr>
          <w:kern w:val="2"/>
          <w:sz w:val="20"/>
          <w:szCs w:val="20"/>
          <w:lang w:val="en-US" w:eastAsia="en-US"/>
        </w:rPr>
        <w:t xml:space="preserve"> of the American Convention</w:t>
      </w:r>
      <w:r w:rsidR="00BA71D7" w:rsidRPr="00AC57EA">
        <w:rPr>
          <w:kern w:val="2"/>
          <w:sz w:val="20"/>
          <w:szCs w:val="20"/>
          <w:lang w:val="en-US" w:eastAsia="en-US"/>
        </w:rPr>
        <w:t>,</w:t>
      </w:r>
      <w:r w:rsidR="003E3AA9" w:rsidRPr="00AC57EA">
        <w:rPr>
          <w:rFonts w:eastAsia="Batang"/>
          <w:kern w:val="2"/>
          <w:sz w:val="20"/>
          <w:szCs w:val="20"/>
          <w:lang w:val="en-US" w:eastAsia="en-US"/>
        </w:rPr>
        <w:t xml:space="preserve"> </w:t>
      </w:r>
      <w:r w:rsidR="00D76EF1" w:rsidRPr="00AC57EA">
        <w:rPr>
          <w:rFonts w:eastAsia="Batang"/>
          <w:kern w:val="2"/>
          <w:sz w:val="20"/>
          <w:szCs w:val="20"/>
          <w:lang w:val="en-US" w:eastAsia="en-US"/>
        </w:rPr>
        <w:t xml:space="preserve">special and particular measures in cases where the victim is a child or an adolescent, especially in </w:t>
      </w:r>
      <w:r w:rsidR="00215E35" w:rsidRPr="00AC57EA">
        <w:rPr>
          <w:rFonts w:eastAsia="Batang"/>
          <w:kern w:val="2"/>
          <w:sz w:val="20"/>
          <w:szCs w:val="20"/>
          <w:lang w:val="en-US" w:eastAsia="en-US"/>
        </w:rPr>
        <w:t>cases</w:t>
      </w:r>
      <w:r w:rsidR="00D76EF1" w:rsidRPr="00AC57EA">
        <w:rPr>
          <w:rFonts w:eastAsia="Batang"/>
          <w:kern w:val="2"/>
          <w:sz w:val="20"/>
          <w:szCs w:val="20"/>
          <w:lang w:val="en-US" w:eastAsia="en-US"/>
        </w:rPr>
        <w:t xml:space="preserve"> of sexual violence and, above all, rape. Consequently, in this case, and throughout this judgment, the Court will examine the presumed violations of the rights of a child, not only based on the international instruments concerning violence against women, but will also examine them “in light of the international </w:t>
      </w:r>
      <w:r w:rsidR="00D76EF1" w:rsidRPr="00AC57EA">
        <w:rPr>
          <w:i/>
          <w:iCs/>
          <w:sz w:val="20"/>
          <w:szCs w:val="20"/>
          <w:lang w:val="en-US" w:eastAsia="en-US"/>
        </w:rPr>
        <w:t>corpus juris</w:t>
      </w:r>
      <w:r w:rsidR="00D76EF1" w:rsidRPr="00AC57EA">
        <w:rPr>
          <w:rFonts w:eastAsia="Batang"/>
          <w:kern w:val="2"/>
          <w:sz w:val="20"/>
          <w:szCs w:val="20"/>
          <w:lang w:val="en-US" w:eastAsia="en-US"/>
        </w:rPr>
        <w:t xml:space="preserve"> for the protection of children</w:t>
      </w:r>
      <w:r w:rsidR="00237B54" w:rsidRPr="00AC57EA">
        <w:rPr>
          <w:sz w:val="20"/>
          <w:szCs w:val="20"/>
          <w:lang w:val="en-US" w:eastAsia="en-US"/>
        </w:rPr>
        <w:t>”</w:t>
      </w:r>
      <w:r w:rsidR="00F64EC1" w:rsidRPr="00AC57EA">
        <w:rPr>
          <w:sz w:val="20"/>
          <w:szCs w:val="20"/>
          <w:lang w:val="en-US" w:eastAsia="en-US"/>
        </w:rPr>
        <w:t xml:space="preserve"> (</w:t>
      </w:r>
      <w:r w:rsidR="00F64EC1" w:rsidRPr="00AC57EA">
        <w:rPr>
          <w:i/>
          <w:sz w:val="20"/>
          <w:szCs w:val="20"/>
          <w:lang w:val="en-US" w:eastAsia="en-US"/>
        </w:rPr>
        <w:t>supra</w:t>
      </w:r>
      <w:r w:rsidR="000C7392" w:rsidRPr="00AC57EA">
        <w:rPr>
          <w:sz w:val="20"/>
          <w:szCs w:val="20"/>
          <w:lang w:val="en-US" w:eastAsia="en-US"/>
        </w:rPr>
        <w:t xml:space="preserve"> </w:t>
      </w:r>
      <w:r w:rsidR="00171E27" w:rsidRPr="00AC57EA">
        <w:rPr>
          <w:sz w:val="20"/>
          <w:szCs w:val="20"/>
          <w:lang w:val="en-US" w:eastAsia="en-US"/>
        </w:rPr>
        <w:t>para.</w:t>
      </w:r>
      <w:r w:rsidR="000C7392" w:rsidRPr="00AC57EA">
        <w:rPr>
          <w:sz w:val="20"/>
          <w:szCs w:val="20"/>
          <w:lang w:val="en-US" w:eastAsia="en-US"/>
        </w:rPr>
        <w:t xml:space="preserve"> 42</w:t>
      </w:r>
      <w:r w:rsidR="00F64EC1" w:rsidRPr="00AC57EA">
        <w:rPr>
          <w:sz w:val="20"/>
          <w:szCs w:val="20"/>
          <w:lang w:val="en-US" w:eastAsia="en-US"/>
        </w:rPr>
        <w:t>)</w:t>
      </w:r>
      <w:r w:rsidR="00237B54" w:rsidRPr="00AC57EA">
        <w:rPr>
          <w:sz w:val="20"/>
          <w:szCs w:val="20"/>
          <w:lang w:val="en-US" w:eastAsia="en-US"/>
        </w:rPr>
        <w:t xml:space="preserve">, </w:t>
      </w:r>
      <w:r w:rsidR="00215E35" w:rsidRPr="00AC57EA">
        <w:rPr>
          <w:sz w:val="20"/>
          <w:szCs w:val="20"/>
          <w:lang w:val="en-US" w:eastAsia="en-US"/>
        </w:rPr>
        <w:t>and this</w:t>
      </w:r>
      <w:r w:rsidR="00D76EF1" w:rsidRPr="00AC57EA">
        <w:rPr>
          <w:sz w:val="20"/>
          <w:szCs w:val="20"/>
          <w:lang w:val="en-US" w:eastAsia="en-US"/>
        </w:rPr>
        <w:t xml:space="preserve"> should also serve to define the content and scope of </w:t>
      </w:r>
      <w:r w:rsidR="00215E35" w:rsidRPr="00AC57EA">
        <w:rPr>
          <w:sz w:val="20"/>
          <w:szCs w:val="20"/>
          <w:lang w:val="en-US" w:eastAsia="en-US"/>
        </w:rPr>
        <w:t xml:space="preserve">state </w:t>
      </w:r>
      <w:r w:rsidR="00D76EF1" w:rsidRPr="00AC57EA">
        <w:rPr>
          <w:sz w:val="20"/>
          <w:szCs w:val="20"/>
          <w:lang w:val="en-US" w:eastAsia="en-US"/>
        </w:rPr>
        <w:t>obligations when the rights of children and adolescents are analyzed</w:t>
      </w:r>
      <w:r w:rsidR="00D76EF1" w:rsidRPr="00AC57EA">
        <w:rPr>
          <w:sz w:val="20"/>
          <w:szCs w:val="20"/>
          <w:vertAlign w:val="superscript"/>
          <w:lang w:val="en-US" w:eastAsia="en-US"/>
        </w:rPr>
        <w:footnoteReference w:id="198"/>
      </w:r>
      <w:r w:rsidR="00D76EF1" w:rsidRPr="00AC57EA">
        <w:rPr>
          <w:sz w:val="20"/>
          <w:szCs w:val="20"/>
          <w:lang w:val="en-US" w:eastAsia="en-US"/>
        </w:rPr>
        <w:t xml:space="preserve"> and, in this particular case, the increased </w:t>
      </w:r>
      <w:r w:rsidR="00215E35" w:rsidRPr="00AC57EA">
        <w:rPr>
          <w:sz w:val="20"/>
          <w:szCs w:val="20"/>
          <w:lang w:val="en-US" w:eastAsia="en-US"/>
        </w:rPr>
        <w:t>s</w:t>
      </w:r>
      <w:r w:rsidR="00D76EF1" w:rsidRPr="00AC57EA">
        <w:rPr>
          <w:sz w:val="20"/>
          <w:szCs w:val="20"/>
          <w:lang w:val="en-US" w:eastAsia="en-US"/>
        </w:rPr>
        <w:t xml:space="preserve">tate obligation of due diligence. The Court will also apply the four guiding principles </w:t>
      </w:r>
      <w:r w:rsidRPr="00AC57EA">
        <w:rPr>
          <w:rFonts w:eastAsia="Batang"/>
          <w:kern w:val="2"/>
          <w:sz w:val="20"/>
          <w:szCs w:val="20"/>
          <w:lang w:val="en-US" w:eastAsia="en-US"/>
        </w:rPr>
        <w:t xml:space="preserve">of the </w:t>
      </w:r>
      <w:r w:rsidR="00171E27" w:rsidRPr="00AC57EA">
        <w:rPr>
          <w:rFonts w:eastAsia="Batang"/>
          <w:kern w:val="2"/>
          <w:sz w:val="20"/>
          <w:szCs w:val="20"/>
          <w:lang w:val="en-US" w:eastAsia="en-US"/>
        </w:rPr>
        <w:t>Convention on the Rights of the Child</w:t>
      </w:r>
      <w:r w:rsidR="00D76EF1" w:rsidRPr="00AC57EA">
        <w:rPr>
          <w:rFonts w:eastAsia="Batang"/>
          <w:kern w:val="2"/>
          <w:sz w:val="20"/>
          <w:szCs w:val="20"/>
          <w:lang w:val="en-US" w:eastAsia="en-US"/>
        </w:rPr>
        <w:t>; these are: the principle of non-discrimination,</w:t>
      </w:r>
      <w:r w:rsidR="001B7672" w:rsidRPr="00AC57EA">
        <w:rPr>
          <w:rFonts w:eastAsia="Batang"/>
          <w:kern w:val="2"/>
          <w:sz w:val="20"/>
          <w:szCs w:val="20"/>
          <w:vertAlign w:val="superscript"/>
          <w:lang w:val="en-US" w:eastAsia="en-US"/>
        </w:rPr>
        <w:footnoteReference w:id="199"/>
      </w:r>
      <w:r w:rsidR="001B7672" w:rsidRPr="00AC57EA">
        <w:rPr>
          <w:rFonts w:eastAsia="Batang"/>
          <w:kern w:val="2"/>
          <w:sz w:val="20"/>
          <w:szCs w:val="20"/>
          <w:lang w:val="en-US" w:eastAsia="en-US"/>
        </w:rPr>
        <w:t xml:space="preserve"> </w:t>
      </w:r>
      <w:r w:rsidR="00D76EF1" w:rsidRPr="00AC57EA">
        <w:rPr>
          <w:rFonts w:eastAsia="Batang"/>
          <w:kern w:val="2"/>
          <w:sz w:val="20"/>
          <w:szCs w:val="20"/>
          <w:lang w:val="en-US" w:eastAsia="en-US"/>
        </w:rPr>
        <w:t>the principle of the best interest of the child,</w:t>
      </w:r>
      <w:r w:rsidR="001B7672" w:rsidRPr="00AC57EA">
        <w:rPr>
          <w:rFonts w:eastAsia="Batang"/>
          <w:kern w:val="2"/>
          <w:sz w:val="20"/>
          <w:szCs w:val="20"/>
          <w:vertAlign w:val="superscript"/>
          <w:lang w:val="en-US" w:eastAsia="en-US"/>
        </w:rPr>
        <w:footnoteReference w:id="200"/>
      </w:r>
      <w:r w:rsidR="00D76EF1" w:rsidRPr="00AC57EA">
        <w:rPr>
          <w:rFonts w:eastAsia="Batang"/>
          <w:kern w:val="2"/>
          <w:sz w:val="20"/>
          <w:szCs w:val="20"/>
          <w:lang w:val="en-US" w:eastAsia="en-US"/>
        </w:rPr>
        <w:t xml:space="preserve"> the principle of respect for the right to life, survival and development,</w:t>
      </w:r>
      <w:r w:rsidR="001B7672" w:rsidRPr="00AC57EA">
        <w:rPr>
          <w:rFonts w:eastAsia="Batang"/>
          <w:kern w:val="2"/>
          <w:sz w:val="20"/>
          <w:szCs w:val="20"/>
          <w:vertAlign w:val="superscript"/>
          <w:lang w:val="en-US" w:eastAsia="en-US"/>
        </w:rPr>
        <w:footnoteReference w:id="201"/>
      </w:r>
      <w:r w:rsidR="00171E27" w:rsidRPr="00AC57EA">
        <w:rPr>
          <w:rFonts w:eastAsia="Batang"/>
          <w:kern w:val="2"/>
          <w:sz w:val="20"/>
          <w:szCs w:val="20"/>
          <w:lang w:val="en-US" w:eastAsia="en-US"/>
        </w:rPr>
        <w:t xml:space="preserve"> and </w:t>
      </w:r>
      <w:r w:rsidR="00D76EF1" w:rsidRPr="00AC57EA">
        <w:rPr>
          <w:rFonts w:eastAsia="Batang"/>
          <w:kern w:val="2"/>
          <w:sz w:val="20"/>
          <w:szCs w:val="20"/>
          <w:lang w:val="en-US" w:eastAsia="en-US"/>
        </w:rPr>
        <w:t xml:space="preserve">the principle of respect for the opinion of the child in all proceedings that </w:t>
      </w:r>
      <w:r w:rsidR="00D76EF1" w:rsidRPr="00AC57EA">
        <w:rPr>
          <w:rFonts w:eastAsia="Batang"/>
          <w:kern w:val="2"/>
          <w:sz w:val="20"/>
          <w:szCs w:val="20"/>
          <w:lang w:val="en-US" w:eastAsia="en-US"/>
        </w:rPr>
        <w:lastRenderedPageBreak/>
        <w:t>affect her, so that her participation is guaranteed,</w:t>
      </w:r>
      <w:r w:rsidR="001B7672" w:rsidRPr="00AC57EA">
        <w:rPr>
          <w:rFonts w:eastAsia="Batang"/>
          <w:kern w:val="2"/>
          <w:sz w:val="20"/>
          <w:szCs w:val="20"/>
          <w:vertAlign w:val="superscript"/>
          <w:lang w:val="en-US" w:eastAsia="en-US"/>
        </w:rPr>
        <w:footnoteReference w:id="202"/>
      </w:r>
      <w:r w:rsidR="00D76EF1" w:rsidRPr="00AC57EA">
        <w:rPr>
          <w:rFonts w:eastAsia="Batang"/>
          <w:kern w:val="2"/>
          <w:sz w:val="20"/>
          <w:szCs w:val="20"/>
          <w:lang w:val="en-US" w:eastAsia="en-US"/>
        </w:rPr>
        <w:t xml:space="preserve"> as pertinent to identify the special measures required to make the rights of children and adolescents effective when they are victims of crimes of sexual violence.</w:t>
      </w:r>
    </w:p>
    <w:p w14:paraId="6E875F8E" w14:textId="77777777" w:rsidR="00237B54" w:rsidRPr="00AC57EA" w:rsidRDefault="00237B54" w:rsidP="00237B54">
      <w:pPr>
        <w:widowControl/>
        <w:tabs>
          <w:tab w:val="left" w:pos="567"/>
        </w:tabs>
        <w:adjustRightInd/>
        <w:spacing w:line="240" w:lineRule="auto"/>
        <w:textAlignment w:val="auto"/>
        <w:rPr>
          <w:kern w:val="2"/>
          <w:sz w:val="20"/>
          <w:szCs w:val="20"/>
          <w:lang w:val="en-US" w:eastAsia="en-US"/>
        </w:rPr>
      </w:pPr>
    </w:p>
    <w:p w14:paraId="7E11E0D3" w14:textId="2CB213AF" w:rsidR="00711D12" w:rsidRPr="00AC57EA" w:rsidRDefault="00D76EF1" w:rsidP="00711D12">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The special measures of protection that the State must adopt are based on the fact that children and adolescents are considered to be more vulnerable </w:t>
      </w:r>
      <w:r w:rsidR="00711D12" w:rsidRPr="00AC57EA">
        <w:rPr>
          <w:kern w:val="2"/>
          <w:sz w:val="20"/>
          <w:szCs w:val="20"/>
          <w:lang w:val="en-US" w:eastAsia="en-US"/>
        </w:rPr>
        <w:t>to human right violation</w:t>
      </w:r>
      <w:r w:rsidR="00655C9C" w:rsidRPr="00AC57EA">
        <w:rPr>
          <w:kern w:val="2"/>
          <w:sz w:val="20"/>
          <w:szCs w:val="20"/>
          <w:lang w:val="en-US" w:eastAsia="en-US"/>
        </w:rPr>
        <w:t>s</w:t>
      </w:r>
      <w:r w:rsidR="00711D12" w:rsidRPr="00AC57EA">
        <w:rPr>
          <w:kern w:val="2"/>
          <w:sz w:val="20"/>
          <w:szCs w:val="20"/>
          <w:lang w:val="en-US" w:eastAsia="en-US"/>
        </w:rPr>
        <w:t xml:space="preserve">, </w:t>
      </w:r>
      <w:r w:rsidR="00655C9C" w:rsidRPr="00AC57EA">
        <w:rPr>
          <w:kern w:val="2"/>
          <w:sz w:val="20"/>
          <w:szCs w:val="20"/>
          <w:lang w:val="en-US" w:eastAsia="en-US"/>
        </w:rPr>
        <w:t>and this</w:t>
      </w:r>
      <w:r w:rsidR="00711D12" w:rsidRPr="00AC57EA">
        <w:rPr>
          <w:kern w:val="2"/>
          <w:sz w:val="20"/>
          <w:szCs w:val="20"/>
          <w:lang w:val="en-US" w:eastAsia="en-US"/>
        </w:rPr>
        <w:t xml:space="preserve"> will also be determined by different factors, such as age, the particular conditions of each one, and their level of development and maturity,</w:t>
      </w:r>
      <w:r w:rsidR="00875827" w:rsidRPr="00AC57EA">
        <w:rPr>
          <w:kern w:val="2"/>
          <w:sz w:val="20"/>
          <w:szCs w:val="20"/>
          <w:vertAlign w:val="superscript"/>
          <w:lang w:val="en-US" w:eastAsia="en-US"/>
        </w:rPr>
        <w:footnoteReference w:id="203"/>
      </w:r>
      <w:r w:rsidR="0099548A" w:rsidRPr="00AC57EA">
        <w:rPr>
          <w:kern w:val="2"/>
          <w:sz w:val="20"/>
          <w:szCs w:val="20"/>
          <w:lang w:val="en-US" w:eastAsia="en-US"/>
        </w:rPr>
        <w:t xml:space="preserve"> </w:t>
      </w:r>
      <w:r w:rsidR="00711D12" w:rsidRPr="00AC57EA">
        <w:rPr>
          <w:kern w:val="2"/>
          <w:sz w:val="20"/>
          <w:szCs w:val="20"/>
          <w:lang w:val="en-US" w:eastAsia="en-US"/>
        </w:rPr>
        <w:t>among other matters.</w:t>
      </w:r>
      <w:r w:rsidR="00237B54" w:rsidRPr="00AC57EA">
        <w:rPr>
          <w:kern w:val="2"/>
          <w:sz w:val="20"/>
          <w:szCs w:val="20"/>
          <w:vertAlign w:val="superscript"/>
          <w:lang w:val="en-US" w:eastAsia="en-US"/>
        </w:rPr>
        <w:footnoteReference w:id="204"/>
      </w:r>
      <w:r w:rsidR="00711D12" w:rsidRPr="00AC57EA">
        <w:rPr>
          <w:kern w:val="2"/>
          <w:sz w:val="20"/>
          <w:szCs w:val="20"/>
          <w:lang w:val="en-US" w:eastAsia="en-US"/>
        </w:rPr>
        <w:t xml:space="preserve"> In the case of </w:t>
      </w:r>
      <w:r w:rsidR="003C0AC1" w:rsidRPr="00AC57EA">
        <w:rPr>
          <w:kern w:val="2"/>
          <w:sz w:val="20"/>
          <w:szCs w:val="20"/>
          <w:lang w:val="en-US" w:eastAsia="en-US"/>
        </w:rPr>
        <w:t>female child</w:t>
      </w:r>
      <w:r w:rsidR="00711D12" w:rsidRPr="00AC57EA">
        <w:rPr>
          <w:kern w:val="2"/>
          <w:sz w:val="20"/>
          <w:szCs w:val="20"/>
          <w:lang w:val="en-US" w:eastAsia="en-US"/>
        </w:rPr>
        <w:t>ren, this vulnerability to human rights violations may be framed in and increased by factors of historical discrimination</w:t>
      </w:r>
      <w:r w:rsidR="00711D12" w:rsidRPr="00AC57EA">
        <w:rPr>
          <w:rStyle w:val="Refdenotaalpie"/>
          <w:rFonts w:eastAsia="MS ????"/>
          <w:kern w:val="2"/>
          <w:sz w:val="20"/>
          <w:szCs w:val="20"/>
          <w:lang w:val="en-US"/>
        </w:rPr>
        <w:footnoteReference w:id="205"/>
      </w:r>
      <w:r w:rsidR="00711D12" w:rsidRPr="00AC57EA">
        <w:rPr>
          <w:kern w:val="2"/>
          <w:sz w:val="20"/>
          <w:szCs w:val="20"/>
          <w:lang w:val="en-US"/>
        </w:rPr>
        <w:t xml:space="preserve"> that have contributed to the fact that women and girls suffer greater levels of sexual violence, especially within the family.</w:t>
      </w:r>
      <w:r w:rsidR="001D133A" w:rsidRPr="00AC57EA">
        <w:rPr>
          <w:rStyle w:val="Refdenotaalpie"/>
          <w:rFonts w:eastAsia="MS ????"/>
          <w:kern w:val="2"/>
          <w:sz w:val="20"/>
          <w:szCs w:val="20"/>
          <w:lang w:val="en-US"/>
        </w:rPr>
        <w:footnoteReference w:id="206"/>
      </w:r>
      <w:r w:rsidR="00711D12" w:rsidRPr="00AC57EA">
        <w:rPr>
          <w:kern w:val="2"/>
          <w:sz w:val="20"/>
          <w:szCs w:val="20"/>
          <w:lang w:val="en-US"/>
        </w:rPr>
        <w:t xml:space="preserve"> With regard to the institutional response in order to </w:t>
      </w:r>
      <w:r w:rsidR="00711D12" w:rsidRPr="00AC57EA">
        <w:rPr>
          <w:kern w:val="2"/>
          <w:sz w:val="20"/>
          <w:szCs w:val="20"/>
          <w:lang w:val="en-US"/>
        </w:rPr>
        <w:lastRenderedPageBreak/>
        <w:t xml:space="preserve">ensure </w:t>
      </w:r>
      <w:r w:rsidR="00655C9C" w:rsidRPr="00AC57EA">
        <w:rPr>
          <w:kern w:val="2"/>
          <w:sz w:val="20"/>
          <w:szCs w:val="20"/>
          <w:lang w:val="en-US"/>
        </w:rPr>
        <w:t>a</w:t>
      </w:r>
      <w:r w:rsidR="00711D12" w:rsidRPr="00AC57EA">
        <w:rPr>
          <w:kern w:val="2"/>
          <w:sz w:val="20"/>
          <w:szCs w:val="20"/>
          <w:lang w:val="en-US"/>
        </w:rPr>
        <w:t>ccess to justice for victims of sexual violence, the Court notes that children and adolescent</w:t>
      </w:r>
      <w:r w:rsidR="00655C9C" w:rsidRPr="00AC57EA">
        <w:rPr>
          <w:kern w:val="2"/>
          <w:sz w:val="20"/>
          <w:szCs w:val="20"/>
          <w:lang w:val="en-US"/>
        </w:rPr>
        <w:t>s</w:t>
      </w:r>
      <w:r w:rsidR="00711D12" w:rsidRPr="00AC57EA">
        <w:rPr>
          <w:kern w:val="2"/>
          <w:sz w:val="20"/>
          <w:szCs w:val="20"/>
          <w:lang w:val="en-US"/>
        </w:rPr>
        <w:t xml:space="preserve"> may face different obstacles and barriers of a legal and financial nature that infringe the principle of their progressive autonomy as subjects of rights, or that do not guarantee legal assistance that allows them to assert their rights and interests in the proceedings that concern them. Such obstacles not only contribute to the denial of justice, but are discriminatory, because they do not allow them to exercise the right of access to justice in equal conditions. The foregoing reveals that the obligation to ensure rights acquires </w:t>
      </w:r>
      <w:r w:rsidR="006A7FB2" w:rsidRPr="00AC57EA">
        <w:rPr>
          <w:kern w:val="2"/>
          <w:sz w:val="20"/>
          <w:szCs w:val="20"/>
          <w:lang w:val="en-US"/>
        </w:rPr>
        <w:t>particular importance</w:t>
      </w:r>
      <w:r w:rsidR="00711D12" w:rsidRPr="00AC57EA">
        <w:rPr>
          <w:kern w:val="2"/>
          <w:sz w:val="20"/>
          <w:szCs w:val="20"/>
          <w:lang w:val="en-US"/>
        </w:rPr>
        <w:t xml:space="preserve"> when </w:t>
      </w:r>
      <w:r w:rsidR="003C0AC1" w:rsidRPr="00AC57EA">
        <w:rPr>
          <w:kern w:val="2"/>
          <w:sz w:val="20"/>
          <w:szCs w:val="20"/>
          <w:lang w:val="en-US"/>
        </w:rPr>
        <w:t>female child</w:t>
      </w:r>
      <w:r w:rsidR="00711D12" w:rsidRPr="00AC57EA">
        <w:rPr>
          <w:kern w:val="2"/>
          <w:sz w:val="20"/>
          <w:szCs w:val="20"/>
          <w:lang w:val="en-US"/>
        </w:rPr>
        <w:t xml:space="preserve">ren are victims of a crime of sexual violence </w:t>
      </w:r>
      <w:r w:rsidR="006A7FB2" w:rsidRPr="00AC57EA">
        <w:rPr>
          <w:kern w:val="2"/>
          <w:sz w:val="20"/>
          <w:szCs w:val="20"/>
          <w:lang w:val="en-US"/>
        </w:rPr>
        <w:t>and take part in investigations and criminal proceedings, as in this case.</w:t>
      </w:r>
    </w:p>
    <w:p w14:paraId="246ADD9A" w14:textId="77777777" w:rsidR="00C121FD" w:rsidRPr="00AC57EA" w:rsidRDefault="00C121FD" w:rsidP="004317CE">
      <w:pPr>
        <w:widowControl/>
        <w:tabs>
          <w:tab w:val="left" w:pos="567"/>
        </w:tabs>
        <w:adjustRightInd/>
        <w:spacing w:line="240" w:lineRule="auto"/>
        <w:textAlignment w:val="auto"/>
        <w:rPr>
          <w:kern w:val="2"/>
          <w:sz w:val="20"/>
          <w:szCs w:val="20"/>
          <w:lang w:val="en-US" w:eastAsia="en-US"/>
        </w:rPr>
      </w:pPr>
    </w:p>
    <w:p w14:paraId="06C338CF" w14:textId="7EB9CB8D" w:rsidR="00EB3689" w:rsidRPr="00AC57EA" w:rsidRDefault="006A7FB2" w:rsidP="00EB3689">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bCs/>
          <w:kern w:val="2"/>
          <w:sz w:val="20"/>
          <w:szCs w:val="20"/>
          <w:lang w:val="en-US" w:eastAsia="en-US"/>
        </w:rPr>
        <w:t xml:space="preserve">Indeed, it should be recalled that the </w:t>
      </w:r>
      <w:r w:rsidR="00171E27" w:rsidRPr="00AC57EA">
        <w:rPr>
          <w:bCs/>
          <w:kern w:val="2"/>
          <w:sz w:val="20"/>
          <w:szCs w:val="20"/>
          <w:lang w:val="en-US" w:eastAsia="en-US"/>
        </w:rPr>
        <w:t>Convention of Belém</w:t>
      </w:r>
      <w:r w:rsidR="00C121FD" w:rsidRPr="00AC57EA">
        <w:rPr>
          <w:bCs/>
          <w:kern w:val="2"/>
          <w:sz w:val="20"/>
          <w:szCs w:val="20"/>
          <w:lang w:val="en-US" w:eastAsia="en-US"/>
        </w:rPr>
        <w:t xml:space="preserve"> do Pará </w:t>
      </w:r>
      <w:r w:rsidRPr="00AC57EA">
        <w:rPr>
          <w:bCs/>
          <w:kern w:val="2"/>
          <w:sz w:val="20"/>
          <w:szCs w:val="20"/>
          <w:lang w:val="en-US" w:eastAsia="en-US"/>
        </w:rPr>
        <w:t xml:space="preserve">considered it pertinent to emphasize that State policies </w:t>
      </w:r>
      <w:r w:rsidR="00EB3689" w:rsidRPr="00AC57EA">
        <w:rPr>
          <w:bCs/>
          <w:kern w:val="2"/>
          <w:sz w:val="20"/>
          <w:szCs w:val="20"/>
          <w:lang w:val="en-US" w:eastAsia="en-US"/>
        </w:rPr>
        <w:t>to prevent, punish and eradicate violence against women should take into account the situation of vulnerability to violence that a</w:t>
      </w:r>
      <w:r w:rsidR="00A17DE7" w:rsidRPr="00AC57EA">
        <w:rPr>
          <w:bCs/>
          <w:kern w:val="2"/>
          <w:sz w:val="20"/>
          <w:szCs w:val="20"/>
          <w:lang w:val="en-US" w:eastAsia="en-US"/>
        </w:rPr>
        <w:t xml:space="preserve"> female</w:t>
      </w:r>
      <w:r w:rsidR="00EB3689" w:rsidRPr="00AC57EA">
        <w:rPr>
          <w:bCs/>
          <w:kern w:val="2"/>
          <w:sz w:val="20"/>
          <w:szCs w:val="20"/>
          <w:lang w:val="en-US" w:eastAsia="en-US"/>
        </w:rPr>
        <w:t xml:space="preserve"> child or adolescent could suffer.</w:t>
      </w:r>
      <w:r w:rsidR="00C121FD" w:rsidRPr="00AC57EA">
        <w:rPr>
          <w:rFonts w:cs="Tahoma"/>
          <w:sz w:val="20"/>
          <w:szCs w:val="20"/>
          <w:shd w:val="clear" w:color="auto" w:fill="FFFFFF"/>
          <w:lang w:val="en-US" w:eastAsia="en-US"/>
        </w:rPr>
        <w:t xml:space="preserve"> </w:t>
      </w:r>
      <w:r w:rsidR="00EB3689" w:rsidRPr="00AC57EA">
        <w:rPr>
          <w:rFonts w:cs="Tahoma"/>
          <w:kern w:val="2"/>
          <w:sz w:val="20"/>
          <w:szCs w:val="20"/>
          <w:shd w:val="clear" w:color="auto" w:fill="FFFFFF"/>
          <w:lang w:val="en-US" w:eastAsia="en-US"/>
        </w:rPr>
        <w:t xml:space="preserve">Article 9 of this Convention establishes that </w:t>
      </w:r>
      <w:r w:rsidR="00EB3689" w:rsidRPr="00AC57EA">
        <w:rPr>
          <w:sz w:val="20"/>
          <w:szCs w:val="20"/>
          <w:lang w:val="en-US"/>
        </w:rPr>
        <w:t xml:space="preserve">the States Parties shall take special account of the vulnerability of women to violence by reason of being under the age of 18, so that in cases in which a </w:t>
      </w:r>
      <w:r w:rsidR="003C0AC1" w:rsidRPr="00AC57EA">
        <w:rPr>
          <w:sz w:val="20"/>
          <w:szCs w:val="20"/>
          <w:lang w:val="en-US"/>
        </w:rPr>
        <w:t>female child</w:t>
      </w:r>
      <w:r w:rsidR="00EB3689" w:rsidRPr="00AC57EA">
        <w:rPr>
          <w:sz w:val="20"/>
          <w:szCs w:val="20"/>
          <w:lang w:val="en-US"/>
        </w:rPr>
        <w:t xml:space="preserve"> or adolescent is the victim of violence against women, in particular sexual violence or rape, the state authorities must take particular care when conducting the domestic investigations and proceedings, as well as when adopting measures of protection and support during the proceedings and afterwards</w:t>
      </w:r>
      <w:r w:rsidR="00655C9C" w:rsidRPr="00AC57EA">
        <w:rPr>
          <w:sz w:val="20"/>
          <w:szCs w:val="20"/>
          <w:lang w:val="en-US"/>
        </w:rPr>
        <w:t>,</w:t>
      </w:r>
      <w:r w:rsidR="00EB3689" w:rsidRPr="00AC57EA">
        <w:rPr>
          <w:sz w:val="20"/>
          <w:szCs w:val="20"/>
          <w:lang w:val="en-US"/>
        </w:rPr>
        <w:t xml:space="preserve"> in order to achieve the victim’s rehabilitation and reinsertion.</w:t>
      </w:r>
    </w:p>
    <w:p w14:paraId="29601242" w14:textId="77777777" w:rsidR="000063E6" w:rsidRPr="00AC57EA" w:rsidRDefault="000063E6" w:rsidP="009B3EBD">
      <w:pPr>
        <w:spacing w:line="240" w:lineRule="auto"/>
        <w:rPr>
          <w:kern w:val="2"/>
          <w:sz w:val="20"/>
          <w:szCs w:val="20"/>
          <w:lang w:val="en-US" w:eastAsia="en-US"/>
        </w:rPr>
      </w:pPr>
    </w:p>
    <w:p w14:paraId="65A935C2" w14:textId="297C769C" w:rsidR="009B3EBD" w:rsidRPr="00AC57EA" w:rsidRDefault="00A92F94" w:rsidP="00A92F94">
      <w:pPr>
        <w:pStyle w:val="Ttulo3"/>
        <w:rPr>
          <w:b w:val="0"/>
          <w:i/>
          <w:lang w:val="en-US"/>
        </w:rPr>
      </w:pPr>
      <w:bookmarkStart w:id="119" w:name="_Toc514172631"/>
      <w:r w:rsidRPr="00AC57EA">
        <w:rPr>
          <w:b w:val="0"/>
          <w:i/>
          <w:lang w:val="en-US"/>
        </w:rPr>
        <w:t>A</w:t>
      </w:r>
      <w:r w:rsidR="00F977EC" w:rsidRPr="00AC57EA">
        <w:rPr>
          <w:b w:val="0"/>
          <w:i/>
          <w:lang w:val="en-US" w:eastAsia="es-CR"/>
        </w:rPr>
        <w:t xml:space="preserve">.2.a </w:t>
      </w:r>
      <w:r w:rsidR="00CB0E00" w:rsidRPr="00AC57EA">
        <w:rPr>
          <w:b w:val="0"/>
          <w:i/>
          <w:lang w:val="en-US" w:eastAsia="es-CR"/>
        </w:rPr>
        <w:tab/>
      </w:r>
      <w:r w:rsidR="001567A9" w:rsidRPr="00AC57EA">
        <w:rPr>
          <w:b w:val="0"/>
          <w:i/>
          <w:lang w:val="en-US" w:eastAsia="es-CR"/>
        </w:rPr>
        <w:t xml:space="preserve">The essential components of the </w:t>
      </w:r>
      <w:r w:rsidR="007D5AA2" w:rsidRPr="00AC57EA">
        <w:rPr>
          <w:b w:val="0"/>
          <w:i/>
          <w:lang w:val="en-US" w:eastAsia="es-CR"/>
        </w:rPr>
        <w:t xml:space="preserve">duty of </w:t>
      </w:r>
      <w:r w:rsidR="00994884" w:rsidRPr="00AC57EA">
        <w:rPr>
          <w:b w:val="0"/>
          <w:i/>
          <w:lang w:val="en-US" w:eastAsia="es-CR"/>
        </w:rPr>
        <w:t>enhanced due diligence</w:t>
      </w:r>
      <w:r w:rsidR="007D5AA2" w:rsidRPr="00AC57EA">
        <w:rPr>
          <w:b w:val="0"/>
          <w:i/>
          <w:lang w:val="en-US" w:eastAsia="es-CR"/>
        </w:rPr>
        <w:t xml:space="preserve"> and special protection</w:t>
      </w:r>
      <w:bookmarkEnd w:id="119"/>
    </w:p>
    <w:p w14:paraId="27802DC4" w14:textId="77777777" w:rsidR="009B3EBD" w:rsidRPr="00AC57EA" w:rsidRDefault="009B3EBD" w:rsidP="009B3EBD">
      <w:pPr>
        <w:spacing w:line="240" w:lineRule="auto"/>
        <w:rPr>
          <w:kern w:val="2"/>
          <w:sz w:val="20"/>
          <w:szCs w:val="20"/>
          <w:lang w:val="en-US" w:eastAsia="en-US"/>
        </w:rPr>
      </w:pPr>
    </w:p>
    <w:p w14:paraId="7B688D52" w14:textId="441EBA5C" w:rsidR="0060210B" w:rsidRPr="00AC57EA" w:rsidRDefault="001567A9" w:rsidP="001567A9">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kern w:val="2"/>
          <w:sz w:val="20"/>
          <w:szCs w:val="20"/>
          <w:lang w:val="en-US" w:eastAsia="en-US"/>
        </w:rPr>
        <w:t xml:space="preserve">The particular importance mentioned above results in the State’s obligation to organize the system of justice in a way that the actions of the authorities in conformity with due diligence entail the adoption of a series of measures and the implementation of proceedings </w:t>
      </w:r>
      <w:r w:rsidR="00F755E3" w:rsidRPr="00AC57EA">
        <w:rPr>
          <w:kern w:val="2"/>
          <w:sz w:val="20"/>
          <w:szCs w:val="20"/>
          <w:lang w:val="en-US" w:eastAsia="en-US"/>
        </w:rPr>
        <w:t xml:space="preserve">that are </w:t>
      </w:r>
      <w:r w:rsidRPr="00AC57EA">
        <w:rPr>
          <w:kern w:val="2"/>
          <w:sz w:val="20"/>
          <w:szCs w:val="20"/>
          <w:lang w:val="en-US" w:eastAsia="en-US"/>
        </w:rPr>
        <w:t>adapted to children and adolescents. The Court has already indicated that the special protection derived from Article 19 of the Convention means that the State’s observance of the guarantees of due process results in differentiated components and guarantees in the case of children and adolescents based on the recognition that they do not participate in proceedings in the same conditions as an adult.</w:t>
      </w:r>
      <w:r w:rsidR="00E24907" w:rsidRPr="00AC57EA">
        <w:rPr>
          <w:sz w:val="20"/>
          <w:szCs w:val="20"/>
          <w:vertAlign w:val="superscript"/>
          <w:lang w:val="en-US"/>
        </w:rPr>
        <w:footnoteReference w:id="207"/>
      </w:r>
      <w:r w:rsidR="00E24907" w:rsidRPr="00AC57EA">
        <w:rPr>
          <w:rFonts w:eastAsia="Arial" w:cs="Arial"/>
          <w:sz w:val="20"/>
          <w:szCs w:val="20"/>
          <w:lang w:val="en-US"/>
        </w:rPr>
        <w:t xml:space="preserve"> </w:t>
      </w:r>
      <w:r w:rsidRPr="00AC57EA">
        <w:rPr>
          <w:rFonts w:eastAsia="Arial" w:cs="Arial"/>
          <w:sz w:val="20"/>
          <w:szCs w:val="20"/>
          <w:lang w:val="en-US"/>
        </w:rPr>
        <w:t xml:space="preserve">The system of justice adapted to </w:t>
      </w:r>
      <w:r w:rsidRPr="00AC57EA">
        <w:rPr>
          <w:kern w:val="2"/>
          <w:sz w:val="20"/>
          <w:szCs w:val="20"/>
          <w:lang w:val="en-US" w:eastAsia="en-US"/>
        </w:rPr>
        <w:t>children and adolescents</w:t>
      </w:r>
      <w:r w:rsidR="0099548A" w:rsidRPr="00AC57EA">
        <w:rPr>
          <w:kern w:val="2"/>
          <w:sz w:val="20"/>
          <w:szCs w:val="20"/>
          <w:lang w:val="en-US" w:eastAsia="en-US"/>
        </w:rPr>
        <w:t xml:space="preserve"> </w:t>
      </w:r>
      <w:r w:rsidRPr="00AC57EA">
        <w:rPr>
          <w:kern w:val="2"/>
          <w:sz w:val="20"/>
          <w:szCs w:val="20"/>
          <w:lang w:val="en-US" w:eastAsia="en-US"/>
        </w:rPr>
        <w:t>entails justice that is accessible and appropriate to each of them, and that takes into consideration not only the principle of the best interests of the child, but also their right to participation</w:t>
      </w:r>
      <w:r w:rsidR="00F755E3" w:rsidRPr="00AC57EA">
        <w:rPr>
          <w:kern w:val="2"/>
          <w:sz w:val="20"/>
          <w:szCs w:val="20"/>
          <w:lang w:val="en-US" w:eastAsia="en-US"/>
        </w:rPr>
        <w:t xml:space="preserve">, without any discrimination, </w:t>
      </w:r>
      <w:r w:rsidRPr="00AC57EA">
        <w:rPr>
          <w:kern w:val="2"/>
          <w:sz w:val="20"/>
          <w:szCs w:val="20"/>
          <w:lang w:val="en-US" w:eastAsia="en-US"/>
        </w:rPr>
        <w:t>based on their capacities that are in constant evolution, according to their age, maturity and level of understanding. In essence, as the Court has indicated previously, although due process and its correlative guarantees are applicable to everyone, in the case of children and adolescents their exercise supposes, owing to the special conditions</w:t>
      </w:r>
      <w:r w:rsidR="00F755E3" w:rsidRPr="00AC57EA">
        <w:rPr>
          <w:kern w:val="2"/>
          <w:sz w:val="20"/>
          <w:szCs w:val="20"/>
          <w:lang w:val="en-US" w:eastAsia="en-US"/>
        </w:rPr>
        <w:t xml:space="preserve"> of the latter</w:t>
      </w:r>
      <w:r w:rsidRPr="00AC57EA">
        <w:rPr>
          <w:kern w:val="2"/>
          <w:sz w:val="20"/>
          <w:szCs w:val="20"/>
          <w:lang w:val="en-US" w:eastAsia="en-US"/>
        </w:rPr>
        <w:t>, the adoption of certain specific measures in order to ensure access to justice in equal conditions, to guarantee effective due process of law, and to ensure that the best interests of the child constitute the primary consideration in all the administrative or judicial decisions adopted.</w:t>
      </w:r>
      <w:r w:rsidR="00E407B9" w:rsidRPr="00AC57EA">
        <w:rPr>
          <w:kern w:val="2"/>
          <w:sz w:val="20"/>
          <w:szCs w:val="20"/>
          <w:vertAlign w:val="superscript"/>
          <w:lang w:val="en-US" w:eastAsia="en-US"/>
        </w:rPr>
        <w:footnoteReference w:id="208"/>
      </w:r>
    </w:p>
    <w:p w14:paraId="750269D0" w14:textId="77777777" w:rsidR="00E407B9" w:rsidRPr="00AC57EA" w:rsidRDefault="00E407B9" w:rsidP="0060210B">
      <w:pPr>
        <w:widowControl/>
        <w:tabs>
          <w:tab w:val="left" w:pos="567"/>
        </w:tabs>
        <w:adjustRightInd/>
        <w:spacing w:line="240" w:lineRule="auto"/>
        <w:textAlignment w:val="auto"/>
        <w:rPr>
          <w:kern w:val="2"/>
          <w:sz w:val="20"/>
          <w:szCs w:val="20"/>
          <w:lang w:val="en-US" w:eastAsia="en-US"/>
        </w:rPr>
      </w:pPr>
    </w:p>
    <w:p w14:paraId="78A24778" w14:textId="0DFF13C0" w:rsidR="00B4532E" w:rsidRPr="00AC57EA" w:rsidRDefault="00B7258C" w:rsidP="00083C86">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1B6F70" w:rsidRPr="00AC57EA">
        <w:rPr>
          <w:sz w:val="20"/>
          <w:szCs w:val="20"/>
          <w:lang w:val="en-US"/>
        </w:rPr>
        <w:t xml:space="preserve"> </w:t>
      </w:r>
      <w:r w:rsidR="00F22267" w:rsidRPr="00AC57EA">
        <w:rPr>
          <w:sz w:val="20"/>
          <w:szCs w:val="20"/>
          <w:lang w:val="en-US"/>
        </w:rPr>
        <w:t xml:space="preserve">recalls that States have the duty to enable the child or adolescent to take part in each and every different stage of the proceedings. To this end, he or she has the right to be heard </w:t>
      </w:r>
      <w:r w:rsidR="00F22267" w:rsidRPr="00AC57EA">
        <w:rPr>
          <w:sz w:val="20"/>
          <w:szCs w:val="20"/>
          <w:lang w:val="en-US"/>
        </w:rPr>
        <w:lastRenderedPageBreak/>
        <w:t>with due guarantees and within a reasonable time</w:t>
      </w:r>
      <w:r w:rsidR="000A5724" w:rsidRPr="00AC57EA">
        <w:rPr>
          <w:sz w:val="20"/>
          <w:szCs w:val="20"/>
          <w:lang w:val="en-US"/>
        </w:rPr>
        <w:t xml:space="preserve"> (</w:t>
      </w:r>
      <w:r w:rsidR="000A5724" w:rsidRPr="00AC57EA">
        <w:rPr>
          <w:i/>
          <w:sz w:val="20"/>
          <w:szCs w:val="20"/>
          <w:lang w:val="en-US"/>
        </w:rPr>
        <w:t xml:space="preserve">infra </w:t>
      </w:r>
      <w:r w:rsidR="00171E27" w:rsidRPr="00AC57EA">
        <w:rPr>
          <w:sz w:val="20"/>
          <w:szCs w:val="20"/>
          <w:lang w:val="en-US"/>
        </w:rPr>
        <w:t>para.</w:t>
      </w:r>
      <w:r w:rsidR="000A5724" w:rsidRPr="00AC57EA">
        <w:rPr>
          <w:sz w:val="20"/>
          <w:szCs w:val="20"/>
          <w:lang w:val="en-US"/>
        </w:rPr>
        <w:t xml:space="preserve"> </w:t>
      </w:r>
      <w:r w:rsidR="000C7392" w:rsidRPr="00AC57EA">
        <w:rPr>
          <w:sz w:val="20"/>
          <w:szCs w:val="20"/>
          <w:lang w:val="en-US"/>
        </w:rPr>
        <w:t>283</w:t>
      </w:r>
      <w:r w:rsidR="000A5724" w:rsidRPr="00AC57EA">
        <w:rPr>
          <w:sz w:val="20"/>
          <w:szCs w:val="20"/>
          <w:lang w:val="en-US"/>
        </w:rPr>
        <w:t>)</w:t>
      </w:r>
      <w:r w:rsidR="00F22267" w:rsidRPr="00AC57EA">
        <w:rPr>
          <w:sz w:val="20"/>
          <w:szCs w:val="20"/>
          <w:lang w:val="en-US"/>
        </w:rPr>
        <w:t xml:space="preserve"> by the competent authority. This right must be interpreted in light </w:t>
      </w:r>
      <w:r w:rsidR="00171E27" w:rsidRPr="00AC57EA">
        <w:rPr>
          <w:rFonts w:cs="Verdana"/>
          <w:sz w:val="20"/>
          <w:szCs w:val="20"/>
          <w:lang w:val="en-US"/>
        </w:rPr>
        <w:t>of Article</w:t>
      </w:r>
      <w:r w:rsidR="001B6F70" w:rsidRPr="00AC57EA">
        <w:rPr>
          <w:rFonts w:cs="Verdana"/>
          <w:sz w:val="20"/>
          <w:szCs w:val="20"/>
          <w:lang w:val="en-US"/>
        </w:rPr>
        <w:t xml:space="preserve"> 12</w:t>
      </w:r>
      <w:r w:rsidRPr="00AC57EA">
        <w:rPr>
          <w:rFonts w:cs="Verdana"/>
          <w:sz w:val="20"/>
          <w:szCs w:val="20"/>
          <w:lang w:val="en-US"/>
        </w:rPr>
        <w:t xml:space="preserve"> of the </w:t>
      </w:r>
      <w:r w:rsidR="00171E27" w:rsidRPr="00AC57EA">
        <w:rPr>
          <w:rFonts w:cs="Verdana"/>
          <w:sz w:val="20"/>
          <w:szCs w:val="20"/>
          <w:lang w:val="en-US"/>
        </w:rPr>
        <w:t>Convention on the Rights of the Child</w:t>
      </w:r>
      <w:r w:rsidR="00F22267" w:rsidRPr="00AC57EA">
        <w:rPr>
          <w:rFonts w:cs="Verdana"/>
          <w:sz w:val="20"/>
          <w:szCs w:val="20"/>
          <w:lang w:val="en-US"/>
        </w:rPr>
        <w:t>,</w:t>
      </w:r>
      <w:r w:rsidR="001B6F70" w:rsidRPr="00AC57EA">
        <w:rPr>
          <w:rStyle w:val="Refdenotaalpie"/>
          <w:sz w:val="20"/>
          <w:szCs w:val="20"/>
          <w:lang w:val="en-US"/>
        </w:rPr>
        <w:footnoteReference w:id="209"/>
      </w:r>
      <w:r w:rsidR="00F22267" w:rsidRPr="00AC57EA">
        <w:rPr>
          <w:rFonts w:cs="Verdana"/>
          <w:sz w:val="20"/>
          <w:szCs w:val="20"/>
          <w:lang w:val="en-US"/>
        </w:rPr>
        <w:t xml:space="preserve"> which contains appropriate provisions, so that the participation of the child or adolescent is adapted to its condition and does not </w:t>
      </w:r>
      <w:r w:rsidR="00083C86" w:rsidRPr="00AC57EA">
        <w:rPr>
          <w:rFonts w:cs="Verdana"/>
          <w:sz w:val="20"/>
          <w:szCs w:val="20"/>
          <w:lang w:val="en-US"/>
        </w:rPr>
        <w:t>prejudice its true interests.</w:t>
      </w:r>
      <w:r w:rsidR="001B6F70" w:rsidRPr="00AC57EA">
        <w:rPr>
          <w:rStyle w:val="Refdenotaalpie"/>
          <w:rFonts w:cs="Verdana"/>
          <w:sz w:val="20"/>
          <w:szCs w:val="20"/>
          <w:lang w:val="en-US"/>
        </w:rPr>
        <w:footnoteReference w:id="210"/>
      </w:r>
      <w:r w:rsidR="00D40FC5" w:rsidRPr="00AC57EA">
        <w:rPr>
          <w:rFonts w:cs="Verdana"/>
          <w:sz w:val="20"/>
          <w:szCs w:val="20"/>
          <w:lang w:val="en-US"/>
        </w:rPr>
        <w:t xml:space="preserve"> </w:t>
      </w:r>
      <w:r w:rsidR="00083C86" w:rsidRPr="00AC57EA">
        <w:rPr>
          <w:rFonts w:cs="Verdana"/>
          <w:sz w:val="20"/>
          <w:szCs w:val="20"/>
          <w:lang w:val="en-US"/>
        </w:rPr>
        <w:t xml:space="preserve">In this regard, expert witness </w:t>
      </w:r>
      <w:r w:rsidR="00B4532E" w:rsidRPr="00AC57EA">
        <w:rPr>
          <w:rFonts w:cs="Verdana"/>
          <w:sz w:val="20"/>
          <w:szCs w:val="20"/>
          <w:lang w:val="en-US"/>
        </w:rPr>
        <w:t>Cillero Bruñol indic</w:t>
      </w:r>
      <w:r w:rsidR="00083C86" w:rsidRPr="00AC57EA">
        <w:rPr>
          <w:rFonts w:cs="Verdana"/>
          <w:sz w:val="20"/>
          <w:szCs w:val="20"/>
          <w:lang w:val="en-US"/>
        </w:rPr>
        <w:t>ated that, in practice, this meant “establishing a series of conditions for the</w:t>
      </w:r>
      <w:r w:rsidR="00B4532E" w:rsidRPr="00AC57EA">
        <w:rPr>
          <w:rFonts w:cs="Verdana"/>
          <w:sz w:val="20"/>
          <w:szCs w:val="20"/>
          <w:lang w:val="en-US"/>
        </w:rPr>
        <w:t xml:space="preserve"> </w:t>
      </w:r>
      <w:r w:rsidR="00083C86" w:rsidRPr="00AC57EA">
        <w:rPr>
          <w:rFonts w:cs="Verdana"/>
          <w:sz w:val="20"/>
          <w:szCs w:val="20"/>
          <w:lang w:val="en-US"/>
        </w:rPr>
        <w:t xml:space="preserve">interviews, the participation of children in any kind of procedure in the proceedings, taking all the measures with their consent and […] assessing the child’s opinions based on his or her understanding and maturity, but always </w:t>
      </w:r>
      <w:r w:rsidR="00F755E3" w:rsidRPr="00AC57EA">
        <w:rPr>
          <w:rFonts w:cs="Verdana"/>
          <w:sz w:val="20"/>
          <w:szCs w:val="20"/>
          <w:lang w:val="en-US"/>
        </w:rPr>
        <w:t>basing</w:t>
      </w:r>
      <w:r w:rsidR="00083C86" w:rsidRPr="00AC57EA">
        <w:rPr>
          <w:rFonts w:cs="Verdana"/>
          <w:sz w:val="20"/>
          <w:szCs w:val="20"/>
          <w:lang w:val="en-US"/>
        </w:rPr>
        <w:t xml:space="preserve"> the assessment made in</w:t>
      </w:r>
      <w:r w:rsidR="00F755E3" w:rsidRPr="00AC57EA">
        <w:rPr>
          <w:rFonts w:cs="Verdana"/>
          <w:sz w:val="20"/>
          <w:szCs w:val="20"/>
          <w:lang w:val="en-US"/>
        </w:rPr>
        <w:t xml:space="preserve"> any</w:t>
      </w:r>
      <w:r w:rsidR="00083C86" w:rsidRPr="00AC57EA">
        <w:rPr>
          <w:rFonts w:cs="Verdana"/>
          <w:sz w:val="20"/>
          <w:szCs w:val="20"/>
          <w:lang w:val="en-US"/>
        </w:rPr>
        <w:t xml:space="preserve"> decision </w:t>
      </w:r>
      <w:r w:rsidR="00F755E3" w:rsidRPr="00AC57EA">
        <w:rPr>
          <w:rFonts w:cs="Verdana"/>
          <w:sz w:val="20"/>
          <w:szCs w:val="20"/>
          <w:lang w:val="en-US"/>
        </w:rPr>
        <w:t xml:space="preserve">taken </w:t>
      </w:r>
      <w:r w:rsidR="00083C86" w:rsidRPr="00AC57EA">
        <w:rPr>
          <w:rFonts w:cs="Verdana"/>
          <w:sz w:val="20"/>
          <w:szCs w:val="20"/>
          <w:lang w:val="en-US"/>
        </w:rPr>
        <w:t xml:space="preserve">on the </w:t>
      </w:r>
      <w:r w:rsidR="00F755E3" w:rsidRPr="00AC57EA">
        <w:rPr>
          <w:rFonts w:cs="Verdana"/>
          <w:sz w:val="20"/>
          <w:szCs w:val="20"/>
          <w:lang w:val="en-US"/>
        </w:rPr>
        <w:t xml:space="preserve">child’s </w:t>
      </w:r>
      <w:r w:rsidR="00083C86" w:rsidRPr="00AC57EA">
        <w:rPr>
          <w:rFonts w:cs="Verdana"/>
          <w:sz w:val="20"/>
          <w:szCs w:val="20"/>
          <w:lang w:val="en-US"/>
        </w:rPr>
        <w:t>opinion and considering the child’s best interests.</w:t>
      </w:r>
      <w:r w:rsidR="00B4532E" w:rsidRPr="00AC57EA">
        <w:rPr>
          <w:rFonts w:cs="Verdana"/>
          <w:sz w:val="20"/>
          <w:szCs w:val="20"/>
          <w:lang w:val="en-US"/>
        </w:rPr>
        <w:t>”</w:t>
      </w:r>
      <w:r w:rsidR="00B4532E" w:rsidRPr="00AC57EA">
        <w:rPr>
          <w:rStyle w:val="Refdenotaalpie"/>
          <w:rFonts w:cs="Verdana"/>
          <w:sz w:val="20"/>
          <w:szCs w:val="20"/>
          <w:lang w:val="en-US"/>
        </w:rPr>
        <w:footnoteReference w:id="211"/>
      </w:r>
    </w:p>
    <w:p w14:paraId="049CD0FE" w14:textId="77777777" w:rsidR="00B4532E" w:rsidRPr="00AC57EA" w:rsidRDefault="00B4532E" w:rsidP="00B4532E">
      <w:pPr>
        <w:widowControl/>
        <w:tabs>
          <w:tab w:val="left" w:pos="567"/>
        </w:tabs>
        <w:adjustRightInd/>
        <w:spacing w:line="240" w:lineRule="auto"/>
        <w:textAlignment w:val="auto"/>
        <w:rPr>
          <w:kern w:val="2"/>
          <w:sz w:val="20"/>
          <w:szCs w:val="20"/>
          <w:lang w:val="en-US" w:eastAsia="en-US"/>
        </w:rPr>
      </w:pPr>
    </w:p>
    <w:p w14:paraId="0F0A4045" w14:textId="5F0ECDE4" w:rsidR="00A148DD" w:rsidRPr="00AC57EA" w:rsidRDefault="00083C86" w:rsidP="00083C86">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participation in criminal proceedings of children and adolescents who are victims of a crime may be necessary to contribute to the development of these proceedings, especially when there are no other witnesses to the perpetration of the crime. However, if this participation is conceived only in terms of the evidence they may provide, it does not reflect their status as subjects of law, because they should consider themselves</w:t>
      </w:r>
      <w:r w:rsidR="001F3EFB" w:rsidRPr="00AC57EA">
        <w:rPr>
          <w:kern w:val="2"/>
          <w:sz w:val="20"/>
          <w:szCs w:val="20"/>
          <w:lang w:val="en-US" w:eastAsia="en-US"/>
        </w:rPr>
        <w:t xml:space="preserve"> legitimated to act in their own interests as a participant in the proceedings. To this end, from their first contact with the justice process and throughout that process, the child should be promptly and adequately informed about the procedure, as well as on the availability of legal assistance and health services and other available measures of protection.</w:t>
      </w:r>
      <w:r w:rsidR="00A148DD" w:rsidRPr="00AC57EA">
        <w:rPr>
          <w:rStyle w:val="Refdenotaalpie"/>
          <w:rFonts w:cs="Verdana"/>
          <w:sz w:val="20"/>
          <w:szCs w:val="20"/>
          <w:lang w:val="en-US"/>
        </w:rPr>
        <w:footnoteReference w:id="212"/>
      </w:r>
    </w:p>
    <w:p w14:paraId="1750600D" w14:textId="77777777" w:rsidR="00A148DD" w:rsidRPr="00AC57EA" w:rsidRDefault="00A148DD" w:rsidP="00A148DD">
      <w:pPr>
        <w:widowControl/>
        <w:tabs>
          <w:tab w:val="left" w:pos="567"/>
        </w:tabs>
        <w:adjustRightInd/>
        <w:spacing w:line="240" w:lineRule="auto"/>
        <w:textAlignment w:val="auto"/>
        <w:rPr>
          <w:kern w:val="2"/>
          <w:sz w:val="20"/>
          <w:szCs w:val="20"/>
          <w:lang w:val="en-US" w:eastAsia="en-US"/>
        </w:rPr>
      </w:pPr>
    </w:p>
    <w:p w14:paraId="0181830E" w14:textId="6E5F5CDA" w:rsidR="006B7989" w:rsidRPr="00AC57EA" w:rsidRDefault="00B7258C" w:rsidP="006B7989">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D050F0" w:rsidRPr="00AC57EA">
        <w:rPr>
          <w:kern w:val="2"/>
          <w:sz w:val="20"/>
          <w:szCs w:val="20"/>
          <w:lang w:val="en-US" w:eastAsia="en-US"/>
        </w:rPr>
        <w:t xml:space="preserve"> consider</w:t>
      </w:r>
      <w:r w:rsidR="001F3EFB" w:rsidRPr="00AC57EA">
        <w:rPr>
          <w:kern w:val="2"/>
          <w:sz w:val="20"/>
          <w:szCs w:val="20"/>
          <w:lang w:val="en-US" w:eastAsia="en-US"/>
        </w:rPr>
        <w:t>s that a harmonious and comprehensive interpretation of the right to be heard of</w:t>
      </w:r>
      <w:r w:rsidR="006B7989" w:rsidRPr="00AC57EA">
        <w:rPr>
          <w:kern w:val="2"/>
          <w:sz w:val="20"/>
          <w:szCs w:val="20"/>
          <w:lang w:val="en-US" w:eastAsia="en-US"/>
        </w:rPr>
        <w:t xml:space="preserve"> </w:t>
      </w:r>
      <w:r w:rsidR="001567A9" w:rsidRPr="00AC57EA">
        <w:rPr>
          <w:kern w:val="2"/>
          <w:sz w:val="20"/>
          <w:szCs w:val="20"/>
          <w:lang w:val="en-US" w:eastAsia="en-US"/>
        </w:rPr>
        <w:t>children and adolescents</w:t>
      </w:r>
      <w:r w:rsidR="00D050F0" w:rsidRPr="00AC57EA">
        <w:rPr>
          <w:kern w:val="2"/>
          <w:sz w:val="20"/>
          <w:szCs w:val="20"/>
          <w:lang w:val="en-US" w:eastAsia="en-US"/>
        </w:rPr>
        <w:t>,</w:t>
      </w:r>
      <w:r w:rsidR="006B7989" w:rsidRPr="00AC57EA">
        <w:rPr>
          <w:kern w:val="2"/>
          <w:sz w:val="20"/>
          <w:szCs w:val="20"/>
          <w:lang w:val="en-US" w:eastAsia="en-US"/>
        </w:rPr>
        <w:t xml:space="preserve"> </w:t>
      </w:r>
      <w:r w:rsidR="001F3EFB" w:rsidRPr="00AC57EA">
        <w:rPr>
          <w:kern w:val="2"/>
          <w:sz w:val="20"/>
          <w:szCs w:val="20"/>
          <w:lang w:val="en-US" w:eastAsia="en-US"/>
        </w:rPr>
        <w:t xml:space="preserve">together with the principle of progressive autonomy contributes to ensure legal assistance to </w:t>
      </w:r>
      <w:r w:rsidR="00FE6167" w:rsidRPr="00AC57EA">
        <w:rPr>
          <w:kern w:val="2"/>
          <w:sz w:val="20"/>
          <w:szCs w:val="20"/>
          <w:lang w:val="en-US" w:eastAsia="en-US"/>
        </w:rPr>
        <w:t xml:space="preserve">child victims in criminal proceedings. Thus, access to justice entails not only providing the necessary mechanisms for </w:t>
      </w:r>
      <w:r w:rsidR="001567A9" w:rsidRPr="00AC57EA">
        <w:rPr>
          <w:kern w:val="2"/>
          <w:sz w:val="20"/>
          <w:szCs w:val="20"/>
          <w:lang w:val="en-US" w:eastAsia="en-US"/>
        </w:rPr>
        <w:t>children and adolescents</w:t>
      </w:r>
      <w:r w:rsidR="006B7989" w:rsidRPr="00AC57EA">
        <w:rPr>
          <w:kern w:val="2"/>
          <w:sz w:val="20"/>
          <w:szCs w:val="20"/>
          <w:lang w:val="en-US" w:eastAsia="en-US"/>
        </w:rPr>
        <w:t xml:space="preserve"> </w:t>
      </w:r>
      <w:r w:rsidR="00FE6167" w:rsidRPr="00AC57EA">
        <w:rPr>
          <w:kern w:val="2"/>
          <w:sz w:val="20"/>
          <w:szCs w:val="20"/>
          <w:lang w:val="en-US" w:eastAsia="en-US"/>
        </w:rPr>
        <w:t xml:space="preserve">to be able to denounce offenses, but also includes the possibility of </w:t>
      </w:r>
      <w:r w:rsidR="00F755E3" w:rsidRPr="00AC57EA">
        <w:rPr>
          <w:kern w:val="2"/>
          <w:sz w:val="20"/>
          <w:szCs w:val="20"/>
          <w:lang w:val="en-US" w:eastAsia="en-US"/>
        </w:rPr>
        <w:t xml:space="preserve">their </w:t>
      </w:r>
      <w:r w:rsidR="00FE6167" w:rsidRPr="00AC57EA">
        <w:rPr>
          <w:kern w:val="2"/>
          <w:sz w:val="20"/>
          <w:szCs w:val="20"/>
          <w:lang w:val="en-US" w:eastAsia="en-US"/>
        </w:rPr>
        <w:t>playing an active role in judicial proceedings, speaking for themselves, and with legal counsel, to defend their rights, according to their age and maturity.</w:t>
      </w:r>
      <w:r w:rsidR="007B3EED" w:rsidRPr="00AC57EA">
        <w:rPr>
          <w:kern w:val="2"/>
          <w:sz w:val="20"/>
          <w:szCs w:val="20"/>
          <w:vertAlign w:val="superscript"/>
          <w:lang w:val="en-US" w:eastAsia="en-US"/>
        </w:rPr>
        <w:footnoteReference w:id="213"/>
      </w:r>
      <w:r w:rsidR="007B3EED" w:rsidRPr="00AC57EA">
        <w:rPr>
          <w:kern w:val="2"/>
          <w:sz w:val="20"/>
          <w:szCs w:val="20"/>
          <w:lang w:val="en-US" w:eastAsia="en-US"/>
        </w:rPr>
        <w:t xml:space="preserve"> </w:t>
      </w:r>
      <w:r w:rsidR="007665DD" w:rsidRPr="00AC57EA">
        <w:rPr>
          <w:kern w:val="2"/>
          <w:sz w:val="20"/>
          <w:szCs w:val="20"/>
          <w:lang w:val="en-US" w:eastAsia="en-US"/>
        </w:rPr>
        <w:t xml:space="preserve">To overcome barriers to </w:t>
      </w:r>
      <w:r w:rsidR="00011150" w:rsidRPr="00AC57EA">
        <w:rPr>
          <w:kern w:val="2"/>
          <w:sz w:val="20"/>
          <w:szCs w:val="20"/>
          <w:lang w:val="en-US" w:eastAsia="en-US"/>
        </w:rPr>
        <w:t>a</w:t>
      </w:r>
      <w:r w:rsidR="007665DD" w:rsidRPr="00AC57EA">
        <w:rPr>
          <w:kern w:val="2"/>
          <w:sz w:val="20"/>
          <w:szCs w:val="20"/>
          <w:lang w:val="en-US" w:eastAsia="en-US"/>
        </w:rPr>
        <w:t>ccess to justice</w:t>
      </w:r>
      <w:r w:rsidR="00C9789B" w:rsidRPr="00AC57EA">
        <w:rPr>
          <w:kern w:val="2"/>
          <w:sz w:val="20"/>
          <w:szCs w:val="20"/>
          <w:lang w:val="en-US" w:eastAsia="en-US"/>
        </w:rPr>
        <w:t xml:space="preserve"> (</w:t>
      </w:r>
      <w:r w:rsidR="00C9789B" w:rsidRPr="00AC57EA">
        <w:rPr>
          <w:i/>
          <w:kern w:val="2"/>
          <w:sz w:val="20"/>
          <w:szCs w:val="20"/>
          <w:lang w:val="en-US" w:eastAsia="en-US"/>
        </w:rPr>
        <w:t>supra</w:t>
      </w:r>
      <w:r w:rsidR="00C9789B" w:rsidRPr="00AC57EA">
        <w:rPr>
          <w:kern w:val="2"/>
          <w:sz w:val="20"/>
          <w:szCs w:val="20"/>
          <w:lang w:val="en-US" w:eastAsia="en-US"/>
        </w:rPr>
        <w:t xml:space="preserve"> </w:t>
      </w:r>
      <w:r w:rsidR="00171E27" w:rsidRPr="00AC57EA">
        <w:rPr>
          <w:kern w:val="2"/>
          <w:sz w:val="20"/>
          <w:szCs w:val="20"/>
          <w:lang w:val="en-US" w:eastAsia="en-US"/>
        </w:rPr>
        <w:t>para.</w:t>
      </w:r>
      <w:r w:rsidR="00C9789B" w:rsidRPr="00AC57EA">
        <w:rPr>
          <w:kern w:val="2"/>
          <w:sz w:val="20"/>
          <w:szCs w:val="20"/>
          <w:lang w:val="en-US" w:eastAsia="en-US"/>
        </w:rPr>
        <w:t xml:space="preserve"> </w:t>
      </w:r>
      <w:r w:rsidR="00342199" w:rsidRPr="00AC57EA">
        <w:rPr>
          <w:kern w:val="2"/>
          <w:sz w:val="20"/>
          <w:szCs w:val="20"/>
          <w:lang w:val="en-US" w:eastAsia="en-US"/>
        </w:rPr>
        <w:t>156</w:t>
      </w:r>
      <w:r w:rsidR="00C9789B" w:rsidRPr="00AC57EA">
        <w:rPr>
          <w:kern w:val="2"/>
          <w:sz w:val="20"/>
          <w:szCs w:val="20"/>
          <w:lang w:val="en-US" w:eastAsia="en-US"/>
        </w:rPr>
        <w:t>)</w:t>
      </w:r>
      <w:r w:rsidR="006B7989" w:rsidRPr="00AC57EA">
        <w:rPr>
          <w:kern w:val="2"/>
          <w:sz w:val="20"/>
          <w:szCs w:val="20"/>
          <w:lang w:val="en-US" w:eastAsia="en-US"/>
        </w:rPr>
        <w:t xml:space="preserve">, </w:t>
      </w:r>
      <w:r w:rsidR="007665DD" w:rsidRPr="00AC57EA">
        <w:rPr>
          <w:kern w:val="2"/>
          <w:sz w:val="20"/>
          <w:szCs w:val="20"/>
          <w:lang w:val="en-US" w:eastAsia="en-US"/>
        </w:rPr>
        <w:t xml:space="preserve">the legal assistance of a </w:t>
      </w:r>
      <w:r w:rsidR="007665DD" w:rsidRPr="00AC57EA">
        <w:rPr>
          <w:kern w:val="2"/>
          <w:sz w:val="20"/>
          <w:szCs w:val="20"/>
          <w:lang w:val="en-US" w:eastAsia="en-US"/>
        </w:rPr>
        <w:lastRenderedPageBreak/>
        <w:t>lawyer specialized in childhood and adolescence, with the authority to become a party to the proceedings, to contest judicial measures, file appeals and perform any other procedural act to defend the child’s rights during the proceedings, must be free and provided by the State, regardless of the financial resources of the parents and their opinion.</w:t>
      </w:r>
      <w:r w:rsidR="006B7989" w:rsidRPr="00AC57EA">
        <w:rPr>
          <w:kern w:val="2"/>
          <w:sz w:val="20"/>
          <w:szCs w:val="20"/>
          <w:vertAlign w:val="superscript"/>
          <w:lang w:val="en-US" w:eastAsia="en-US"/>
        </w:rPr>
        <w:footnoteReference w:id="214"/>
      </w:r>
    </w:p>
    <w:p w14:paraId="7A2EA030" w14:textId="77777777" w:rsidR="009E49EB" w:rsidRPr="00AC57EA" w:rsidRDefault="009E49EB" w:rsidP="00D644BC">
      <w:pPr>
        <w:widowControl/>
        <w:tabs>
          <w:tab w:val="left" w:pos="567"/>
        </w:tabs>
        <w:adjustRightInd/>
        <w:spacing w:line="240" w:lineRule="auto"/>
        <w:textAlignment w:val="auto"/>
        <w:rPr>
          <w:kern w:val="2"/>
          <w:sz w:val="20"/>
          <w:szCs w:val="20"/>
          <w:lang w:val="en-US" w:eastAsia="en-US"/>
        </w:rPr>
      </w:pPr>
    </w:p>
    <w:p w14:paraId="608D69A1" w14:textId="28BBA9ED" w:rsidR="00C003A2" w:rsidRPr="00AC57EA" w:rsidRDefault="007665DD" w:rsidP="00C003A2">
      <w:pPr>
        <w:pStyle w:val="Prrafodelista"/>
        <w:widowControl/>
        <w:numPr>
          <w:ilvl w:val="0"/>
          <w:numId w:val="2"/>
        </w:numPr>
        <w:adjustRightInd/>
        <w:spacing w:line="240" w:lineRule="auto"/>
        <w:ind w:right="582"/>
        <w:textAlignment w:val="auto"/>
        <w:rPr>
          <w:kern w:val="2"/>
          <w:sz w:val="20"/>
          <w:szCs w:val="20"/>
          <w:lang w:val="en-US" w:eastAsia="en-US"/>
        </w:rPr>
      </w:pPr>
      <w:r w:rsidRPr="00AC57EA">
        <w:rPr>
          <w:kern w:val="2"/>
          <w:sz w:val="20"/>
          <w:szCs w:val="20"/>
          <w:lang w:val="en-US" w:eastAsia="en-US"/>
        </w:rPr>
        <w:t>In this regard, expert witness</w:t>
      </w:r>
      <w:r w:rsidR="00C003A2" w:rsidRPr="00AC57EA">
        <w:rPr>
          <w:kern w:val="2"/>
          <w:sz w:val="20"/>
          <w:szCs w:val="20"/>
          <w:lang w:val="en-US" w:eastAsia="en-US"/>
        </w:rPr>
        <w:t xml:space="preserve"> Cillero Bruñol</w:t>
      </w:r>
      <w:r w:rsidRPr="00AC57EA">
        <w:rPr>
          <w:kern w:val="2"/>
          <w:sz w:val="20"/>
          <w:szCs w:val="20"/>
          <w:lang w:val="en-US" w:eastAsia="en-US"/>
        </w:rPr>
        <w:t xml:space="preserve"> indicated that</w:t>
      </w:r>
      <w:r w:rsidR="00C003A2" w:rsidRPr="00AC57EA">
        <w:rPr>
          <w:kern w:val="2"/>
          <w:sz w:val="20"/>
          <w:szCs w:val="20"/>
          <w:lang w:val="en-US" w:eastAsia="en-US"/>
        </w:rPr>
        <w:t>:</w:t>
      </w:r>
    </w:p>
    <w:p w14:paraId="2C1A3283" w14:textId="77777777" w:rsidR="00C003A2" w:rsidRPr="00AC57EA" w:rsidRDefault="00C003A2" w:rsidP="00C003A2">
      <w:pPr>
        <w:pStyle w:val="Prrafodelista"/>
        <w:widowControl/>
        <w:adjustRightInd/>
        <w:spacing w:line="240" w:lineRule="auto"/>
        <w:ind w:left="825" w:right="582"/>
        <w:textAlignment w:val="auto"/>
        <w:rPr>
          <w:kern w:val="2"/>
          <w:sz w:val="18"/>
          <w:szCs w:val="18"/>
          <w:lang w:val="en-US" w:eastAsia="en-US"/>
        </w:rPr>
      </w:pPr>
    </w:p>
    <w:p w14:paraId="0410958C" w14:textId="27596513" w:rsidR="00C003A2" w:rsidRPr="00AC57EA" w:rsidRDefault="00BD622F" w:rsidP="00BF2B13">
      <w:pPr>
        <w:pStyle w:val="Prrafodelista"/>
        <w:widowControl/>
        <w:adjustRightInd/>
        <w:spacing w:line="240" w:lineRule="auto"/>
        <w:ind w:left="825" w:right="540"/>
        <w:textAlignment w:val="auto"/>
        <w:rPr>
          <w:kern w:val="2"/>
          <w:sz w:val="16"/>
          <w:szCs w:val="16"/>
          <w:lang w:val="en-US" w:eastAsia="en-US"/>
        </w:rPr>
      </w:pPr>
      <w:r w:rsidRPr="00AC57EA">
        <w:rPr>
          <w:kern w:val="2"/>
          <w:sz w:val="16"/>
          <w:szCs w:val="16"/>
          <w:lang w:val="en-US" w:eastAsia="en-US"/>
        </w:rPr>
        <w:t xml:space="preserve">A fundamental issue that has been gaining ground throughout Latin America […] is the independent judicial representation of the </w:t>
      </w:r>
      <w:r w:rsidR="003C0AC1" w:rsidRPr="00AC57EA">
        <w:rPr>
          <w:kern w:val="2"/>
          <w:sz w:val="16"/>
          <w:szCs w:val="16"/>
          <w:lang w:val="en-US" w:eastAsia="en-US"/>
        </w:rPr>
        <w:t>female child</w:t>
      </w:r>
      <w:r w:rsidRPr="00AC57EA">
        <w:rPr>
          <w:kern w:val="2"/>
          <w:sz w:val="16"/>
          <w:szCs w:val="16"/>
          <w:lang w:val="en-US" w:eastAsia="en-US"/>
        </w:rPr>
        <w:t xml:space="preserve"> […].  There must be someone, apart from the prosecutor in the specific </w:t>
      </w:r>
      <w:r w:rsidR="00BF2B13" w:rsidRPr="00AC57EA">
        <w:rPr>
          <w:kern w:val="2"/>
          <w:sz w:val="16"/>
          <w:szCs w:val="16"/>
          <w:lang w:val="en-US" w:eastAsia="en-US"/>
        </w:rPr>
        <w:t xml:space="preserve">criminal </w:t>
      </w:r>
      <w:r w:rsidRPr="00AC57EA">
        <w:rPr>
          <w:kern w:val="2"/>
          <w:sz w:val="16"/>
          <w:szCs w:val="16"/>
          <w:lang w:val="en-US" w:eastAsia="en-US"/>
        </w:rPr>
        <w:t xml:space="preserve">case </w:t>
      </w:r>
      <w:r w:rsidR="00BF2B13" w:rsidRPr="00AC57EA">
        <w:rPr>
          <w:kern w:val="2"/>
          <w:sz w:val="16"/>
          <w:szCs w:val="16"/>
          <w:lang w:val="en-US" w:eastAsia="en-US"/>
        </w:rPr>
        <w:t>[…] who represents the interests of that child and, in addition, probably the existence of independent non-jurisdictional organs, such as ombudspersons, that can effectively review such cases.</w:t>
      </w:r>
      <w:r w:rsidR="00C003A2" w:rsidRPr="00AC57EA">
        <w:rPr>
          <w:rStyle w:val="Refdenotaalpie"/>
          <w:kern w:val="2"/>
          <w:sz w:val="16"/>
          <w:szCs w:val="16"/>
          <w:lang w:val="en-US" w:eastAsia="en-US"/>
        </w:rPr>
        <w:footnoteReference w:id="215"/>
      </w:r>
    </w:p>
    <w:p w14:paraId="0B45DA0E" w14:textId="77777777" w:rsidR="006B7989" w:rsidRPr="00AC57EA" w:rsidRDefault="006B7989" w:rsidP="006B7989">
      <w:pPr>
        <w:widowControl/>
        <w:tabs>
          <w:tab w:val="left" w:pos="567"/>
        </w:tabs>
        <w:adjustRightInd/>
        <w:spacing w:line="240" w:lineRule="auto"/>
        <w:textAlignment w:val="auto"/>
        <w:rPr>
          <w:kern w:val="2"/>
          <w:sz w:val="20"/>
          <w:szCs w:val="20"/>
          <w:lang w:val="en-US" w:eastAsia="en-US"/>
        </w:rPr>
      </w:pPr>
    </w:p>
    <w:p w14:paraId="11CAF56C" w14:textId="7BA50ADA" w:rsidR="000D7043" w:rsidRPr="00AC57EA" w:rsidRDefault="00B7258C" w:rsidP="00BF2B13">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D931D9" w:rsidRPr="00AC57EA">
        <w:rPr>
          <w:kern w:val="2"/>
          <w:sz w:val="20"/>
          <w:szCs w:val="20"/>
          <w:lang w:val="en-US" w:eastAsia="en-US"/>
        </w:rPr>
        <w:t xml:space="preserve"> </w:t>
      </w:r>
      <w:r w:rsidR="007665DD" w:rsidRPr="00AC57EA">
        <w:rPr>
          <w:kern w:val="2"/>
          <w:sz w:val="20"/>
          <w:szCs w:val="20"/>
          <w:lang w:val="en-US" w:eastAsia="en-US"/>
        </w:rPr>
        <w:t>notes that</w:t>
      </w:r>
      <w:r w:rsidR="00B5625C" w:rsidRPr="00AC57EA">
        <w:rPr>
          <w:kern w:val="2"/>
          <w:sz w:val="20"/>
          <w:szCs w:val="20"/>
          <w:lang w:val="en-US" w:eastAsia="en-US"/>
        </w:rPr>
        <w:t xml:space="preserve"> </w:t>
      </w:r>
      <w:r w:rsidR="007665DD" w:rsidRPr="00AC57EA">
        <w:rPr>
          <w:kern w:val="2"/>
          <w:sz w:val="20"/>
          <w:szCs w:val="20"/>
          <w:lang w:val="en-US" w:eastAsia="en-US"/>
        </w:rPr>
        <w:t xml:space="preserve">child victims, in particular of sexual violence, may suffer severe physical, psychological and emotional consequences due to the event that violated their rights, as well as a new victimization at the hands of the organs of the State </w:t>
      </w:r>
      <w:r w:rsidR="00B26D59" w:rsidRPr="00AC57EA">
        <w:rPr>
          <w:kern w:val="2"/>
          <w:sz w:val="20"/>
          <w:szCs w:val="20"/>
          <w:lang w:val="en-US" w:eastAsia="en-US"/>
        </w:rPr>
        <w:t>owing to</w:t>
      </w:r>
      <w:r w:rsidR="007665DD" w:rsidRPr="00AC57EA">
        <w:rPr>
          <w:kern w:val="2"/>
          <w:sz w:val="20"/>
          <w:szCs w:val="20"/>
          <w:lang w:val="en-US" w:eastAsia="en-US"/>
        </w:rPr>
        <w:t xml:space="preserve"> their participation in th</w:t>
      </w:r>
      <w:r w:rsidR="00BF2B13" w:rsidRPr="00AC57EA">
        <w:rPr>
          <w:kern w:val="2"/>
          <w:sz w:val="20"/>
          <w:szCs w:val="20"/>
          <w:lang w:val="en-US" w:eastAsia="en-US"/>
        </w:rPr>
        <w:t>e</w:t>
      </w:r>
      <w:r w:rsidR="007665DD" w:rsidRPr="00AC57EA">
        <w:rPr>
          <w:kern w:val="2"/>
          <w:sz w:val="20"/>
          <w:szCs w:val="20"/>
          <w:lang w:val="en-US" w:eastAsia="en-US"/>
        </w:rPr>
        <w:t xml:space="preserve"> criminal proceedings, </w:t>
      </w:r>
      <w:r w:rsidR="00011150" w:rsidRPr="00AC57EA">
        <w:rPr>
          <w:kern w:val="2"/>
          <w:sz w:val="20"/>
          <w:szCs w:val="20"/>
          <w:lang w:val="en-US" w:eastAsia="en-US"/>
        </w:rPr>
        <w:t>the function of which</w:t>
      </w:r>
      <w:r w:rsidR="007665DD" w:rsidRPr="00AC57EA">
        <w:rPr>
          <w:kern w:val="2"/>
          <w:sz w:val="20"/>
          <w:szCs w:val="20"/>
          <w:lang w:val="en-US" w:eastAsia="en-US"/>
        </w:rPr>
        <w:t xml:space="preserve"> is precisely to protect their rights. Thus, if it is considered that the participation of the child or adolescent is necessary and may contribute to gathering probative material, it is essential that revictimization is avoided at all times and the procedures and proceedings in which their participation is considered to be strictly necessary are limited</w:t>
      </w:r>
      <w:r w:rsidR="00B26D59" w:rsidRPr="00AC57EA">
        <w:rPr>
          <w:kern w:val="2"/>
          <w:sz w:val="20"/>
          <w:szCs w:val="20"/>
          <w:lang w:val="en-US" w:eastAsia="en-US"/>
        </w:rPr>
        <w:t>,</w:t>
      </w:r>
      <w:r w:rsidR="007665DD" w:rsidRPr="00AC57EA">
        <w:rPr>
          <w:kern w:val="2"/>
          <w:sz w:val="20"/>
          <w:szCs w:val="20"/>
          <w:lang w:val="en-US" w:eastAsia="en-US"/>
        </w:rPr>
        <w:t xml:space="preserve"> avoiding the presence or interaction with </w:t>
      </w:r>
      <w:r w:rsidR="00011150" w:rsidRPr="00AC57EA">
        <w:rPr>
          <w:kern w:val="2"/>
          <w:sz w:val="20"/>
          <w:szCs w:val="20"/>
          <w:lang w:val="en-US" w:eastAsia="en-US"/>
        </w:rPr>
        <w:t>the perpetrator</w:t>
      </w:r>
      <w:r w:rsidR="007665DD" w:rsidRPr="00AC57EA">
        <w:rPr>
          <w:kern w:val="2"/>
          <w:sz w:val="20"/>
          <w:szCs w:val="20"/>
          <w:lang w:val="en-US" w:eastAsia="en-US"/>
        </w:rPr>
        <w:t xml:space="preserve"> in the procedures ordered.</w:t>
      </w:r>
      <w:r w:rsidR="003F51D3" w:rsidRPr="00AC57EA">
        <w:rPr>
          <w:kern w:val="2"/>
          <w:sz w:val="20"/>
          <w:szCs w:val="20"/>
          <w:vertAlign w:val="superscript"/>
          <w:lang w:val="en-US" w:eastAsia="en-US"/>
        </w:rPr>
        <w:footnoteReference w:id="216"/>
      </w:r>
      <w:r w:rsidR="00BF2B13" w:rsidRPr="00AC57EA">
        <w:rPr>
          <w:kern w:val="2"/>
          <w:sz w:val="20"/>
          <w:szCs w:val="20"/>
          <w:lang w:val="en-US" w:eastAsia="en-US"/>
        </w:rPr>
        <w:t xml:space="preserve"> This </w:t>
      </w:r>
      <w:r w:rsidR="00BF2B13" w:rsidRPr="00AC57EA">
        <w:rPr>
          <w:kern w:val="2"/>
          <w:sz w:val="20"/>
          <w:szCs w:val="20"/>
          <w:lang w:val="en-US" w:eastAsia="en-US"/>
        </w:rPr>
        <w:lastRenderedPageBreak/>
        <w:t>Court has already stressed that rape is an extremely traumatic experience that can have severe consequences and cause great physical and mental harm; it leaves the victim “physically and emotionally humiliated,” a situation that it is difficult to overcome with the passage of time, contrary to other traumatic experiences.</w:t>
      </w:r>
      <w:r w:rsidR="000D7043" w:rsidRPr="00AC57EA">
        <w:rPr>
          <w:kern w:val="2"/>
          <w:sz w:val="20"/>
          <w:szCs w:val="20"/>
          <w:vertAlign w:val="superscript"/>
          <w:lang w:val="en-US" w:eastAsia="en-US"/>
        </w:rPr>
        <w:footnoteReference w:id="217"/>
      </w:r>
      <w:r w:rsidR="000D7043" w:rsidRPr="00AC57EA">
        <w:rPr>
          <w:kern w:val="2"/>
          <w:sz w:val="20"/>
          <w:szCs w:val="20"/>
          <w:lang w:val="en-US" w:eastAsia="en-US"/>
        </w:rPr>
        <w:t xml:space="preserve"> </w:t>
      </w:r>
      <w:r w:rsidR="00BF2B13" w:rsidRPr="00AC57EA">
        <w:rPr>
          <w:kern w:val="2"/>
          <w:sz w:val="20"/>
          <w:szCs w:val="20"/>
          <w:lang w:val="en-US" w:eastAsia="en-US"/>
        </w:rPr>
        <w:t xml:space="preserve">In the case of child victims of sexual violence, the impact can be exacerbated </w:t>
      </w:r>
      <w:r w:rsidR="00011150" w:rsidRPr="00AC57EA">
        <w:rPr>
          <w:kern w:val="2"/>
          <w:sz w:val="20"/>
          <w:szCs w:val="20"/>
          <w:lang w:val="en-US" w:eastAsia="en-US"/>
        </w:rPr>
        <w:t>and</w:t>
      </w:r>
      <w:r w:rsidR="00BF2B13" w:rsidRPr="00AC57EA">
        <w:rPr>
          <w:kern w:val="2"/>
          <w:sz w:val="20"/>
          <w:szCs w:val="20"/>
          <w:lang w:val="en-US" w:eastAsia="en-US"/>
        </w:rPr>
        <w:t xml:space="preserve"> they may suffer an emotional trauma that differs from that suffered by an adult </w:t>
      </w:r>
      <w:r w:rsidR="00011150" w:rsidRPr="00AC57EA">
        <w:rPr>
          <w:kern w:val="2"/>
          <w:sz w:val="20"/>
          <w:szCs w:val="20"/>
          <w:lang w:val="en-US" w:eastAsia="en-US"/>
        </w:rPr>
        <w:t>with</w:t>
      </w:r>
      <w:r w:rsidR="00BF2B13" w:rsidRPr="00AC57EA">
        <w:rPr>
          <w:kern w:val="2"/>
          <w:sz w:val="20"/>
          <w:szCs w:val="20"/>
          <w:lang w:val="en-US" w:eastAsia="en-US"/>
        </w:rPr>
        <w:t xml:space="preserve"> extremely profound effects, in particular when the victim’s relationship with the perpetrator is based on trust and authority, as in the case of a father. According to expert witness Stola, </w:t>
      </w:r>
      <w:r w:rsidR="00011150" w:rsidRPr="00AC57EA">
        <w:rPr>
          <w:kern w:val="2"/>
          <w:sz w:val="20"/>
          <w:szCs w:val="20"/>
          <w:lang w:val="en-US" w:eastAsia="en-US"/>
        </w:rPr>
        <w:t>when</w:t>
      </w:r>
      <w:r w:rsidR="00BF2B13" w:rsidRPr="00AC57EA">
        <w:rPr>
          <w:kern w:val="2"/>
          <w:sz w:val="20"/>
          <w:szCs w:val="20"/>
          <w:lang w:val="en-US" w:eastAsia="en-US"/>
        </w:rPr>
        <w:t xml:space="preserve"> the father </w:t>
      </w:r>
      <w:r w:rsidR="00011150" w:rsidRPr="00AC57EA">
        <w:rPr>
          <w:kern w:val="2"/>
          <w:sz w:val="20"/>
          <w:szCs w:val="20"/>
          <w:lang w:val="en-US" w:eastAsia="en-US"/>
        </w:rPr>
        <w:t>is the perpetrator of</w:t>
      </w:r>
      <w:r w:rsidR="00BF2B13" w:rsidRPr="00AC57EA">
        <w:rPr>
          <w:kern w:val="2"/>
          <w:sz w:val="20"/>
          <w:szCs w:val="20"/>
          <w:lang w:val="en-US" w:eastAsia="en-US"/>
        </w:rPr>
        <w:t xml:space="preserve"> the sexual abuse</w:t>
      </w:r>
      <w:r w:rsidR="00011150" w:rsidRPr="00AC57EA">
        <w:rPr>
          <w:kern w:val="2"/>
          <w:sz w:val="20"/>
          <w:szCs w:val="20"/>
          <w:lang w:val="en-US" w:eastAsia="en-US"/>
        </w:rPr>
        <w:t xml:space="preserve"> it</w:t>
      </w:r>
      <w:r w:rsidR="00BF2B13" w:rsidRPr="00AC57EA">
        <w:rPr>
          <w:kern w:val="2"/>
          <w:sz w:val="20"/>
          <w:szCs w:val="20"/>
          <w:lang w:val="en-US" w:eastAsia="en-US"/>
        </w:rPr>
        <w:t xml:space="preserve"> causes extremely serious harm to the victim’s psyche, “because the person who should be providing care has caused extremely serious </w:t>
      </w:r>
      <w:r w:rsidR="00011150" w:rsidRPr="00AC57EA">
        <w:rPr>
          <w:kern w:val="2"/>
          <w:sz w:val="20"/>
          <w:szCs w:val="20"/>
          <w:lang w:val="en-US" w:eastAsia="en-US"/>
        </w:rPr>
        <w:t>damage,</w:t>
      </w:r>
      <w:r w:rsidR="00BF2B13" w:rsidRPr="00AC57EA">
        <w:rPr>
          <w:kern w:val="2"/>
          <w:sz w:val="20"/>
          <w:szCs w:val="20"/>
          <w:lang w:val="en-US" w:eastAsia="en-US"/>
        </w:rPr>
        <w:t xml:space="preserve"> </w:t>
      </w:r>
      <w:r w:rsidR="0064398B" w:rsidRPr="00AC57EA">
        <w:rPr>
          <w:kern w:val="2"/>
          <w:sz w:val="20"/>
          <w:szCs w:val="20"/>
          <w:lang w:val="en-US" w:eastAsia="en-US"/>
        </w:rPr>
        <w:t>not only to the child, but also to the whole group, because it is an abuse that the whole group experiences, as an attack against the family.</w:t>
      </w:r>
      <w:r w:rsidR="00A4555D" w:rsidRPr="00AC57EA">
        <w:rPr>
          <w:sz w:val="20"/>
          <w:szCs w:val="20"/>
          <w:lang w:val="en-US"/>
        </w:rPr>
        <w:t>”</w:t>
      </w:r>
      <w:r w:rsidR="00A4555D" w:rsidRPr="00AC57EA">
        <w:rPr>
          <w:rStyle w:val="Refdenotaalpie"/>
          <w:sz w:val="20"/>
          <w:szCs w:val="20"/>
          <w:lang w:val="en-US"/>
        </w:rPr>
        <w:footnoteReference w:id="218"/>
      </w:r>
      <w:r w:rsidR="00A4555D" w:rsidRPr="00AC57EA">
        <w:rPr>
          <w:sz w:val="20"/>
          <w:szCs w:val="20"/>
          <w:lang w:val="en-US"/>
        </w:rPr>
        <w:t xml:space="preserve"> </w:t>
      </w:r>
      <w:r w:rsidR="0064398B" w:rsidRPr="00AC57EA">
        <w:rPr>
          <w:kern w:val="2"/>
          <w:sz w:val="20"/>
          <w:szCs w:val="20"/>
          <w:lang w:val="en-US" w:eastAsia="en-US"/>
        </w:rPr>
        <w:t>Consequently</w:t>
      </w:r>
      <w:r w:rsidR="000D7043" w:rsidRPr="00AC57EA">
        <w:rPr>
          <w:kern w:val="2"/>
          <w:sz w:val="20"/>
          <w:szCs w:val="20"/>
          <w:lang w:val="en-US" w:eastAsia="en-US"/>
        </w:rPr>
        <w:t xml:space="preserve"> </w:t>
      </w:r>
      <w:r w:rsidRPr="00AC57EA">
        <w:rPr>
          <w:kern w:val="2"/>
          <w:sz w:val="20"/>
          <w:szCs w:val="20"/>
          <w:lang w:val="en-US" w:eastAsia="en-US"/>
        </w:rPr>
        <w:t>the Court</w:t>
      </w:r>
      <w:r w:rsidR="000D7043" w:rsidRPr="00AC57EA">
        <w:rPr>
          <w:kern w:val="2"/>
          <w:sz w:val="20"/>
          <w:szCs w:val="20"/>
          <w:lang w:val="en-US" w:eastAsia="en-US"/>
        </w:rPr>
        <w:t xml:space="preserve"> </w:t>
      </w:r>
      <w:r w:rsidR="0064398B" w:rsidRPr="00AC57EA">
        <w:rPr>
          <w:kern w:val="2"/>
          <w:sz w:val="20"/>
          <w:szCs w:val="20"/>
          <w:lang w:val="en-US" w:eastAsia="en-US"/>
        </w:rPr>
        <w:t xml:space="preserve">emphasizes the importance of the adoption of a care protocol addressed at reducing the consequences on the </w:t>
      </w:r>
      <w:r w:rsidR="00C357BD" w:rsidRPr="00AC57EA">
        <w:rPr>
          <w:kern w:val="2"/>
          <w:sz w:val="20"/>
          <w:szCs w:val="20"/>
          <w:lang w:val="en-US" w:eastAsia="en-US"/>
        </w:rPr>
        <w:t xml:space="preserve">biopsychosocial </w:t>
      </w:r>
      <w:r w:rsidR="0064398B" w:rsidRPr="00AC57EA">
        <w:rPr>
          <w:kern w:val="2"/>
          <w:sz w:val="20"/>
          <w:szCs w:val="20"/>
          <w:lang w:val="en-US" w:eastAsia="en-US"/>
        </w:rPr>
        <w:t>well-being of the victim.</w:t>
      </w:r>
      <w:r w:rsidR="006F277B" w:rsidRPr="00AC57EA">
        <w:rPr>
          <w:rStyle w:val="Refdenotaalpie"/>
          <w:kern w:val="2"/>
          <w:sz w:val="20"/>
          <w:szCs w:val="20"/>
          <w:lang w:val="en-US" w:eastAsia="en-US"/>
        </w:rPr>
        <w:footnoteReference w:id="219"/>
      </w:r>
    </w:p>
    <w:p w14:paraId="3235FBC3" w14:textId="6436EC80" w:rsidR="000D7043" w:rsidRPr="00AC57EA" w:rsidRDefault="000D7043" w:rsidP="008420DB">
      <w:pPr>
        <w:widowControl/>
        <w:tabs>
          <w:tab w:val="left" w:pos="567"/>
        </w:tabs>
        <w:adjustRightInd/>
        <w:spacing w:line="240" w:lineRule="auto"/>
        <w:textAlignment w:val="auto"/>
        <w:rPr>
          <w:kern w:val="2"/>
          <w:sz w:val="20"/>
          <w:szCs w:val="20"/>
          <w:lang w:val="en-US" w:eastAsia="en-US"/>
        </w:rPr>
      </w:pPr>
    </w:p>
    <w:p w14:paraId="5C084546" w14:textId="00CACC48" w:rsidR="00253F03" w:rsidRPr="00AC57EA" w:rsidRDefault="006A493F" w:rsidP="006A493F">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In addition, bearing in mind the best interests of the child, it is necessary not only to avoid revictimization, but also, by providing special protection and specialized support, to create the appropriate conditions for the child or adolescent to play an effective role in the criminal proceedings. The State’s actions must be addressed at providing</w:t>
      </w:r>
      <w:r w:rsidR="00011150" w:rsidRPr="00AC57EA">
        <w:rPr>
          <w:kern w:val="2"/>
          <w:sz w:val="20"/>
          <w:szCs w:val="20"/>
          <w:lang w:val="en-US" w:eastAsia="en-US"/>
        </w:rPr>
        <w:t xml:space="preserve"> the</w:t>
      </w:r>
      <w:r w:rsidRPr="00AC57EA">
        <w:rPr>
          <w:kern w:val="2"/>
          <w:sz w:val="20"/>
          <w:szCs w:val="20"/>
          <w:lang w:val="en-US" w:eastAsia="en-US"/>
        </w:rPr>
        <w:t xml:space="preserve"> </w:t>
      </w:r>
      <w:r w:rsidR="00ED058B" w:rsidRPr="00AC57EA">
        <w:rPr>
          <w:kern w:val="2"/>
          <w:sz w:val="20"/>
          <w:szCs w:val="20"/>
          <w:lang w:val="en-US" w:eastAsia="en-US"/>
        </w:rPr>
        <w:t>enhanced protection</w:t>
      </w:r>
      <w:r w:rsidRPr="00AC57EA">
        <w:rPr>
          <w:kern w:val="2"/>
          <w:sz w:val="20"/>
          <w:szCs w:val="20"/>
          <w:lang w:val="en-US" w:eastAsia="en-US"/>
        </w:rPr>
        <w:t xml:space="preserve"> of the child’s rights, by the multidisciplinary and coordinat</w:t>
      </w:r>
      <w:r w:rsidR="00011150" w:rsidRPr="00AC57EA">
        <w:rPr>
          <w:kern w:val="2"/>
          <w:sz w:val="20"/>
          <w:szCs w:val="20"/>
          <w:lang w:val="en-US" w:eastAsia="en-US"/>
        </w:rPr>
        <w:t>ed</w:t>
      </w:r>
      <w:r w:rsidRPr="00AC57EA">
        <w:rPr>
          <w:kern w:val="2"/>
          <w:sz w:val="20"/>
          <w:szCs w:val="20"/>
          <w:lang w:val="en-US" w:eastAsia="en-US"/>
        </w:rPr>
        <w:t xml:space="preserve"> actions of the State agencies involved in protection and psychosocial support, and investigation and prosecution, including the Public Prosecution Service, the judicial authorities, health professionals, social and legal services, and the national police force, from the moment the State becomes aware of the violation of the child’s human rights, and continuously, until those services cease to be necessary, so as to avoid the child’s participation in the criminal proceedings causing new harm and additional trauma, revictimizing him or her.</w:t>
      </w:r>
      <w:r w:rsidR="00F03A93" w:rsidRPr="00AC57EA">
        <w:rPr>
          <w:rStyle w:val="Refdenotaalpie"/>
          <w:kern w:val="2"/>
          <w:sz w:val="20"/>
          <w:szCs w:val="20"/>
          <w:lang w:val="en-US" w:eastAsia="en-US"/>
        </w:rPr>
        <w:footnoteReference w:id="220"/>
      </w:r>
    </w:p>
    <w:p w14:paraId="44567BAD" w14:textId="77777777" w:rsidR="006B7989" w:rsidRPr="00AC57EA" w:rsidRDefault="006B7989" w:rsidP="006B7989">
      <w:pPr>
        <w:widowControl/>
        <w:tabs>
          <w:tab w:val="left" w:pos="567"/>
        </w:tabs>
        <w:adjustRightInd/>
        <w:spacing w:line="240" w:lineRule="auto"/>
        <w:textAlignment w:val="auto"/>
        <w:rPr>
          <w:b/>
          <w:kern w:val="2"/>
          <w:sz w:val="20"/>
          <w:szCs w:val="20"/>
          <w:lang w:val="en-US" w:eastAsia="en-US"/>
        </w:rPr>
      </w:pPr>
    </w:p>
    <w:p w14:paraId="44D36F3E" w14:textId="178ABB0F" w:rsidR="00B5625C" w:rsidRPr="00AC57EA" w:rsidRDefault="006A493F" w:rsidP="00B96193">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Consequently, in cases of sexual violence, the State must, when it becomes aware of the facts, provide immediate, professional assistance, both medical and psychological and/or psychiatric, by professionals who are qualified in the care of victims of this type of crime and with a gender and child-based perspective.</w:t>
      </w:r>
      <w:r w:rsidR="003F4409" w:rsidRPr="00AC57EA">
        <w:rPr>
          <w:kern w:val="2"/>
          <w:sz w:val="20"/>
          <w:szCs w:val="20"/>
          <w:vertAlign w:val="superscript"/>
          <w:lang w:val="en-US" w:eastAsia="en-US"/>
        </w:rPr>
        <w:footnoteReference w:id="221"/>
      </w:r>
      <w:r w:rsidRPr="00AC57EA">
        <w:rPr>
          <w:kern w:val="2"/>
          <w:sz w:val="20"/>
          <w:szCs w:val="20"/>
          <w:lang w:val="en-US" w:eastAsia="en-US"/>
        </w:rPr>
        <w:t xml:space="preserve"> The support must be maintained during the criminal proceedings, endeavoring to ensure that it is the same professional who accompanies the child or adolescent. It is all important that the justice procedure and the support services</w:t>
      </w:r>
      <w:r w:rsidR="00B96193" w:rsidRPr="00AC57EA">
        <w:rPr>
          <w:kern w:val="2"/>
          <w:sz w:val="20"/>
          <w:szCs w:val="20"/>
          <w:lang w:val="en-US" w:eastAsia="en-US"/>
        </w:rPr>
        <w:t xml:space="preserve"> take into account, without discrimination of any kind, the age, level of maturity and understanding, </w:t>
      </w:r>
      <w:r w:rsidR="00F622A5" w:rsidRPr="00AC57EA">
        <w:rPr>
          <w:kern w:val="2"/>
          <w:sz w:val="20"/>
          <w:szCs w:val="20"/>
          <w:lang w:val="en-US" w:eastAsia="en-US"/>
        </w:rPr>
        <w:t>gender</w:t>
      </w:r>
      <w:r w:rsidR="00B96193" w:rsidRPr="00AC57EA">
        <w:rPr>
          <w:kern w:val="2"/>
          <w:sz w:val="20"/>
          <w:szCs w:val="20"/>
          <w:lang w:val="en-US" w:eastAsia="en-US"/>
        </w:rPr>
        <w:t xml:space="preserve">, sexual orientation, socio-economic status, aptitudes and capabilities of the child or adolescent, as well as </w:t>
      </w:r>
      <w:r w:rsidR="00B96193" w:rsidRPr="00AC57EA">
        <w:rPr>
          <w:kern w:val="2"/>
          <w:sz w:val="20"/>
          <w:szCs w:val="20"/>
          <w:lang w:val="en-US" w:eastAsia="en-US"/>
        </w:rPr>
        <w:lastRenderedPageBreak/>
        <w:t>any other factor or special need.</w:t>
      </w:r>
      <w:r w:rsidR="00CD012D" w:rsidRPr="00AC57EA">
        <w:rPr>
          <w:kern w:val="2"/>
          <w:sz w:val="20"/>
          <w:szCs w:val="20"/>
          <w:vertAlign w:val="superscript"/>
          <w:lang w:val="en-US" w:eastAsia="en-US"/>
        </w:rPr>
        <w:footnoteReference w:id="222"/>
      </w:r>
      <w:r w:rsidR="00B96193" w:rsidRPr="00AC57EA">
        <w:rPr>
          <w:kern w:val="2"/>
          <w:sz w:val="20"/>
          <w:szCs w:val="20"/>
          <w:lang w:val="en-US" w:eastAsia="en-US"/>
        </w:rPr>
        <w:t xml:space="preserve"> All of this, in order to provide victims with the necessary support and services, based o</w:t>
      </w:r>
      <w:r w:rsidR="00B26D59" w:rsidRPr="00AC57EA">
        <w:rPr>
          <w:kern w:val="2"/>
          <w:sz w:val="20"/>
          <w:szCs w:val="20"/>
          <w:lang w:val="en-US" w:eastAsia="en-US"/>
        </w:rPr>
        <w:t>n</w:t>
      </w:r>
      <w:r w:rsidR="00B96193" w:rsidRPr="00AC57EA">
        <w:rPr>
          <w:kern w:val="2"/>
          <w:sz w:val="20"/>
          <w:szCs w:val="20"/>
          <w:lang w:val="en-US" w:eastAsia="en-US"/>
        </w:rPr>
        <w:t xml:space="preserve"> their experience and understanding and the violations suffered. Therefore, it is understood that </w:t>
      </w:r>
      <w:r w:rsidR="00B26D59" w:rsidRPr="00AC57EA">
        <w:rPr>
          <w:kern w:val="2"/>
          <w:sz w:val="20"/>
          <w:szCs w:val="20"/>
          <w:lang w:val="en-US" w:eastAsia="en-US"/>
        </w:rPr>
        <w:t>it is essential to ensure the</w:t>
      </w:r>
      <w:r w:rsidR="00B96193" w:rsidRPr="00AC57EA">
        <w:rPr>
          <w:kern w:val="2"/>
          <w:sz w:val="20"/>
          <w:szCs w:val="20"/>
          <w:lang w:val="en-US" w:eastAsia="en-US"/>
        </w:rPr>
        <w:t xml:space="preserve"> existence of specific </w:t>
      </w:r>
      <w:r w:rsidR="00B26D59" w:rsidRPr="00AC57EA">
        <w:rPr>
          <w:kern w:val="2"/>
          <w:sz w:val="20"/>
          <w:szCs w:val="20"/>
          <w:lang w:val="en-US" w:eastAsia="en-US"/>
        </w:rPr>
        <w:t xml:space="preserve">services and </w:t>
      </w:r>
      <w:r w:rsidR="00B96193" w:rsidRPr="00AC57EA">
        <w:rPr>
          <w:kern w:val="2"/>
          <w:sz w:val="20"/>
          <w:szCs w:val="20"/>
          <w:lang w:val="en-US" w:eastAsia="en-US"/>
        </w:rPr>
        <w:t xml:space="preserve">protection for victims of certain crimes, such as those </w:t>
      </w:r>
      <w:r w:rsidR="00B26D59" w:rsidRPr="00AC57EA">
        <w:rPr>
          <w:kern w:val="2"/>
          <w:sz w:val="20"/>
          <w:szCs w:val="20"/>
          <w:lang w:val="en-US" w:eastAsia="en-US"/>
        </w:rPr>
        <w:t>involving</w:t>
      </w:r>
      <w:r w:rsidR="00B96193" w:rsidRPr="00AC57EA">
        <w:rPr>
          <w:kern w:val="2"/>
          <w:sz w:val="20"/>
          <w:szCs w:val="20"/>
          <w:lang w:val="en-US" w:eastAsia="en-US"/>
        </w:rPr>
        <w:t xml:space="preserve"> sexual violence, especially rape.</w:t>
      </w:r>
      <w:r w:rsidR="00CD012D" w:rsidRPr="00AC57EA">
        <w:rPr>
          <w:kern w:val="2"/>
          <w:sz w:val="20"/>
          <w:szCs w:val="20"/>
          <w:vertAlign w:val="superscript"/>
          <w:lang w:val="en-US" w:eastAsia="en-US"/>
        </w:rPr>
        <w:footnoteReference w:id="223"/>
      </w:r>
    </w:p>
    <w:p w14:paraId="7E5F7DBA" w14:textId="77777777" w:rsidR="00F977EC" w:rsidRPr="00AC57EA" w:rsidRDefault="00F977EC" w:rsidP="00F977EC">
      <w:pPr>
        <w:widowControl/>
        <w:tabs>
          <w:tab w:val="left" w:pos="567"/>
        </w:tabs>
        <w:adjustRightInd/>
        <w:spacing w:line="240" w:lineRule="auto"/>
        <w:textAlignment w:val="auto"/>
        <w:rPr>
          <w:b/>
          <w:kern w:val="2"/>
          <w:sz w:val="20"/>
          <w:szCs w:val="20"/>
          <w:lang w:val="en-US" w:eastAsia="en-US"/>
        </w:rPr>
      </w:pPr>
    </w:p>
    <w:p w14:paraId="30675177" w14:textId="1087725D" w:rsidR="00A954C6" w:rsidRPr="00AC57EA" w:rsidRDefault="00B96193" w:rsidP="008F6836">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rFonts w:eastAsia="Arial" w:cs="Arial"/>
          <w:sz w:val="20"/>
          <w:szCs w:val="20"/>
          <w:lang w:val="en-US"/>
        </w:rPr>
        <w:t xml:space="preserve">Consequently, in order to ensure the right to be heard, States must guarantee that the proceedings take place in an environment that is not intimidating, hostile, insensitive or inappropriate for the age of the child </w:t>
      </w:r>
      <w:r w:rsidR="00171E27" w:rsidRPr="00AC57EA">
        <w:rPr>
          <w:rFonts w:eastAsia="Arial" w:cs="Arial"/>
          <w:sz w:val="20"/>
          <w:szCs w:val="20"/>
          <w:lang w:val="en-US"/>
        </w:rPr>
        <w:t xml:space="preserve">and </w:t>
      </w:r>
      <w:r w:rsidRPr="00AC57EA">
        <w:rPr>
          <w:rFonts w:eastAsia="Arial" w:cs="Arial"/>
          <w:sz w:val="20"/>
          <w:szCs w:val="20"/>
          <w:lang w:val="en-US"/>
        </w:rPr>
        <w:t xml:space="preserve">that the personnel responsible for receiving the victim’s account are duly </w:t>
      </w:r>
      <w:r w:rsidR="00F622A5" w:rsidRPr="00AC57EA">
        <w:rPr>
          <w:rFonts w:eastAsia="Arial" w:cs="Arial"/>
          <w:sz w:val="20"/>
          <w:szCs w:val="20"/>
          <w:lang w:val="en-US"/>
        </w:rPr>
        <w:t>qualified</w:t>
      </w:r>
      <w:r w:rsidRPr="00AC57EA">
        <w:rPr>
          <w:rFonts w:eastAsia="Arial" w:cs="Arial"/>
          <w:sz w:val="20"/>
          <w:szCs w:val="20"/>
          <w:lang w:val="en-US"/>
        </w:rPr>
        <w:t xml:space="preserve">, so that the victim feels respected and safe when expressing his or her opinion in an appropriate physical, mental and emotional </w:t>
      </w:r>
      <w:r w:rsidR="00F622A5" w:rsidRPr="00AC57EA">
        <w:rPr>
          <w:rFonts w:eastAsia="Arial" w:cs="Arial"/>
          <w:sz w:val="20"/>
          <w:szCs w:val="20"/>
          <w:lang w:val="en-US"/>
        </w:rPr>
        <w:t>environment.</w:t>
      </w:r>
      <w:r w:rsidR="00A954C6" w:rsidRPr="00AC57EA">
        <w:rPr>
          <w:rStyle w:val="Refdenotaalpie"/>
          <w:rFonts w:eastAsia="Arial" w:cs="Arial"/>
          <w:sz w:val="20"/>
          <w:szCs w:val="20"/>
          <w:lang w:val="en-US"/>
        </w:rPr>
        <w:footnoteReference w:id="224"/>
      </w:r>
      <w:r w:rsidR="00F622A5" w:rsidRPr="00AC57EA">
        <w:rPr>
          <w:rFonts w:eastAsia="Arial" w:cs="Arial"/>
          <w:sz w:val="20"/>
          <w:szCs w:val="20"/>
          <w:lang w:val="en-US"/>
        </w:rPr>
        <w:t xml:space="preserve"> </w:t>
      </w:r>
      <w:r w:rsidR="00F622A5" w:rsidRPr="00AC57EA">
        <w:rPr>
          <w:kern w:val="2"/>
          <w:sz w:val="20"/>
          <w:szCs w:val="20"/>
          <w:lang w:val="en-US" w:eastAsia="en-US"/>
        </w:rPr>
        <w:t>C</w:t>
      </w:r>
      <w:r w:rsidR="001567A9" w:rsidRPr="00AC57EA">
        <w:rPr>
          <w:kern w:val="2"/>
          <w:sz w:val="20"/>
          <w:szCs w:val="20"/>
          <w:lang w:val="en-US" w:eastAsia="en-US"/>
        </w:rPr>
        <w:t>hildren and adolescents</w:t>
      </w:r>
      <w:r w:rsidR="0030311C" w:rsidRPr="00AC57EA">
        <w:rPr>
          <w:kern w:val="2"/>
          <w:sz w:val="20"/>
          <w:szCs w:val="20"/>
          <w:lang w:val="en-US" w:eastAsia="en-US"/>
        </w:rPr>
        <w:t xml:space="preserve"> </w:t>
      </w:r>
      <w:r w:rsidR="00F622A5" w:rsidRPr="00AC57EA">
        <w:rPr>
          <w:kern w:val="2"/>
          <w:sz w:val="20"/>
          <w:szCs w:val="20"/>
          <w:lang w:val="en-US" w:eastAsia="en-US"/>
        </w:rPr>
        <w:t>must be treated with tact and sensitivity throughout the criminal proceedings.</w:t>
      </w:r>
      <w:r w:rsidR="00A87654" w:rsidRPr="00AC57EA">
        <w:rPr>
          <w:rStyle w:val="Refdenotaalpie"/>
          <w:rFonts w:eastAsia="Arial" w:cs="Arial"/>
          <w:sz w:val="20"/>
          <w:szCs w:val="20"/>
          <w:lang w:val="en-US"/>
        </w:rPr>
        <w:footnoteReference w:id="225"/>
      </w:r>
      <w:r w:rsidR="00F622A5" w:rsidRPr="00AC57EA">
        <w:rPr>
          <w:kern w:val="2"/>
          <w:sz w:val="20"/>
          <w:szCs w:val="20"/>
          <w:lang w:val="en-US" w:eastAsia="en-US"/>
        </w:rPr>
        <w:t xml:space="preserve"> </w:t>
      </w:r>
      <w:r w:rsidR="008F6836" w:rsidRPr="00AC57EA">
        <w:rPr>
          <w:kern w:val="2"/>
          <w:sz w:val="20"/>
          <w:szCs w:val="20"/>
          <w:lang w:val="en-US" w:eastAsia="en-US"/>
        </w:rPr>
        <w:t>An effort must be made to explain the reasons for and utility of the procedures that will be conducted or the nature of the expert reports to which they will be subjected, always based on their age, level of maturity and development, and in keeping with their right to information.</w:t>
      </w:r>
      <w:r w:rsidR="00A87654" w:rsidRPr="00AC57EA">
        <w:rPr>
          <w:rStyle w:val="Refdenotaalpie"/>
          <w:kern w:val="2"/>
          <w:sz w:val="20"/>
          <w:szCs w:val="20"/>
          <w:lang w:val="en-US" w:eastAsia="en-US"/>
        </w:rPr>
        <w:footnoteReference w:id="226"/>
      </w:r>
    </w:p>
    <w:p w14:paraId="06AD16AE" w14:textId="77777777" w:rsidR="00A954C6" w:rsidRPr="00AC57EA" w:rsidRDefault="00A954C6" w:rsidP="00B5625C">
      <w:pPr>
        <w:widowControl/>
        <w:adjustRightInd/>
        <w:spacing w:line="240" w:lineRule="auto"/>
        <w:jc w:val="left"/>
        <w:textAlignment w:val="auto"/>
        <w:rPr>
          <w:b/>
          <w:kern w:val="2"/>
          <w:sz w:val="20"/>
          <w:szCs w:val="20"/>
          <w:lang w:val="en-US" w:eastAsia="en-US"/>
        </w:rPr>
      </w:pPr>
    </w:p>
    <w:p w14:paraId="394BB986" w14:textId="777580A7" w:rsidR="00422D55" w:rsidRPr="00AC57EA" w:rsidRDefault="001505D5" w:rsidP="001505D5">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 xml:space="preserve">The state </w:t>
      </w:r>
      <w:r w:rsidR="00C22431" w:rsidRPr="00AC57EA">
        <w:rPr>
          <w:kern w:val="2"/>
          <w:sz w:val="20"/>
          <w:szCs w:val="20"/>
          <w:lang w:val="en-US" w:eastAsia="en-US"/>
        </w:rPr>
        <w:t>aut</w:t>
      </w:r>
      <w:r w:rsidRPr="00AC57EA">
        <w:rPr>
          <w:kern w:val="2"/>
          <w:sz w:val="20"/>
          <w:szCs w:val="20"/>
          <w:lang w:val="en-US" w:eastAsia="en-US"/>
        </w:rPr>
        <w:t xml:space="preserve">horities must give due weight to the victims’ views, always respecting their privacy and the confidentiality of the information if appropriate, always avoiding their participation in an excessive number of interventions or their exposure to the public, adopting the necessary measures to avoid </w:t>
      </w:r>
      <w:r w:rsidR="007A702E" w:rsidRPr="00AC57EA">
        <w:rPr>
          <w:kern w:val="2"/>
          <w:sz w:val="20"/>
          <w:szCs w:val="20"/>
          <w:lang w:val="en-US" w:eastAsia="en-US"/>
        </w:rPr>
        <w:t>causing them</w:t>
      </w:r>
      <w:r w:rsidRPr="00AC57EA">
        <w:rPr>
          <w:kern w:val="2"/>
          <w:sz w:val="20"/>
          <w:szCs w:val="20"/>
          <w:lang w:val="en-US" w:eastAsia="en-US"/>
        </w:rPr>
        <w:t xml:space="preserve"> suffering during the proceedings and subjecting them to further harm.</w:t>
      </w:r>
      <w:r w:rsidR="00C22431" w:rsidRPr="00AC57EA">
        <w:rPr>
          <w:kern w:val="2"/>
          <w:sz w:val="20"/>
          <w:szCs w:val="20"/>
          <w:vertAlign w:val="superscript"/>
          <w:lang w:val="en-US" w:eastAsia="en-US"/>
        </w:rPr>
        <w:footnoteReference w:id="227"/>
      </w:r>
      <w:r w:rsidR="00C22431" w:rsidRPr="00AC57EA">
        <w:rPr>
          <w:kern w:val="2"/>
          <w:sz w:val="20"/>
          <w:szCs w:val="20"/>
          <w:lang w:val="en-US" w:eastAsia="en-US"/>
        </w:rPr>
        <w:t xml:space="preserve"> </w:t>
      </w:r>
      <w:r w:rsidRPr="00AC57EA">
        <w:rPr>
          <w:kern w:val="2"/>
          <w:sz w:val="20"/>
          <w:szCs w:val="20"/>
          <w:lang w:val="en-US" w:eastAsia="en-US"/>
        </w:rPr>
        <w:t>The requirement of qualified personnel, including administrative, judicial and prosecutorial authorities</w:t>
      </w:r>
      <w:r w:rsidR="00011150" w:rsidRPr="00AC57EA">
        <w:rPr>
          <w:kern w:val="2"/>
          <w:sz w:val="20"/>
          <w:szCs w:val="20"/>
          <w:lang w:val="en-US" w:eastAsia="en-US"/>
        </w:rPr>
        <w:t xml:space="preserve">, and health personnel also means that this personnel will communicate with the children and adolescents using </w:t>
      </w:r>
      <w:r w:rsidR="007A702E" w:rsidRPr="00AC57EA">
        <w:rPr>
          <w:kern w:val="2"/>
          <w:sz w:val="20"/>
          <w:szCs w:val="20"/>
          <w:lang w:val="en-US" w:eastAsia="en-US"/>
        </w:rPr>
        <w:t xml:space="preserve">language and terminology that is appropriate to age and non-stigmatizing, offensive or discriminatory, </w:t>
      </w:r>
      <w:r w:rsidR="00011150" w:rsidRPr="00AC57EA">
        <w:rPr>
          <w:kern w:val="2"/>
          <w:sz w:val="20"/>
          <w:szCs w:val="20"/>
          <w:lang w:val="en-US" w:eastAsia="en-US"/>
        </w:rPr>
        <w:t xml:space="preserve">that will allow them to recount the events that occurred or their experiences in </w:t>
      </w:r>
      <w:r w:rsidR="007A702E" w:rsidRPr="00AC57EA">
        <w:rPr>
          <w:kern w:val="2"/>
          <w:sz w:val="20"/>
          <w:szCs w:val="20"/>
          <w:lang w:val="en-US" w:eastAsia="en-US"/>
        </w:rPr>
        <w:t>a manner of their choice</w:t>
      </w:r>
      <w:r w:rsidR="00011150" w:rsidRPr="00AC57EA">
        <w:rPr>
          <w:kern w:val="2"/>
          <w:sz w:val="20"/>
          <w:szCs w:val="20"/>
          <w:lang w:val="en-US" w:eastAsia="en-US"/>
        </w:rPr>
        <w:t>.</w:t>
      </w:r>
      <w:r w:rsidR="00422D55" w:rsidRPr="00AC57EA">
        <w:rPr>
          <w:kern w:val="2"/>
          <w:sz w:val="20"/>
          <w:szCs w:val="20"/>
          <w:vertAlign w:val="superscript"/>
          <w:lang w:val="en-US" w:eastAsia="en-US"/>
        </w:rPr>
        <w:footnoteReference w:id="228"/>
      </w:r>
    </w:p>
    <w:p w14:paraId="291918E1" w14:textId="77777777" w:rsidR="00422D55" w:rsidRPr="00AC57EA" w:rsidRDefault="00422D55" w:rsidP="008C1277">
      <w:pPr>
        <w:widowControl/>
        <w:tabs>
          <w:tab w:val="left" w:pos="567"/>
        </w:tabs>
        <w:adjustRightInd/>
        <w:spacing w:line="240" w:lineRule="auto"/>
        <w:textAlignment w:val="auto"/>
        <w:rPr>
          <w:b/>
          <w:kern w:val="2"/>
          <w:sz w:val="20"/>
          <w:szCs w:val="20"/>
          <w:lang w:val="en-US" w:eastAsia="en-US"/>
        </w:rPr>
      </w:pPr>
    </w:p>
    <w:p w14:paraId="42DC495A" w14:textId="4E7DADC0" w:rsidR="001F3796" w:rsidRPr="00AC57EA" w:rsidRDefault="00011150" w:rsidP="0001115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In this regard, the Court finds that, if it is considered pertinent that the child or adolescent testify as a victim of </w:t>
      </w:r>
      <w:r w:rsidR="00A70E01" w:rsidRPr="00AC57EA">
        <w:rPr>
          <w:kern w:val="2"/>
          <w:sz w:val="20"/>
          <w:szCs w:val="20"/>
          <w:lang w:val="en-US" w:eastAsia="en-US"/>
        </w:rPr>
        <w:t xml:space="preserve">an offense, the interview should be conducted by a qualified psychologist or a professional in a similar field duly </w:t>
      </w:r>
      <w:r w:rsidR="007A702E" w:rsidRPr="00AC57EA">
        <w:rPr>
          <w:kern w:val="2"/>
          <w:sz w:val="20"/>
          <w:szCs w:val="20"/>
          <w:lang w:val="en-US" w:eastAsia="en-US"/>
        </w:rPr>
        <w:t>qualified</w:t>
      </w:r>
      <w:r w:rsidR="00A70E01" w:rsidRPr="00AC57EA">
        <w:rPr>
          <w:kern w:val="2"/>
          <w:sz w:val="20"/>
          <w:szCs w:val="20"/>
          <w:lang w:val="en-US" w:eastAsia="en-US"/>
        </w:rPr>
        <w:t xml:space="preserve"> in taking this type of statement. This professional will allow the</w:t>
      </w:r>
      <w:r w:rsidR="00B80A06" w:rsidRPr="00AC57EA">
        <w:rPr>
          <w:kern w:val="2"/>
          <w:sz w:val="20"/>
          <w:szCs w:val="20"/>
          <w:lang w:val="en-US" w:eastAsia="en-US"/>
        </w:rPr>
        <w:t xml:space="preserve"> children or adolescents</w:t>
      </w:r>
      <w:r w:rsidR="00A70E01" w:rsidRPr="00AC57EA">
        <w:rPr>
          <w:kern w:val="2"/>
          <w:sz w:val="20"/>
          <w:szCs w:val="20"/>
          <w:lang w:val="en-US" w:eastAsia="en-US"/>
        </w:rPr>
        <w:t xml:space="preserve"> to choose how they wish to express themselves a</w:t>
      </w:r>
      <w:r w:rsidR="00B80A06" w:rsidRPr="00AC57EA">
        <w:rPr>
          <w:kern w:val="2"/>
          <w:sz w:val="20"/>
          <w:szCs w:val="20"/>
          <w:lang w:val="en-US" w:eastAsia="en-US"/>
        </w:rPr>
        <w:t>nd in a way that is adapted to their requirements, and it is possible that they may not be q</w:t>
      </w:r>
      <w:r w:rsidR="00A70E01" w:rsidRPr="00AC57EA">
        <w:rPr>
          <w:kern w:val="2"/>
          <w:sz w:val="20"/>
          <w:szCs w:val="20"/>
          <w:lang w:val="en-US" w:eastAsia="en-US"/>
        </w:rPr>
        <w:t>uestioned directly by the Court or the parties.</w:t>
      </w:r>
      <w:r w:rsidR="00D217C7" w:rsidRPr="00AC57EA">
        <w:rPr>
          <w:kern w:val="2"/>
          <w:sz w:val="20"/>
          <w:szCs w:val="20"/>
          <w:vertAlign w:val="superscript"/>
          <w:lang w:val="en-US" w:eastAsia="en-US"/>
        </w:rPr>
        <w:footnoteReference w:id="229"/>
      </w:r>
      <w:r w:rsidR="00E07D1F" w:rsidRPr="00AC57EA">
        <w:rPr>
          <w:kern w:val="2"/>
          <w:sz w:val="20"/>
          <w:szCs w:val="20"/>
          <w:lang w:val="en-US" w:eastAsia="en-US"/>
        </w:rPr>
        <w:t xml:space="preserve"> </w:t>
      </w:r>
      <w:r w:rsidR="00A70E01" w:rsidRPr="00AC57EA">
        <w:rPr>
          <w:kern w:val="2"/>
          <w:sz w:val="20"/>
          <w:szCs w:val="20"/>
          <w:lang w:val="en-US" w:eastAsia="en-US"/>
        </w:rPr>
        <w:t xml:space="preserve">The interview will seek to obtain precise, reliable and complete information </w:t>
      </w:r>
      <w:r w:rsidR="00A70E01" w:rsidRPr="00AC57EA">
        <w:rPr>
          <w:kern w:val="2"/>
          <w:sz w:val="20"/>
          <w:szCs w:val="20"/>
          <w:lang w:val="en-US" w:eastAsia="en-US"/>
        </w:rPr>
        <w:lastRenderedPageBreak/>
        <w:t xml:space="preserve">about what happened through the victim’s account. To this end, the interview rooms should provide an environment that is safe and not intimidating, hostile or inappropriate </w:t>
      </w:r>
      <w:r w:rsidR="00D217C7" w:rsidRPr="00AC57EA">
        <w:rPr>
          <w:kern w:val="2"/>
          <w:sz w:val="20"/>
          <w:szCs w:val="20"/>
          <w:lang w:val="en-US" w:eastAsia="en-US"/>
        </w:rPr>
        <w:t>(</w:t>
      </w:r>
      <w:r w:rsidR="00D217C7" w:rsidRPr="00AC57EA">
        <w:rPr>
          <w:i/>
          <w:kern w:val="2"/>
          <w:sz w:val="20"/>
          <w:szCs w:val="20"/>
          <w:lang w:val="en-US" w:eastAsia="en-US"/>
        </w:rPr>
        <w:t>supra</w:t>
      </w:r>
      <w:r w:rsidR="00D217C7" w:rsidRPr="00AC57EA">
        <w:rPr>
          <w:kern w:val="2"/>
          <w:sz w:val="20"/>
          <w:szCs w:val="20"/>
          <w:lang w:val="en-US" w:eastAsia="en-US"/>
        </w:rPr>
        <w:t xml:space="preserve"> </w:t>
      </w:r>
      <w:r w:rsidR="00171E27" w:rsidRPr="00AC57EA">
        <w:rPr>
          <w:kern w:val="2"/>
          <w:sz w:val="20"/>
          <w:szCs w:val="20"/>
          <w:lang w:val="en-US" w:eastAsia="en-US"/>
        </w:rPr>
        <w:t>para.</w:t>
      </w:r>
      <w:r w:rsidR="00D217C7" w:rsidRPr="00AC57EA">
        <w:rPr>
          <w:kern w:val="2"/>
          <w:sz w:val="20"/>
          <w:szCs w:val="20"/>
          <w:lang w:val="en-US" w:eastAsia="en-US"/>
        </w:rPr>
        <w:t xml:space="preserve"> 166)</w:t>
      </w:r>
      <w:r w:rsidR="00E07D1F" w:rsidRPr="00AC57EA">
        <w:rPr>
          <w:kern w:val="2"/>
          <w:sz w:val="20"/>
          <w:szCs w:val="20"/>
          <w:lang w:val="en-US" w:eastAsia="en-US"/>
        </w:rPr>
        <w:t xml:space="preserve">, </w:t>
      </w:r>
      <w:r w:rsidR="00A70E01" w:rsidRPr="00AC57EA">
        <w:rPr>
          <w:kern w:val="2"/>
          <w:sz w:val="20"/>
          <w:szCs w:val="20"/>
          <w:lang w:val="en-US" w:eastAsia="en-US"/>
        </w:rPr>
        <w:t>and that offers them privacy and inspires confidence.</w:t>
      </w:r>
      <w:r w:rsidR="00E07D1F" w:rsidRPr="00AC57EA">
        <w:rPr>
          <w:kern w:val="2"/>
          <w:sz w:val="20"/>
          <w:szCs w:val="20"/>
          <w:vertAlign w:val="superscript"/>
          <w:lang w:val="en-US" w:eastAsia="en-US"/>
        </w:rPr>
        <w:footnoteReference w:id="230"/>
      </w:r>
      <w:r w:rsidR="00E07D1F" w:rsidRPr="00AC57EA">
        <w:rPr>
          <w:kern w:val="2"/>
          <w:sz w:val="20"/>
          <w:szCs w:val="20"/>
          <w:lang w:val="en-US" w:eastAsia="en-US"/>
        </w:rPr>
        <w:t xml:space="preserve"> </w:t>
      </w:r>
      <w:r w:rsidR="00966620" w:rsidRPr="00AC57EA">
        <w:rPr>
          <w:kern w:val="2"/>
          <w:sz w:val="20"/>
          <w:szCs w:val="20"/>
          <w:lang w:val="en-US" w:eastAsia="en-US"/>
        </w:rPr>
        <w:t>In addition, it is necessary to ensure that</w:t>
      </w:r>
      <w:r w:rsidR="00E07D1F" w:rsidRPr="00AC57EA">
        <w:rPr>
          <w:kern w:val="2"/>
          <w:sz w:val="20"/>
          <w:szCs w:val="20"/>
          <w:lang w:val="en-US" w:eastAsia="en-US"/>
        </w:rPr>
        <w:t xml:space="preserve"> </w:t>
      </w:r>
      <w:r w:rsidR="001567A9" w:rsidRPr="00AC57EA">
        <w:rPr>
          <w:kern w:val="2"/>
          <w:sz w:val="20"/>
          <w:szCs w:val="20"/>
          <w:lang w:val="en-US" w:eastAsia="en-US"/>
        </w:rPr>
        <w:t>children and adolescents</w:t>
      </w:r>
      <w:r w:rsidR="00E07D1F" w:rsidRPr="00AC57EA">
        <w:rPr>
          <w:kern w:val="2"/>
          <w:sz w:val="20"/>
          <w:szCs w:val="20"/>
          <w:lang w:val="en-US" w:eastAsia="en-US"/>
        </w:rPr>
        <w:t xml:space="preserve"> </w:t>
      </w:r>
      <w:r w:rsidR="00966620" w:rsidRPr="00AC57EA">
        <w:rPr>
          <w:kern w:val="2"/>
          <w:sz w:val="20"/>
          <w:szCs w:val="20"/>
          <w:lang w:val="en-US" w:eastAsia="en-US"/>
        </w:rPr>
        <w:t>are not interviewed more than strictly necessary, based on their best interests, to avoid revictimization or a traumatic impact.</w:t>
      </w:r>
      <w:r w:rsidR="00E07D1F" w:rsidRPr="00AC57EA">
        <w:rPr>
          <w:kern w:val="2"/>
          <w:sz w:val="20"/>
          <w:szCs w:val="20"/>
          <w:vertAlign w:val="superscript"/>
          <w:lang w:val="en-US" w:eastAsia="en-US"/>
        </w:rPr>
        <w:footnoteReference w:id="231"/>
      </w:r>
      <w:r w:rsidR="001F3796" w:rsidRPr="00AC57EA">
        <w:rPr>
          <w:kern w:val="2"/>
          <w:sz w:val="20"/>
          <w:szCs w:val="20"/>
          <w:lang w:val="en-US" w:eastAsia="en-US"/>
        </w:rPr>
        <w:t xml:space="preserve"> </w:t>
      </w:r>
      <w:r w:rsidR="00B7258C" w:rsidRPr="00AC57EA">
        <w:rPr>
          <w:kern w:val="2"/>
          <w:sz w:val="20"/>
          <w:szCs w:val="20"/>
          <w:lang w:val="en-US" w:eastAsia="en-US"/>
        </w:rPr>
        <w:t>The Court</w:t>
      </w:r>
      <w:r w:rsidR="00277031" w:rsidRPr="00AC57EA">
        <w:rPr>
          <w:kern w:val="2"/>
          <w:sz w:val="20"/>
          <w:szCs w:val="20"/>
          <w:lang w:val="en-US" w:eastAsia="en-US"/>
        </w:rPr>
        <w:t xml:space="preserve"> </w:t>
      </w:r>
      <w:r w:rsidR="00966620" w:rsidRPr="00AC57EA">
        <w:rPr>
          <w:kern w:val="2"/>
          <w:sz w:val="20"/>
          <w:szCs w:val="20"/>
          <w:lang w:val="en-US" w:eastAsia="en-US"/>
        </w:rPr>
        <w:t>underscore</w:t>
      </w:r>
      <w:r w:rsidR="00B80A06" w:rsidRPr="00AC57EA">
        <w:rPr>
          <w:kern w:val="2"/>
          <w:sz w:val="20"/>
          <w:szCs w:val="20"/>
          <w:lang w:val="en-US" w:eastAsia="en-US"/>
        </w:rPr>
        <w:t>s</w:t>
      </w:r>
      <w:r w:rsidR="00966620" w:rsidRPr="00AC57EA">
        <w:rPr>
          <w:kern w:val="2"/>
          <w:sz w:val="20"/>
          <w:szCs w:val="20"/>
          <w:lang w:val="en-US" w:eastAsia="en-US"/>
        </w:rPr>
        <w:t xml:space="preserve"> that several countries have adopted, as a best practice, the use of special devices, such as the Gesell Chamber  or closed circuit television</w:t>
      </w:r>
      <w:r w:rsidR="001F3796" w:rsidRPr="00AC57EA">
        <w:rPr>
          <w:kern w:val="2"/>
          <w:sz w:val="20"/>
          <w:szCs w:val="20"/>
          <w:lang w:val="en-US" w:eastAsia="en-US"/>
        </w:rPr>
        <w:t xml:space="preserve"> (CCTV) </w:t>
      </w:r>
      <w:r w:rsidR="00966620" w:rsidRPr="00AC57EA">
        <w:rPr>
          <w:kern w:val="2"/>
          <w:sz w:val="20"/>
          <w:szCs w:val="20"/>
          <w:lang w:val="en-US" w:eastAsia="en-US"/>
        </w:rPr>
        <w:t>that enable the authorities and the parties to follow the statement of the child or adolescent</w:t>
      </w:r>
      <w:r w:rsidR="00770337" w:rsidRPr="00AC57EA">
        <w:rPr>
          <w:kern w:val="2"/>
          <w:sz w:val="20"/>
          <w:szCs w:val="20"/>
          <w:lang w:val="en-US" w:eastAsia="en-US"/>
        </w:rPr>
        <w:t xml:space="preserve"> from another room in order to minimize any revictimizing effects.</w:t>
      </w:r>
      <w:r w:rsidR="00A87654" w:rsidRPr="00AC57EA">
        <w:rPr>
          <w:rStyle w:val="Refdenotaalpie"/>
          <w:kern w:val="2"/>
          <w:sz w:val="20"/>
          <w:szCs w:val="20"/>
          <w:lang w:val="en-US" w:eastAsia="en-US"/>
        </w:rPr>
        <w:footnoteReference w:id="232"/>
      </w:r>
      <w:r w:rsidR="00770337" w:rsidRPr="00AC57EA">
        <w:rPr>
          <w:kern w:val="2"/>
          <w:sz w:val="20"/>
          <w:szCs w:val="20"/>
          <w:lang w:val="en-US" w:eastAsia="en-US"/>
        </w:rPr>
        <w:t xml:space="preserve"> Such best practices to guarantee the rights of child victims during their statements in judicial proceedings have been implemented to</w:t>
      </w:r>
      <w:r w:rsidR="00B80A06" w:rsidRPr="00AC57EA">
        <w:rPr>
          <w:kern w:val="2"/>
          <w:sz w:val="20"/>
          <w:szCs w:val="20"/>
          <w:lang w:val="en-US" w:eastAsia="en-US"/>
        </w:rPr>
        <w:t xml:space="preserve"> </w:t>
      </w:r>
      <w:r w:rsidR="00770337" w:rsidRPr="00AC57EA">
        <w:rPr>
          <w:kern w:val="2"/>
          <w:sz w:val="20"/>
          <w:szCs w:val="20"/>
          <w:lang w:val="en-US" w:eastAsia="en-US"/>
        </w:rPr>
        <w:t xml:space="preserve">different </w:t>
      </w:r>
      <w:r w:rsidR="00B80A06" w:rsidRPr="00AC57EA">
        <w:rPr>
          <w:kern w:val="2"/>
          <w:sz w:val="20"/>
          <w:szCs w:val="20"/>
          <w:lang w:val="en-US" w:eastAsia="en-US"/>
        </w:rPr>
        <w:t>degrees</w:t>
      </w:r>
      <w:r w:rsidR="00770337" w:rsidRPr="00AC57EA">
        <w:rPr>
          <w:kern w:val="2"/>
          <w:sz w:val="20"/>
          <w:szCs w:val="20"/>
          <w:lang w:val="en-US" w:eastAsia="en-US"/>
        </w:rPr>
        <w:t xml:space="preserve"> by States Parties to </w:t>
      </w:r>
      <w:r w:rsidR="00B7258C" w:rsidRPr="00AC57EA">
        <w:rPr>
          <w:sz w:val="20"/>
          <w:szCs w:val="20"/>
          <w:lang w:val="en-US"/>
        </w:rPr>
        <w:t>the American Convention</w:t>
      </w:r>
      <w:r w:rsidR="007B2C96" w:rsidRPr="00AC57EA">
        <w:rPr>
          <w:sz w:val="20"/>
          <w:szCs w:val="20"/>
          <w:lang w:val="en-US"/>
        </w:rPr>
        <w:t xml:space="preserve"> </w:t>
      </w:r>
      <w:r w:rsidR="00770337" w:rsidRPr="00AC57EA">
        <w:rPr>
          <w:sz w:val="20"/>
          <w:szCs w:val="20"/>
          <w:lang w:val="en-US"/>
        </w:rPr>
        <w:t>such as</w:t>
      </w:r>
      <w:r w:rsidR="00CF201E" w:rsidRPr="00AC57EA">
        <w:rPr>
          <w:sz w:val="20"/>
          <w:szCs w:val="20"/>
          <w:lang w:val="en-US"/>
        </w:rPr>
        <w:t xml:space="preserve"> </w:t>
      </w:r>
      <w:r w:rsidR="000146B5" w:rsidRPr="00AC57EA">
        <w:rPr>
          <w:sz w:val="20"/>
          <w:szCs w:val="20"/>
          <w:lang w:val="en-US"/>
        </w:rPr>
        <w:t>Argentina</w:t>
      </w:r>
      <w:r w:rsidR="00770337" w:rsidRPr="00AC57EA">
        <w:rPr>
          <w:sz w:val="20"/>
          <w:szCs w:val="20"/>
          <w:lang w:val="en-US"/>
        </w:rPr>
        <w:t>,</w:t>
      </w:r>
      <w:r w:rsidR="000146B5" w:rsidRPr="00AC57EA">
        <w:rPr>
          <w:rStyle w:val="Refdenotaalpie"/>
          <w:rFonts w:eastAsia="Calibri"/>
          <w:sz w:val="20"/>
          <w:szCs w:val="20"/>
          <w:lang w:val="en-US"/>
        </w:rPr>
        <w:footnoteReference w:id="233"/>
      </w:r>
      <w:r w:rsidR="000146B5" w:rsidRPr="00AC57EA">
        <w:rPr>
          <w:sz w:val="20"/>
          <w:szCs w:val="20"/>
          <w:lang w:val="en-US"/>
        </w:rPr>
        <w:t xml:space="preserve"> Bolivia</w:t>
      </w:r>
      <w:r w:rsidR="00770337" w:rsidRPr="00AC57EA">
        <w:rPr>
          <w:sz w:val="20"/>
          <w:szCs w:val="20"/>
          <w:lang w:val="en-US"/>
        </w:rPr>
        <w:t>,</w:t>
      </w:r>
      <w:r w:rsidR="000146B5" w:rsidRPr="00AC57EA">
        <w:rPr>
          <w:rStyle w:val="Refdenotaalpie"/>
          <w:rFonts w:eastAsia="Calibri"/>
          <w:sz w:val="20"/>
          <w:szCs w:val="20"/>
          <w:lang w:val="en-US"/>
        </w:rPr>
        <w:footnoteReference w:id="234"/>
      </w:r>
      <w:r w:rsidR="000146B5" w:rsidRPr="00AC57EA">
        <w:rPr>
          <w:sz w:val="20"/>
          <w:szCs w:val="20"/>
          <w:lang w:val="en-US"/>
        </w:rPr>
        <w:t xml:space="preserve"> Bra</w:t>
      </w:r>
      <w:r w:rsidR="00770337" w:rsidRPr="00AC57EA">
        <w:rPr>
          <w:sz w:val="20"/>
          <w:szCs w:val="20"/>
          <w:lang w:val="en-US"/>
        </w:rPr>
        <w:t>z</w:t>
      </w:r>
      <w:r w:rsidR="000146B5" w:rsidRPr="00AC57EA">
        <w:rPr>
          <w:sz w:val="20"/>
          <w:szCs w:val="20"/>
          <w:lang w:val="en-US"/>
        </w:rPr>
        <w:t>il</w:t>
      </w:r>
      <w:r w:rsidR="00770337" w:rsidRPr="00AC57EA">
        <w:rPr>
          <w:sz w:val="20"/>
          <w:szCs w:val="20"/>
          <w:lang w:val="en-US"/>
        </w:rPr>
        <w:t>,</w:t>
      </w:r>
      <w:r w:rsidR="000146B5" w:rsidRPr="00AC57EA">
        <w:rPr>
          <w:rStyle w:val="Refdenotaalpie"/>
          <w:rFonts w:eastAsia="Calibri"/>
          <w:sz w:val="20"/>
          <w:szCs w:val="20"/>
          <w:lang w:val="en-US"/>
        </w:rPr>
        <w:footnoteReference w:id="235"/>
      </w:r>
      <w:r w:rsidR="000146B5" w:rsidRPr="00AC57EA">
        <w:rPr>
          <w:sz w:val="20"/>
          <w:szCs w:val="20"/>
          <w:lang w:val="en-US"/>
        </w:rPr>
        <w:t xml:space="preserve"> Chile</w:t>
      </w:r>
      <w:r w:rsidR="00770337" w:rsidRPr="00AC57EA">
        <w:rPr>
          <w:sz w:val="20"/>
          <w:szCs w:val="20"/>
          <w:lang w:val="en-US"/>
        </w:rPr>
        <w:t>,</w:t>
      </w:r>
      <w:r w:rsidR="000146B5" w:rsidRPr="00AC57EA">
        <w:rPr>
          <w:rStyle w:val="Refdenotaalpie"/>
          <w:rFonts w:eastAsia="Calibri"/>
          <w:sz w:val="20"/>
          <w:szCs w:val="20"/>
          <w:lang w:val="en-US"/>
        </w:rPr>
        <w:footnoteReference w:id="236"/>
      </w:r>
      <w:r w:rsidR="000146B5" w:rsidRPr="00AC57EA">
        <w:rPr>
          <w:sz w:val="20"/>
          <w:szCs w:val="20"/>
          <w:lang w:val="en-US"/>
        </w:rPr>
        <w:t xml:space="preserve"> Colombia</w:t>
      </w:r>
      <w:r w:rsidR="00770337" w:rsidRPr="00AC57EA">
        <w:rPr>
          <w:sz w:val="20"/>
          <w:szCs w:val="20"/>
          <w:lang w:val="en-US"/>
        </w:rPr>
        <w:t>,</w:t>
      </w:r>
      <w:r w:rsidR="000146B5" w:rsidRPr="00AC57EA">
        <w:rPr>
          <w:rStyle w:val="Refdenotaalpie"/>
          <w:rFonts w:eastAsia="Calibri"/>
          <w:sz w:val="20"/>
          <w:szCs w:val="20"/>
          <w:lang w:val="en-US"/>
        </w:rPr>
        <w:footnoteReference w:id="237"/>
      </w:r>
      <w:r w:rsidR="000146B5" w:rsidRPr="00AC57EA">
        <w:rPr>
          <w:sz w:val="20"/>
          <w:szCs w:val="20"/>
          <w:lang w:val="en-US"/>
        </w:rPr>
        <w:t xml:space="preserve"> Costa Rica</w:t>
      </w:r>
      <w:r w:rsidR="00770337" w:rsidRPr="00AC57EA">
        <w:rPr>
          <w:sz w:val="20"/>
          <w:szCs w:val="20"/>
          <w:lang w:val="en-US"/>
        </w:rPr>
        <w:t>,</w:t>
      </w:r>
      <w:r w:rsidR="000146B5" w:rsidRPr="00AC57EA">
        <w:rPr>
          <w:rStyle w:val="Refdenotaalpie"/>
          <w:rFonts w:eastAsia="Calibri"/>
          <w:sz w:val="20"/>
          <w:szCs w:val="20"/>
          <w:lang w:val="en-US"/>
        </w:rPr>
        <w:footnoteReference w:id="238"/>
      </w:r>
      <w:r w:rsidR="000146B5" w:rsidRPr="00AC57EA">
        <w:rPr>
          <w:sz w:val="20"/>
          <w:szCs w:val="20"/>
          <w:lang w:val="en-US"/>
        </w:rPr>
        <w:t xml:space="preserve"> Ecuador</w:t>
      </w:r>
      <w:r w:rsidR="00770337" w:rsidRPr="00AC57EA">
        <w:rPr>
          <w:sz w:val="20"/>
          <w:szCs w:val="20"/>
          <w:lang w:val="en-US"/>
        </w:rPr>
        <w:t>,</w:t>
      </w:r>
      <w:r w:rsidR="000146B5" w:rsidRPr="00AC57EA">
        <w:rPr>
          <w:rStyle w:val="Refdenotaalpie"/>
          <w:rFonts w:eastAsia="Calibri"/>
          <w:sz w:val="20"/>
          <w:szCs w:val="20"/>
          <w:lang w:val="en-US"/>
        </w:rPr>
        <w:footnoteReference w:id="239"/>
      </w:r>
      <w:r w:rsidR="000146B5" w:rsidRPr="00AC57EA">
        <w:rPr>
          <w:sz w:val="20"/>
          <w:szCs w:val="20"/>
          <w:lang w:val="en-US"/>
        </w:rPr>
        <w:t xml:space="preserve"> El Salvador</w:t>
      </w:r>
      <w:r w:rsidR="00770337" w:rsidRPr="00AC57EA">
        <w:rPr>
          <w:sz w:val="20"/>
          <w:szCs w:val="20"/>
          <w:lang w:val="en-US"/>
        </w:rPr>
        <w:t>,</w:t>
      </w:r>
      <w:r w:rsidR="000146B5" w:rsidRPr="00AC57EA">
        <w:rPr>
          <w:rStyle w:val="Refdenotaalpie"/>
          <w:rFonts w:eastAsia="Calibri"/>
          <w:sz w:val="20"/>
          <w:szCs w:val="20"/>
          <w:lang w:val="en-US"/>
        </w:rPr>
        <w:footnoteReference w:id="240"/>
      </w:r>
      <w:r w:rsidR="000146B5" w:rsidRPr="00AC57EA">
        <w:rPr>
          <w:sz w:val="20"/>
          <w:szCs w:val="20"/>
          <w:lang w:val="en-US"/>
        </w:rPr>
        <w:t xml:space="preserve"> Guatemala</w:t>
      </w:r>
      <w:r w:rsidR="00770337" w:rsidRPr="00AC57EA">
        <w:rPr>
          <w:sz w:val="20"/>
          <w:szCs w:val="20"/>
          <w:lang w:val="en-US"/>
        </w:rPr>
        <w:t>,</w:t>
      </w:r>
      <w:r w:rsidR="000146B5" w:rsidRPr="00AC57EA">
        <w:rPr>
          <w:rStyle w:val="Refdenotaalpie"/>
          <w:rFonts w:eastAsia="Calibri"/>
          <w:sz w:val="20"/>
          <w:szCs w:val="20"/>
          <w:lang w:val="en-US"/>
        </w:rPr>
        <w:footnoteReference w:id="241"/>
      </w:r>
      <w:r w:rsidR="000146B5" w:rsidRPr="00AC57EA">
        <w:rPr>
          <w:sz w:val="20"/>
          <w:szCs w:val="20"/>
          <w:lang w:val="en-US"/>
        </w:rPr>
        <w:t xml:space="preserve"> Honduras</w:t>
      </w:r>
      <w:r w:rsidR="00770337" w:rsidRPr="00AC57EA">
        <w:rPr>
          <w:sz w:val="20"/>
          <w:szCs w:val="20"/>
          <w:lang w:val="en-US"/>
        </w:rPr>
        <w:t>,</w:t>
      </w:r>
      <w:r w:rsidR="000146B5" w:rsidRPr="00AC57EA">
        <w:rPr>
          <w:rStyle w:val="Refdenotaalpie"/>
          <w:rFonts w:eastAsia="Calibri"/>
          <w:sz w:val="20"/>
          <w:szCs w:val="20"/>
          <w:lang w:val="en-US"/>
        </w:rPr>
        <w:footnoteReference w:id="242"/>
      </w:r>
      <w:r w:rsidR="000146B5" w:rsidRPr="00AC57EA">
        <w:rPr>
          <w:sz w:val="20"/>
          <w:szCs w:val="20"/>
          <w:lang w:val="en-US"/>
        </w:rPr>
        <w:t xml:space="preserve"> </w:t>
      </w:r>
      <w:r w:rsidR="00834D18" w:rsidRPr="00AC57EA">
        <w:rPr>
          <w:sz w:val="20"/>
          <w:szCs w:val="20"/>
          <w:lang w:val="en-US"/>
        </w:rPr>
        <w:t>M</w:t>
      </w:r>
      <w:r w:rsidR="00770337" w:rsidRPr="00AC57EA">
        <w:rPr>
          <w:sz w:val="20"/>
          <w:szCs w:val="20"/>
          <w:lang w:val="en-US"/>
        </w:rPr>
        <w:t>e</w:t>
      </w:r>
      <w:r w:rsidR="00834D18" w:rsidRPr="00AC57EA">
        <w:rPr>
          <w:sz w:val="20"/>
          <w:szCs w:val="20"/>
          <w:lang w:val="en-US"/>
        </w:rPr>
        <w:t>xico</w:t>
      </w:r>
      <w:r w:rsidR="00770337" w:rsidRPr="00AC57EA">
        <w:rPr>
          <w:sz w:val="20"/>
          <w:szCs w:val="20"/>
          <w:lang w:val="en-US"/>
        </w:rPr>
        <w:t>,</w:t>
      </w:r>
      <w:r w:rsidR="00834D18" w:rsidRPr="00AC57EA">
        <w:rPr>
          <w:rStyle w:val="Refdenotaalpie"/>
          <w:rFonts w:eastAsia="Calibri"/>
          <w:sz w:val="20"/>
          <w:szCs w:val="20"/>
          <w:lang w:val="en-US"/>
        </w:rPr>
        <w:footnoteReference w:id="243"/>
      </w:r>
      <w:r w:rsidR="00834D18" w:rsidRPr="00AC57EA">
        <w:rPr>
          <w:sz w:val="20"/>
          <w:szCs w:val="20"/>
          <w:lang w:val="en-US"/>
        </w:rPr>
        <w:t xml:space="preserve"> </w:t>
      </w:r>
      <w:r w:rsidR="000146B5" w:rsidRPr="00AC57EA">
        <w:rPr>
          <w:sz w:val="20"/>
          <w:szCs w:val="20"/>
          <w:lang w:val="en-US"/>
        </w:rPr>
        <w:t>Nicaragua</w:t>
      </w:r>
      <w:r w:rsidR="00770337" w:rsidRPr="00AC57EA">
        <w:rPr>
          <w:sz w:val="20"/>
          <w:szCs w:val="20"/>
          <w:lang w:val="en-US"/>
        </w:rPr>
        <w:t>,</w:t>
      </w:r>
      <w:r w:rsidR="000146B5" w:rsidRPr="00AC57EA">
        <w:rPr>
          <w:rStyle w:val="Refdenotaalpie"/>
          <w:rFonts w:eastAsia="Calibri"/>
          <w:sz w:val="20"/>
          <w:szCs w:val="20"/>
          <w:lang w:val="en-US"/>
        </w:rPr>
        <w:footnoteReference w:id="244"/>
      </w:r>
      <w:r w:rsidR="000146B5" w:rsidRPr="00AC57EA">
        <w:rPr>
          <w:sz w:val="20"/>
          <w:szCs w:val="20"/>
          <w:lang w:val="en-US"/>
        </w:rPr>
        <w:t xml:space="preserve"> Paraguay</w:t>
      </w:r>
      <w:r w:rsidR="00770337" w:rsidRPr="00AC57EA">
        <w:rPr>
          <w:sz w:val="20"/>
          <w:szCs w:val="20"/>
          <w:lang w:val="en-US"/>
        </w:rPr>
        <w:t>,</w:t>
      </w:r>
      <w:r w:rsidR="000146B5" w:rsidRPr="00AC57EA">
        <w:rPr>
          <w:rStyle w:val="Refdenotaalpie"/>
          <w:rFonts w:eastAsia="Calibri"/>
          <w:sz w:val="20"/>
          <w:szCs w:val="20"/>
          <w:lang w:val="en-US"/>
        </w:rPr>
        <w:footnoteReference w:id="245"/>
      </w:r>
      <w:r w:rsidR="000146B5" w:rsidRPr="00AC57EA">
        <w:rPr>
          <w:sz w:val="20"/>
          <w:szCs w:val="20"/>
          <w:lang w:val="en-US"/>
        </w:rPr>
        <w:t xml:space="preserve"> </w:t>
      </w:r>
      <w:r w:rsidR="000146B5" w:rsidRPr="00AC57EA">
        <w:rPr>
          <w:sz w:val="20"/>
          <w:szCs w:val="20"/>
          <w:lang w:val="en-US"/>
        </w:rPr>
        <w:lastRenderedPageBreak/>
        <w:t>Per</w:t>
      </w:r>
      <w:r w:rsidR="00770337" w:rsidRPr="00AC57EA">
        <w:rPr>
          <w:sz w:val="20"/>
          <w:szCs w:val="20"/>
          <w:lang w:val="en-US"/>
        </w:rPr>
        <w:t>u,</w:t>
      </w:r>
      <w:r w:rsidR="000146B5" w:rsidRPr="00AC57EA">
        <w:rPr>
          <w:rStyle w:val="Refdenotaalpie"/>
          <w:rFonts w:eastAsia="Calibri"/>
          <w:sz w:val="20"/>
          <w:szCs w:val="20"/>
          <w:lang w:val="en-US"/>
        </w:rPr>
        <w:footnoteReference w:id="246"/>
      </w:r>
      <w:r w:rsidR="000146B5" w:rsidRPr="00AC57EA">
        <w:rPr>
          <w:sz w:val="20"/>
          <w:szCs w:val="20"/>
          <w:lang w:val="en-US"/>
        </w:rPr>
        <w:t xml:space="preserve"> </w:t>
      </w:r>
      <w:r w:rsidR="00171E27" w:rsidRPr="00AC57EA">
        <w:rPr>
          <w:sz w:val="20"/>
          <w:szCs w:val="20"/>
          <w:lang w:val="en-US"/>
        </w:rPr>
        <w:t>Dominican Republic</w:t>
      </w:r>
      <w:r w:rsidR="000146B5" w:rsidRPr="00AC57EA">
        <w:rPr>
          <w:rStyle w:val="Refdenotaalpie"/>
          <w:rFonts w:eastAsia="Calibri"/>
          <w:sz w:val="20"/>
          <w:szCs w:val="20"/>
          <w:lang w:val="en-US"/>
        </w:rPr>
        <w:footnoteReference w:id="247"/>
      </w:r>
      <w:r w:rsidR="00171E27" w:rsidRPr="00AC57EA">
        <w:rPr>
          <w:sz w:val="20"/>
          <w:szCs w:val="20"/>
          <w:lang w:val="en-US"/>
        </w:rPr>
        <w:t xml:space="preserve"> and </w:t>
      </w:r>
      <w:r w:rsidR="000146B5" w:rsidRPr="00AC57EA">
        <w:rPr>
          <w:sz w:val="20"/>
          <w:szCs w:val="20"/>
          <w:lang w:val="en-US"/>
        </w:rPr>
        <w:t>Uruguay</w:t>
      </w:r>
      <w:r w:rsidR="00770337" w:rsidRPr="00AC57EA">
        <w:rPr>
          <w:sz w:val="20"/>
          <w:szCs w:val="20"/>
          <w:lang w:val="en-US"/>
        </w:rPr>
        <w:t>.</w:t>
      </w:r>
      <w:r w:rsidR="000146B5" w:rsidRPr="00AC57EA">
        <w:rPr>
          <w:rStyle w:val="Refdenotaalpie"/>
          <w:rFonts w:eastAsia="Calibri"/>
          <w:sz w:val="20"/>
          <w:szCs w:val="20"/>
          <w:lang w:val="en-US"/>
        </w:rPr>
        <w:footnoteReference w:id="248"/>
      </w:r>
      <w:r w:rsidR="00770337" w:rsidRPr="00AC57EA">
        <w:rPr>
          <w:sz w:val="20"/>
          <w:szCs w:val="20"/>
          <w:lang w:val="en-US"/>
        </w:rPr>
        <w:t xml:space="preserve"> Furthermore, video recording the statements of child victims is recommended </w:t>
      </w:r>
      <w:r w:rsidR="00B80A06" w:rsidRPr="00AC57EA">
        <w:rPr>
          <w:sz w:val="20"/>
          <w:szCs w:val="20"/>
          <w:lang w:val="en-US"/>
        </w:rPr>
        <w:t>so that they do not have to be repeated</w:t>
      </w:r>
      <w:r w:rsidR="00770337" w:rsidRPr="00AC57EA">
        <w:rPr>
          <w:sz w:val="20"/>
          <w:szCs w:val="20"/>
          <w:lang w:val="en-US"/>
        </w:rPr>
        <w:t>.</w:t>
      </w:r>
      <w:r w:rsidR="00CF201E" w:rsidRPr="00AC57EA">
        <w:rPr>
          <w:sz w:val="20"/>
          <w:szCs w:val="20"/>
          <w:lang w:val="en-US"/>
        </w:rPr>
        <w:t xml:space="preserve"> </w:t>
      </w:r>
      <w:r w:rsidR="00770337" w:rsidRPr="00AC57EA">
        <w:rPr>
          <w:sz w:val="20"/>
          <w:szCs w:val="20"/>
          <w:lang w:val="en-US"/>
        </w:rPr>
        <w:t>These technological tools not only avoid revictimizing the child victim and impairing evidence, but also guarantee the accused’s right of defense.</w:t>
      </w:r>
    </w:p>
    <w:p w14:paraId="17F6E4D4" w14:textId="1AAAF195" w:rsidR="009479CA" w:rsidRPr="00AC57EA" w:rsidRDefault="009479CA" w:rsidP="008C1277">
      <w:pPr>
        <w:widowControl/>
        <w:adjustRightInd/>
        <w:spacing w:line="240" w:lineRule="auto"/>
        <w:jc w:val="left"/>
        <w:textAlignment w:val="auto"/>
        <w:rPr>
          <w:kern w:val="2"/>
          <w:sz w:val="20"/>
          <w:szCs w:val="20"/>
          <w:lang w:val="en-US" w:eastAsia="en-US"/>
        </w:rPr>
      </w:pPr>
    </w:p>
    <w:p w14:paraId="75B55867" w14:textId="35069B4A" w:rsidR="00422D55" w:rsidRPr="00AC57EA" w:rsidRDefault="00511F29" w:rsidP="00511F29">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With regard to the physical examination, the authorities must avoid, insofar as possible, that victims are subjected to more than one physical evaluation, which could be revictimizing.</w:t>
      </w:r>
      <w:r w:rsidRPr="00AC57EA">
        <w:rPr>
          <w:kern w:val="2"/>
          <w:sz w:val="20"/>
          <w:szCs w:val="20"/>
          <w:vertAlign w:val="superscript"/>
          <w:lang w:val="en-US" w:eastAsia="en-US"/>
        </w:rPr>
        <w:footnoteReference w:id="249"/>
      </w:r>
      <w:r w:rsidRPr="00AC57EA">
        <w:rPr>
          <w:kern w:val="2"/>
          <w:sz w:val="20"/>
          <w:szCs w:val="20"/>
          <w:lang w:val="en-US" w:eastAsia="en-US"/>
        </w:rPr>
        <w:t xml:space="preserve"> In these cases, the medical examination must be performed by a professional with extensive knowledge and experience</w:t>
      </w:r>
      <w:r w:rsidRPr="00AC57EA">
        <w:rPr>
          <w:kern w:val="2"/>
          <w:sz w:val="20"/>
          <w:szCs w:val="20"/>
          <w:vertAlign w:val="superscript"/>
          <w:lang w:val="en-US" w:eastAsia="en-US"/>
        </w:rPr>
        <w:footnoteReference w:id="250"/>
      </w:r>
      <w:r w:rsidRPr="00AC57EA">
        <w:rPr>
          <w:kern w:val="2"/>
          <w:sz w:val="20"/>
          <w:szCs w:val="20"/>
          <w:lang w:val="en-US" w:eastAsia="en-US"/>
        </w:rPr>
        <w:t xml:space="preserve"> in cases of sexual violence against</w:t>
      </w:r>
      <w:r w:rsidRPr="00AC57EA">
        <w:rPr>
          <w:b/>
          <w:kern w:val="2"/>
          <w:sz w:val="20"/>
          <w:szCs w:val="20"/>
          <w:lang w:val="en-US" w:eastAsia="en-US"/>
        </w:rPr>
        <w:t xml:space="preserve"> </w:t>
      </w:r>
      <w:r w:rsidR="001567A9" w:rsidRPr="00AC57EA">
        <w:rPr>
          <w:kern w:val="2"/>
          <w:sz w:val="20"/>
          <w:szCs w:val="20"/>
          <w:lang w:val="en-US" w:eastAsia="en-US"/>
        </w:rPr>
        <w:t>children and adolescents</w:t>
      </w:r>
      <w:r w:rsidR="00B5625C" w:rsidRPr="00AC57EA">
        <w:rPr>
          <w:kern w:val="2"/>
          <w:sz w:val="20"/>
          <w:szCs w:val="20"/>
          <w:lang w:val="en-US" w:eastAsia="en-US"/>
        </w:rPr>
        <w:t xml:space="preserve">, </w:t>
      </w:r>
      <w:r w:rsidRPr="00AC57EA">
        <w:rPr>
          <w:kern w:val="2"/>
          <w:sz w:val="20"/>
          <w:szCs w:val="20"/>
          <w:lang w:val="en-US" w:eastAsia="en-US"/>
        </w:rPr>
        <w:t>who will try and minimize or avoid causing them additional trauma or revictimizing them.</w:t>
      </w:r>
      <w:r w:rsidRPr="00AC57EA">
        <w:rPr>
          <w:kern w:val="2"/>
          <w:sz w:val="20"/>
          <w:szCs w:val="20"/>
          <w:vertAlign w:val="superscript"/>
          <w:lang w:val="en-US" w:eastAsia="en-US"/>
        </w:rPr>
        <w:footnoteReference w:id="251"/>
      </w:r>
      <w:r w:rsidRPr="00AC57EA">
        <w:rPr>
          <w:kern w:val="2"/>
          <w:sz w:val="20"/>
          <w:szCs w:val="20"/>
          <w:lang w:val="en-US" w:eastAsia="en-US"/>
        </w:rPr>
        <w:t xml:space="preserve"> It is recommendable that the victim or, if appropriate their legal representative, is able to choose the sex of the </w:t>
      </w:r>
      <w:r w:rsidR="00CD797D" w:rsidRPr="00AC57EA">
        <w:rPr>
          <w:kern w:val="2"/>
          <w:sz w:val="20"/>
          <w:szCs w:val="20"/>
          <w:lang w:val="en-US" w:eastAsia="en-US"/>
        </w:rPr>
        <w:t>examiner</w:t>
      </w:r>
      <w:r w:rsidRPr="00AC57EA">
        <w:rPr>
          <w:kern w:val="2"/>
          <w:sz w:val="20"/>
          <w:szCs w:val="20"/>
          <w:vertAlign w:val="superscript"/>
          <w:lang w:val="en-US" w:eastAsia="en-US"/>
        </w:rPr>
        <w:footnoteReference w:id="252"/>
      </w:r>
      <w:r w:rsidRPr="00AC57EA">
        <w:rPr>
          <w:kern w:val="2"/>
          <w:sz w:val="20"/>
          <w:szCs w:val="20"/>
          <w:lang w:val="en-US" w:eastAsia="en-US"/>
        </w:rPr>
        <w:t xml:space="preserve"> and that the examination is performed by a specialist in pediatric and </w:t>
      </w:r>
      <w:r w:rsidRPr="00AC57EA">
        <w:rPr>
          <w:kern w:val="2"/>
          <w:sz w:val="20"/>
          <w:szCs w:val="20"/>
          <w:lang w:val="en-US" w:eastAsia="en-US"/>
        </w:rPr>
        <w:lastRenderedPageBreak/>
        <w:t>adolescent gynecology with specific training in performing forensic medical examinations in cases of sexual abuse and rape.</w:t>
      </w:r>
      <w:r w:rsidR="00B5625C" w:rsidRPr="00AC57EA">
        <w:rPr>
          <w:kern w:val="2"/>
          <w:sz w:val="20"/>
          <w:szCs w:val="20"/>
          <w:vertAlign w:val="superscript"/>
          <w:lang w:val="en-US" w:eastAsia="en-US"/>
        </w:rPr>
        <w:footnoteReference w:id="253"/>
      </w:r>
      <w:r w:rsidRPr="00AC57EA">
        <w:rPr>
          <w:kern w:val="2"/>
          <w:sz w:val="20"/>
          <w:szCs w:val="20"/>
          <w:lang w:val="en-US" w:eastAsia="en-US"/>
        </w:rPr>
        <w:t xml:space="preserve"> In addition, the </w:t>
      </w:r>
      <w:r w:rsidR="00EB7A83" w:rsidRPr="00AC57EA">
        <w:rPr>
          <w:kern w:val="2"/>
          <w:sz w:val="20"/>
          <w:szCs w:val="20"/>
          <w:lang w:val="en-US" w:eastAsia="en-US"/>
        </w:rPr>
        <w:t xml:space="preserve">medical examination </w:t>
      </w:r>
      <w:r w:rsidRPr="00AC57EA">
        <w:rPr>
          <w:kern w:val="2"/>
          <w:sz w:val="20"/>
          <w:szCs w:val="20"/>
          <w:lang w:val="en-US" w:eastAsia="en-US"/>
        </w:rPr>
        <w:t xml:space="preserve">must only be performed following the informed consent of the victim, or their legal representative, in accordance with their level of maturity, taking into account the right of the child to be heard, in an appropriate place, respecting intimacy and privacy, and permitting the victim to be accompanied by a person of </w:t>
      </w:r>
      <w:r w:rsidR="00534A71" w:rsidRPr="00AC57EA">
        <w:rPr>
          <w:kern w:val="2"/>
          <w:sz w:val="20"/>
          <w:szCs w:val="20"/>
          <w:lang w:val="en-US" w:eastAsia="en-US"/>
        </w:rPr>
        <w:t>thei</w:t>
      </w:r>
      <w:r w:rsidRPr="00AC57EA">
        <w:rPr>
          <w:kern w:val="2"/>
          <w:sz w:val="20"/>
          <w:szCs w:val="20"/>
          <w:lang w:val="en-US" w:eastAsia="en-US"/>
        </w:rPr>
        <w:t>r confidence.</w:t>
      </w:r>
      <w:r w:rsidR="00B5625C" w:rsidRPr="00AC57EA">
        <w:rPr>
          <w:kern w:val="2"/>
          <w:sz w:val="20"/>
          <w:szCs w:val="20"/>
          <w:vertAlign w:val="superscript"/>
          <w:lang w:val="en-US" w:eastAsia="en-US"/>
        </w:rPr>
        <w:footnoteReference w:id="254"/>
      </w:r>
      <w:r w:rsidR="00CD579C" w:rsidRPr="00AC57EA">
        <w:rPr>
          <w:kern w:val="2"/>
          <w:sz w:val="20"/>
          <w:szCs w:val="20"/>
          <w:lang w:val="en-US" w:eastAsia="en-US"/>
        </w:rPr>
        <w:t xml:space="preserve"> </w:t>
      </w:r>
      <w:r w:rsidR="001D22C8" w:rsidRPr="00AC57EA">
        <w:rPr>
          <w:kern w:val="2"/>
          <w:sz w:val="20"/>
          <w:szCs w:val="20"/>
          <w:lang w:val="en-US" w:eastAsia="en-US"/>
        </w:rPr>
        <w:t>The necessity of a gynecological examination should be considered based on a case-by-case analysis</w:t>
      </w:r>
      <w:r w:rsidR="00CD579C" w:rsidRPr="00AC57EA">
        <w:rPr>
          <w:kern w:val="2"/>
          <w:sz w:val="20"/>
          <w:szCs w:val="20"/>
          <w:lang w:val="en-US" w:eastAsia="en-US"/>
        </w:rPr>
        <w:t>, t</w:t>
      </w:r>
      <w:r w:rsidR="001D22C8" w:rsidRPr="00AC57EA">
        <w:rPr>
          <w:kern w:val="2"/>
          <w:sz w:val="20"/>
          <w:szCs w:val="20"/>
          <w:lang w:val="en-US" w:eastAsia="en-US"/>
        </w:rPr>
        <w:t>aking into account the time that has passed since the moment at which it is alleged the sexual violence occurred. Consequently, the Court considers that the request for a gynecological examination should be justified in detail and, if it is not required or</w:t>
      </w:r>
      <w:r w:rsidR="005B71A5" w:rsidRPr="00AC57EA">
        <w:rPr>
          <w:kern w:val="2"/>
          <w:sz w:val="20"/>
          <w:szCs w:val="20"/>
          <w:lang w:val="en-US" w:eastAsia="en-US"/>
        </w:rPr>
        <w:t xml:space="preserve"> </w:t>
      </w:r>
      <w:r w:rsidR="001D22C8" w:rsidRPr="00AC57EA">
        <w:rPr>
          <w:kern w:val="2"/>
          <w:sz w:val="20"/>
          <w:szCs w:val="20"/>
          <w:lang w:val="en-US" w:eastAsia="en-US"/>
        </w:rPr>
        <w:t>it is not po</w:t>
      </w:r>
      <w:r w:rsidR="00A16632" w:rsidRPr="00AC57EA">
        <w:rPr>
          <w:kern w:val="2"/>
          <w:sz w:val="20"/>
          <w:szCs w:val="20"/>
          <w:lang w:val="en-US" w:eastAsia="en-US"/>
        </w:rPr>
        <w:t>s</w:t>
      </w:r>
      <w:r w:rsidR="001D22C8" w:rsidRPr="00AC57EA">
        <w:rPr>
          <w:kern w:val="2"/>
          <w:sz w:val="20"/>
          <w:szCs w:val="20"/>
          <w:lang w:val="en-US" w:eastAsia="en-US"/>
        </w:rPr>
        <w:t>sible to obtain the informed consent of the victim, the examination should be omitted, but this can never serve as an excuse to discredit and/or prevent an investigation.</w:t>
      </w:r>
      <w:r w:rsidR="00CD579C" w:rsidRPr="00AC57EA">
        <w:rPr>
          <w:rStyle w:val="Refdenotaalpie"/>
          <w:kern w:val="2"/>
          <w:sz w:val="20"/>
          <w:szCs w:val="20"/>
          <w:lang w:val="en-US" w:eastAsia="en-US"/>
        </w:rPr>
        <w:footnoteReference w:id="255"/>
      </w:r>
    </w:p>
    <w:p w14:paraId="490D5AE2" w14:textId="77777777" w:rsidR="00422D55" w:rsidRPr="00AC57EA" w:rsidRDefault="00422D55" w:rsidP="00422D55">
      <w:pPr>
        <w:widowControl/>
        <w:tabs>
          <w:tab w:val="left" w:pos="567"/>
        </w:tabs>
        <w:adjustRightInd/>
        <w:spacing w:line="240" w:lineRule="auto"/>
        <w:textAlignment w:val="auto"/>
        <w:rPr>
          <w:b/>
          <w:kern w:val="2"/>
          <w:sz w:val="20"/>
          <w:szCs w:val="20"/>
          <w:lang w:val="en-US" w:eastAsia="en-US"/>
        </w:rPr>
      </w:pPr>
    </w:p>
    <w:p w14:paraId="2421E6A0" w14:textId="665B7C1C" w:rsidR="00A16632" w:rsidRPr="00AC57EA" w:rsidRDefault="001D22C8" w:rsidP="00A16632">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That said</w:t>
      </w:r>
      <w:r w:rsidR="00B5625C" w:rsidRPr="00AC57EA">
        <w:rPr>
          <w:kern w:val="2"/>
          <w:sz w:val="20"/>
          <w:szCs w:val="20"/>
          <w:lang w:val="en-US" w:eastAsia="en-US"/>
        </w:rPr>
        <w:t xml:space="preserve">, </w:t>
      </w:r>
      <w:r w:rsidR="00B7258C" w:rsidRPr="00AC57EA">
        <w:rPr>
          <w:kern w:val="2"/>
          <w:sz w:val="20"/>
          <w:szCs w:val="20"/>
          <w:lang w:val="en-US" w:eastAsia="en-US"/>
        </w:rPr>
        <w:t>the Court</w:t>
      </w:r>
      <w:r w:rsidR="00B5625C" w:rsidRPr="00AC57EA">
        <w:rPr>
          <w:kern w:val="2"/>
          <w:sz w:val="20"/>
          <w:szCs w:val="20"/>
          <w:lang w:val="en-US" w:eastAsia="en-US"/>
        </w:rPr>
        <w:t xml:space="preserve"> consider</w:t>
      </w:r>
      <w:r w:rsidR="00A16632" w:rsidRPr="00AC57EA">
        <w:rPr>
          <w:kern w:val="2"/>
          <w:sz w:val="20"/>
          <w:szCs w:val="20"/>
          <w:lang w:val="en-US" w:eastAsia="en-US"/>
        </w:rPr>
        <w:t xml:space="preserve">s that the State’s due diligence does not only encompass the </w:t>
      </w:r>
      <w:r w:rsidR="00534A71" w:rsidRPr="00AC57EA">
        <w:rPr>
          <w:kern w:val="2"/>
          <w:sz w:val="20"/>
          <w:szCs w:val="20"/>
          <w:lang w:val="en-US" w:eastAsia="en-US"/>
        </w:rPr>
        <w:t>enhanced</w:t>
      </w:r>
      <w:r w:rsidR="00A16632" w:rsidRPr="00AC57EA">
        <w:rPr>
          <w:kern w:val="2"/>
          <w:sz w:val="20"/>
          <w:szCs w:val="20"/>
          <w:lang w:val="en-US" w:eastAsia="en-US"/>
        </w:rPr>
        <w:t xml:space="preserve"> measures of protection before and during the investigations and the criminal proceedings, but should also cover the measures to be adopted subsequently in order to achieve the recovery, rehabilitation and social reintegration of the child or adolescent,</w:t>
      </w:r>
      <w:r w:rsidR="00B5625C" w:rsidRPr="00AC57EA">
        <w:rPr>
          <w:kern w:val="2"/>
          <w:sz w:val="20"/>
          <w:szCs w:val="20"/>
          <w:vertAlign w:val="superscript"/>
          <w:lang w:val="en-US" w:eastAsia="en-US"/>
        </w:rPr>
        <w:footnoteReference w:id="256"/>
      </w:r>
      <w:r w:rsidR="00A16632" w:rsidRPr="00AC57EA">
        <w:rPr>
          <w:kern w:val="2"/>
          <w:sz w:val="20"/>
          <w:szCs w:val="20"/>
          <w:lang w:val="en-US" w:eastAsia="en-US"/>
        </w:rPr>
        <w:t xml:space="preserve"> taking into account their right to survival and integral development.</w:t>
      </w:r>
      <w:r w:rsidR="00AB0ECA" w:rsidRPr="00AC57EA">
        <w:rPr>
          <w:rFonts w:eastAsia="Batang"/>
          <w:kern w:val="2"/>
          <w:sz w:val="20"/>
          <w:szCs w:val="20"/>
          <w:vertAlign w:val="superscript"/>
          <w:lang w:val="en-US"/>
        </w:rPr>
        <w:footnoteReference w:id="257"/>
      </w:r>
      <w:r w:rsidR="00FA044E" w:rsidRPr="00AC57EA">
        <w:rPr>
          <w:kern w:val="2"/>
          <w:sz w:val="20"/>
          <w:szCs w:val="20"/>
          <w:lang w:val="en-US" w:eastAsia="en-US"/>
        </w:rPr>
        <w:t xml:space="preserve"> </w:t>
      </w:r>
      <w:r w:rsidR="00A16632" w:rsidRPr="00AC57EA">
        <w:rPr>
          <w:kern w:val="2"/>
          <w:sz w:val="20"/>
          <w:szCs w:val="20"/>
          <w:lang w:val="en-US" w:eastAsia="en-US"/>
        </w:rPr>
        <w:t>Those measures must also be extended to the family of the victims, as appropriate. In other words, medical and psychosocial care must be provided immediately as soon as the facts are known and must be continued, if required, after the investigation process.</w:t>
      </w:r>
    </w:p>
    <w:p w14:paraId="46BCDA2C" w14:textId="77777777" w:rsidR="00B5625C" w:rsidRPr="00AC57EA" w:rsidRDefault="00B5625C" w:rsidP="00B5625C">
      <w:pPr>
        <w:widowControl/>
        <w:adjustRightInd/>
        <w:spacing w:line="240" w:lineRule="auto"/>
        <w:jc w:val="left"/>
        <w:textAlignment w:val="auto"/>
        <w:rPr>
          <w:b/>
          <w:kern w:val="2"/>
          <w:sz w:val="20"/>
          <w:szCs w:val="20"/>
          <w:lang w:val="en-US" w:eastAsia="en-US"/>
        </w:rPr>
      </w:pPr>
    </w:p>
    <w:p w14:paraId="047460EF" w14:textId="7F39192C" w:rsidR="00F92CDF" w:rsidRPr="00AC57EA" w:rsidRDefault="00A16632" w:rsidP="00F92CDF">
      <w:pPr>
        <w:widowControl/>
        <w:numPr>
          <w:ilvl w:val="0"/>
          <w:numId w:val="2"/>
        </w:numPr>
        <w:tabs>
          <w:tab w:val="left" w:pos="567"/>
          <w:tab w:val="num" w:pos="12305"/>
        </w:tabs>
        <w:adjustRightInd/>
        <w:spacing w:line="240" w:lineRule="auto"/>
        <w:ind w:left="0" w:firstLine="0"/>
        <w:textAlignment w:val="auto"/>
        <w:rPr>
          <w:b/>
          <w:kern w:val="2"/>
          <w:sz w:val="20"/>
          <w:szCs w:val="20"/>
          <w:lang w:val="en-US" w:eastAsia="en-US"/>
        </w:rPr>
      </w:pPr>
      <w:r w:rsidRPr="00AC57EA">
        <w:rPr>
          <w:kern w:val="2"/>
          <w:sz w:val="20"/>
          <w:szCs w:val="20"/>
          <w:lang w:val="en-US" w:eastAsia="en-US"/>
        </w:rPr>
        <w:t xml:space="preserve">Bearing in mind the standards described above, and based on </w:t>
      </w:r>
      <w:r w:rsidR="00534A71" w:rsidRPr="00AC57EA">
        <w:rPr>
          <w:kern w:val="2"/>
          <w:sz w:val="20"/>
          <w:szCs w:val="20"/>
          <w:lang w:val="en-US" w:eastAsia="en-US"/>
        </w:rPr>
        <w:t xml:space="preserve">the </w:t>
      </w:r>
      <w:r w:rsidRPr="00AC57EA">
        <w:rPr>
          <w:kern w:val="2"/>
          <w:sz w:val="20"/>
          <w:szCs w:val="20"/>
          <w:lang w:val="en-US" w:eastAsia="en-US"/>
        </w:rPr>
        <w:t xml:space="preserve">pertinent articles </w:t>
      </w:r>
      <w:r w:rsidR="00B7258C" w:rsidRPr="00AC57EA">
        <w:rPr>
          <w:kern w:val="2"/>
          <w:sz w:val="20"/>
          <w:szCs w:val="20"/>
          <w:lang w:val="en-US" w:eastAsia="en-US"/>
        </w:rPr>
        <w:t>of the American Convention</w:t>
      </w:r>
      <w:r w:rsidR="00171E27" w:rsidRPr="00AC57EA">
        <w:rPr>
          <w:kern w:val="2"/>
          <w:sz w:val="20"/>
          <w:szCs w:val="20"/>
          <w:lang w:val="en-US" w:eastAsia="en-US"/>
        </w:rPr>
        <w:t xml:space="preserve"> and</w:t>
      </w:r>
      <w:r w:rsidR="00B7258C" w:rsidRPr="00AC57EA">
        <w:rPr>
          <w:kern w:val="2"/>
          <w:sz w:val="20"/>
          <w:szCs w:val="20"/>
          <w:lang w:val="en-US" w:eastAsia="en-US"/>
        </w:rPr>
        <w:t xml:space="preserve"> the </w:t>
      </w:r>
      <w:r w:rsidR="00171E27" w:rsidRPr="00AC57EA">
        <w:rPr>
          <w:kern w:val="2"/>
          <w:sz w:val="20"/>
          <w:szCs w:val="20"/>
          <w:lang w:val="en-US" w:eastAsia="en-US"/>
        </w:rPr>
        <w:t>Convention of Belém</w:t>
      </w:r>
      <w:r w:rsidR="00B5625C" w:rsidRPr="00AC57EA">
        <w:rPr>
          <w:kern w:val="2"/>
          <w:sz w:val="20"/>
          <w:szCs w:val="20"/>
          <w:lang w:val="en-US" w:eastAsia="en-US"/>
        </w:rPr>
        <w:t xml:space="preserve"> do Pará</w:t>
      </w:r>
      <w:r w:rsidR="00171E27" w:rsidRPr="00AC57EA">
        <w:rPr>
          <w:kern w:val="2"/>
          <w:sz w:val="20"/>
          <w:szCs w:val="20"/>
          <w:lang w:val="en-US" w:eastAsia="en-US"/>
        </w:rPr>
        <w:t xml:space="preserve"> and </w:t>
      </w:r>
      <w:r w:rsidRPr="00AC57EA">
        <w:rPr>
          <w:kern w:val="2"/>
          <w:sz w:val="20"/>
          <w:szCs w:val="20"/>
          <w:lang w:val="en-US" w:eastAsia="en-US"/>
        </w:rPr>
        <w:t xml:space="preserve">in light of the international </w:t>
      </w:r>
      <w:r w:rsidR="00B5625C" w:rsidRPr="00AC57EA">
        <w:rPr>
          <w:i/>
          <w:iCs/>
          <w:sz w:val="20"/>
          <w:szCs w:val="20"/>
          <w:lang w:val="en-US" w:eastAsia="en-US"/>
        </w:rPr>
        <w:t xml:space="preserve">corpus juris </w:t>
      </w:r>
      <w:r w:rsidRPr="00AC57EA">
        <w:rPr>
          <w:sz w:val="20"/>
          <w:szCs w:val="20"/>
          <w:lang w:val="en-US" w:eastAsia="en-US"/>
        </w:rPr>
        <w:t xml:space="preserve">for the protection of </w:t>
      </w:r>
      <w:r w:rsidR="001567A9" w:rsidRPr="00AC57EA">
        <w:rPr>
          <w:sz w:val="20"/>
          <w:szCs w:val="20"/>
          <w:lang w:val="en-US" w:eastAsia="en-US"/>
        </w:rPr>
        <w:t>children and adolescents</w:t>
      </w:r>
      <w:r w:rsidR="00B5625C" w:rsidRPr="00AC57EA">
        <w:rPr>
          <w:sz w:val="20"/>
          <w:szCs w:val="20"/>
          <w:lang w:val="en-US" w:eastAsia="en-US"/>
        </w:rPr>
        <w:t xml:space="preserve">, </w:t>
      </w:r>
      <w:r w:rsidR="00B7258C" w:rsidRPr="00AC57EA">
        <w:rPr>
          <w:sz w:val="20"/>
          <w:szCs w:val="20"/>
          <w:lang w:val="en-US" w:eastAsia="en-US"/>
        </w:rPr>
        <w:t>the Court</w:t>
      </w:r>
      <w:r w:rsidR="00B5625C" w:rsidRPr="00AC57EA">
        <w:rPr>
          <w:sz w:val="20"/>
          <w:szCs w:val="20"/>
          <w:lang w:val="en-US" w:eastAsia="en-US"/>
        </w:rPr>
        <w:t xml:space="preserve"> </w:t>
      </w:r>
      <w:r w:rsidRPr="00AC57EA">
        <w:rPr>
          <w:sz w:val="20"/>
          <w:szCs w:val="20"/>
          <w:lang w:val="en-US" w:eastAsia="en-US"/>
        </w:rPr>
        <w:t xml:space="preserve">will now examine whether, during the investigations and criminal proceedings for the rape of V.R.P., the State violated its obligation of </w:t>
      </w:r>
      <w:r w:rsidR="00994884" w:rsidRPr="00AC57EA">
        <w:rPr>
          <w:sz w:val="20"/>
          <w:szCs w:val="20"/>
          <w:lang w:val="en-US" w:eastAsia="en-US"/>
        </w:rPr>
        <w:t>enhanced due diligence</w:t>
      </w:r>
      <w:r w:rsidRPr="00AC57EA">
        <w:rPr>
          <w:sz w:val="20"/>
          <w:szCs w:val="20"/>
          <w:lang w:val="en-US" w:eastAsia="en-US"/>
        </w:rPr>
        <w:t xml:space="preserve">, special protection and non-revictimization, as well as the rights </w:t>
      </w:r>
      <w:r w:rsidRPr="00AC57EA">
        <w:rPr>
          <w:kern w:val="2"/>
          <w:sz w:val="20"/>
          <w:szCs w:val="20"/>
          <w:lang w:val="en-US" w:eastAsia="en-US"/>
        </w:rPr>
        <w:t xml:space="preserve">to personal integrity, </w:t>
      </w:r>
      <w:r w:rsidR="00F92CDF" w:rsidRPr="00AC57EA">
        <w:rPr>
          <w:kern w:val="2"/>
          <w:sz w:val="20"/>
          <w:szCs w:val="20"/>
          <w:lang w:val="en-US" w:eastAsia="en-US"/>
        </w:rPr>
        <w:t>and</w:t>
      </w:r>
      <w:r w:rsidRPr="00AC57EA">
        <w:rPr>
          <w:kern w:val="2"/>
          <w:sz w:val="20"/>
          <w:szCs w:val="20"/>
          <w:lang w:val="en-US" w:eastAsia="en-US"/>
        </w:rPr>
        <w:t xml:space="preserve"> private and family life</w:t>
      </w:r>
      <w:r w:rsidR="00F92CDF" w:rsidRPr="00AC57EA">
        <w:rPr>
          <w:kern w:val="2"/>
          <w:sz w:val="20"/>
          <w:szCs w:val="20"/>
          <w:lang w:val="en-US" w:eastAsia="en-US"/>
        </w:rPr>
        <w:t xml:space="preserve"> of </w:t>
      </w:r>
      <w:r w:rsidR="00B5625C" w:rsidRPr="00AC57EA">
        <w:rPr>
          <w:kern w:val="2"/>
          <w:sz w:val="20"/>
          <w:szCs w:val="20"/>
          <w:lang w:val="en-US" w:eastAsia="en-US"/>
        </w:rPr>
        <w:t xml:space="preserve">V.R.P. </w:t>
      </w:r>
      <w:r w:rsidR="00F92CDF" w:rsidRPr="00AC57EA">
        <w:rPr>
          <w:kern w:val="2"/>
          <w:sz w:val="20"/>
          <w:szCs w:val="20"/>
          <w:lang w:val="en-US" w:eastAsia="en-US"/>
        </w:rPr>
        <w:t>To this end, it will examine whether the investigation procedures and the judicial proceedings were adapted to the relevant standards that have been described or whether, to the contrary, they subjected the victim to revictimization, In this regard, the Court considers it important to stress that, in cases of sexual violence, it has emphasized that the investigation must try insofar as possible to avoid revictimization or that the victim has to relive the profoundly traumatic experience.</w:t>
      </w:r>
      <w:r w:rsidR="00B5625C" w:rsidRPr="00AC57EA">
        <w:rPr>
          <w:kern w:val="2"/>
          <w:sz w:val="20"/>
          <w:szCs w:val="20"/>
          <w:vertAlign w:val="superscript"/>
          <w:lang w:val="en-US" w:eastAsia="en-US"/>
        </w:rPr>
        <w:footnoteReference w:id="258"/>
      </w:r>
      <w:r w:rsidR="00F92CDF" w:rsidRPr="00AC57EA">
        <w:rPr>
          <w:kern w:val="2"/>
          <w:sz w:val="20"/>
          <w:szCs w:val="20"/>
          <w:lang w:val="en-US" w:eastAsia="en-US"/>
        </w:rPr>
        <w:t xml:space="preserve"> This acquires special relevance in the case of </w:t>
      </w:r>
      <w:r w:rsidR="003C0AC1" w:rsidRPr="00AC57EA">
        <w:rPr>
          <w:kern w:val="2"/>
          <w:sz w:val="20"/>
          <w:szCs w:val="20"/>
          <w:lang w:val="en-US" w:eastAsia="en-US"/>
        </w:rPr>
        <w:t>female child</w:t>
      </w:r>
      <w:r w:rsidR="00F92CDF" w:rsidRPr="00AC57EA">
        <w:rPr>
          <w:kern w:val="2"/>
          <w:sz w:val="20"/>
          <w:szCs w:val="20"/>
          <w:lang w:val="en-US" w:eastAsia="en-US"/>
        </w:rPr>
        <w:t xml:space="preserve">ren owing to the State’s </w:t>
      </w:r>
      <w:r w:rsidR="00534A71" w:rsidRPr="00AC57EA">
        <w:rPr>
          <w:kern w:val="2"/>
          <w:sz w:val="20"/>
          <w:szCs w:val="20"/>
          <w:lang w:val="en-US" w:eastAsia="en-US"/>
        </w:rPr>
        <w:t>enhanced</w:t>
      </w:r>
      <w:r w:rsidR="00F92CDF" w:rsidRPr="00AC57EA">
        <w:rPr>
          <w:kern w:val="2"/>
          <w:sz w:val="20"/>
          <w:szCs w:val="20"/>
          <w:lang w:val="en-US" w:eastAsia="en-US"/>
        </w:rPr>
        <w:t xml:space="preserve"> </w:t>
      </w:r>
      <w:r w:rsidR="00534A71" w:rsidRPr="00AC57EA">
        <w:rPr>
          <w:kern w:val="2"/>
          <w:sz w:val="20"/>
          <w:szCs w:val="20"/>
          <w:lang w:val="en-US" w:eastAsia="en-US"/>
        </w:rPr>
        <w:t>obligation</w:t>
      </w:r>
      <w:r w:rsidR="00F92CDF" w:rsidRPr="00AC57EA">
        <w:rPr>
          <w:kern w:val="2"/>
          <w:sz w:val="20"/>
          <w:szCs w:val="20"/>
          <w:lang w:val="en-US" w:eastAsia="en-US"/>
        </w:rPr>
        <w:t xml:space="preserve"> of due diligence and their </w:t>
      </w:r>
      <w:r w:rsidR="00534A71" w:rsidRPr="00AC57EA">
        <w:rPr>
          <w:kern w:val="2"/>
          <w:sz w:val="20"/>
          <w:szCs w:val="20"/>
          <w:lang w:val="en-US" w:eastAsia="en-US"/>
        </w:rPr>
        <w:t xml:space="preserve">greater </w:t>
      </w:r>
      <w:r w:rsidR="00F92CDF" w:rsidRPr="00AC57EA">
        <w:rPr>
          <w:kern w:val="2"/>
          <w:sz w:val="20"/>
          <w:szCs w:val="20"/>
          <w:lang w:val="en-US" w:eastAsia="en-US"/>
        </w:rPr>
        <w:t xml:space="preserve">situation of vulnerability having been victims of sexual violence. In this regard, the Court will focus on the following procedures and proceedings: (i) the forensic medical examination to which V.R.P was subjected; (ii) V.R.P.’s statement; (iii) the participation of V.R.P. in the visual </w:t>
      </w:r>
      <w:r w:rsidR="009E1B73" w:rsidRPr="00AC57EA">
        <w:rPr>
          <w:kern w:val="2"/>
          <w:sz w:val="20"/>
          <w:szCs w:val="20"/>
          <w:lang w:val="en-US" w:eastAsia="en-US"/>
        </w:rPr>
        <w:t>inspection and reconstruction</w:t>
      </w:r>
      <w:r w:rsidR="00F92CDF" w:rsidRPr="00AC57EA">
        <w:rPr>
          <w:kern w:val="2"/>
          <w:sz w:val="20"/>
          <w:szCs w:val="20"/>
          <w:lang w:val="en-US" w:eastAsia="en-US"/>
        </w:rPr>
        <w:t xml:space="preserve"> of the events, and (iv) the lack of support and comprehensive care for V.R.P.</w:t>
      </w:r>
    </w:p>
    <w:p w14:paraId="70D42BFA" w14:textId="77777777" w:rsidR="00B5625C" w:rsidRPr="00AC57EA" w:rsidRDefault="00B5625C" w:rsidP="00B5625C">
      <w:pPr>
        <w:widowControl/>
        <w:adjustRightInd/>
        <w:spacing w:line="240" w:lineRule="auto"/>
        <w:jc w:val="left"/>
        <w:textAlignment w:val="auto"/>
        <w:rPr>
          <w:b/>
          <w:kern w:val="2"/>
          <w:sz w:val="20"/>
          <w:szCs w:val="20"/>
          <w:lang w:val="en-US" w:eastAsia="en-US"/>
        </w:rPr>
      </w:pPr>
    </w:p>
    <w:p w14:paraId="16A8107B" w14:textId="2962B08E" w:rsidR="00B5625C" w:rsidRPr="00AC57EA" w:rsidRDefault="00A92F94" w:rsidP="00A92F94">
      <w:pPr>
        <w:pStyle w:val="Ttulo3"/>
        <w:rPr>
          <w:b w:val="0"/>
          <w:i/>
          <w:lang w:val="en-US"/>
        </w:rPr>
      </w:pPr>
      <w:bookmarkStart w:id="120" w:name="_Toc514172632"/>
      <w:r w:rsidRPr="00AC57EA">
        <w:rPr>
          <w:b w:val="0"/>
          <w:i/>
          <w:lang w:val="en-US"/>
        </w:rPr>
        <w:t>A</w:t>
      </w:r>
      <w:r w:rsidR="00F977EC" w:rsidRPr="00AC57EA">
        <w:rPr>
          <w:b w:val="0"/>
          <w:i/>
          <w:lang w:val="en-US"/>
        </w:rPr>
        <w:t>.2.b</w:t>
      </w:r>
      <w:r w:rsidR="00B5625C" w:rsidRPr="00AC57EA">
        <w:rPr>
          <w:b w:val="0"/>
          <w:i/>
          <w:lang w:val="en-US"/>
        </w:rPr>
        <w:t xml:space="preserve"> </w:t>
      </w:r>
      <w:r w:rsidR="00F55296" w:rsidRPr="00AC57EA">
        <w:rPr>
          <w:b w:val="0"/>
          <w:i/>
          <w:lang w:val="en-US"/>
        </w:rPr>
        <w:tab/>
      </w:r>
      <w:r w:rsidR="00F92CDF" w:rsidRPr="00AC57EA">
        <w:rPr>
          <w:b w:val="0"/>
          <w:i/>
          <w:lang w:val="en-US"/>
        </w:rPr>
        <w:t>The forensic medical examination to which V.R.P. was subjected</w:t>
      </w:r>
      <w:bookmarkEnd w:id="120"/>
    </w:p>
    <w:p w14:paraId="488CFF7F" w14:textId="77777777" w:rsidR="00B5625C" w:rsidRPr="00AC57EA" w:rsidRDefault="00B5625C" w:rsidP="00B5625C">
      <w:pPr>
        <w:widowControl/>
        <w:adjustRightInd/>
        <w:spacing w:line="240" w:lineRule="auto"/>
        <w:jc w:val="left"/>
        <w:textAlignment w:val="auto"/>
        <w:rPr>
          <w:i/>
          <w:kern w:val="2"/>
          <w:sz w:val="20"/>
          <w:szCs w:val="20"/>
          <w:lang w:val="en-US" w:eastAsia="en-US"/>
        </w:rPr>
      </w:pPr>
    </w:p>
    <w:p w14:paraId="6432898B" w14:textId="6EC35733" w:rsidR="00B5625C" w:rsidRPr="00AC57EA" w:rsidRDefault="00B7258C" w:rsidP="00CD797D">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sz w:val="20"/>
          <w:szCs w:val="20"/>
          <w:lang w:val="en-US"/>
        </w:rPr>
        <w:t>The Court</w:t>
      </w:r>
      <w:r w:rsidR="00A51640" w:rsidRPr="00AC57EA">
        <w:rPr>
          <w:sz w:val="20"/>
          <w:szCs w:val="20"/>
          <w:lang w:val="en-US"/>
        </w:rPr>
        <w:t xml:space="preserve"> </w:t>
      </w:r>
      <w:r w:rsidR="00CD797D" w:rsidRPr="00AC57EA">
        <w:rPr>
          <w:sz w:val="20"/>
          <w:szCs w:val="20"/>
          <w:lang w:val="en-US"/>
        </w:rPr>
        <w:t xml:space="preserve">underscores that this case refers to the rape of an eight-year-old </w:t>
      </w:r>
      <w:r w:rsidR="00534A71" w:rsidRPr="00AC57EA">
        <w:rPr>
          <w:sz w:val="20"/>
          <w:szCs w:val="20"/>
          <w:lang w:val="en-US"/>
        </w:rPr>
        <w:t>child</w:t>
      </w:r>
      <w:r w:rsidR="00CD797D" w:rsidRPr="00AC57EA">
        <w:rPr>
          <w:sz w:val="20"/>
          <w:szCs w:val="20"/>
          <w:lang w:val="en-US"/>
        </w:rPr>
        <w:t xml:space="preserve"> by her father, who was in a situation of </w:t>
      </w:r>
      <w:r w:rsidR="00534A71" w:rsidRPr="00AC57EA">
        <w:rPr>
          <w:sz w:val="20"/>
          <w:szCs w:val="20"/>
          <w:lang w:val="en-US"/>
        </w:rPr>
        <w:t>power</w:t>
      </w:r>
      <w:r w:rsidR="00CD797D" w:rsidRPr="00AC57EA">
        <w:rPr>
          <w:sz w:val="20"/>
          <w:szCs w:val="20"/>
          <w:lang w:val="en-US"/>
        </w:rPr>
        <w:t xml:space="preserve"> over her, not only because he constituted a figure of authority to her but, above all, because of the trust that a child places in the person who is supposed to protect her. The Court notes that the criminal complaint filed by V.P.C. was the result of the </w:t>
      </w:r>
      <w:r w:rsidR="001326A6" w:rsidRPr="00AC57EA">
        <w:rPr>
          <w:sz w:val="20"/>
          <w:szCs w:val="20"/>
          <w:lang w:val="en-US"/>
        </w:rPr>
        <w:t xml:space="preserve">child’s </w:t>
      </w:r>
      <w:r w:rsidR="00CD797D" w:rsidRPr="00AC57EA">
        <w:rPr>
          <w:sz w:val="20"/>
          <w:szCs w:val="20"/>
          <w:lang w:val="en-US"/>
        </w:rPr>
        <w:t>physical symptoms</w:t>
      </w:r>
      <w:r w:rsidR="001326A6" w:rsidRPr="00AC57EA">
        <w:rPr>
          <w:sz w:val="20"/>
          <w:szCs w:val="20"/>
          <w:lang w:val="en-US"/>
        </w:rPr>
        <w:t xml:space="preserve"> and, as she had problems to defecate and pain in the anal area, she was taken two see two doctors. They both concluded that their medical findings corresponded to the fact that V.R.P. had been a victim of sexual abuse and had suffered anal penetration</w:t>
      </w:r>
      <w:r w:rsidR="006C4F66" w:rsidRPr="00AC57EA">
        <w:rPr>
          <w:kern w:val="2"/>
          <w:sz w:val="20"/>
          <w:szCs w:val="20"/>
          <w:lang w:val="en-US" w:eastAsia="en-US"/>
        </w:rPr>
        <w:t xml:space="preserve"> (</w:t>
      </w:r>
      <w:r w:rsidR="006C4F66" w:rsidRPr="00AC57EA">
        <w:rPr>
          <w:i/>
          <w:kern w:val="2"/>
          <w:sz w:val="20"/>
          <w:szCs w:val="20"/>
          <w:lang w:val="en-US" w:eastAsia="en-US"/>
        </w:rPr>
        <w:t>supra</w:t>
      </w:r>
      <w:r w:rsidR="006C4F66" w:rsidRPr="00AC57EA">
        <w:rPr>
          <w:kern w:val="2"/>
          <w:sz w:val="20"/>
          <w:szCs w:val="20"/>
          <w:lang w:val="en-US" w:eastAsia="en-US"/>
        </w:rPr>
        <w:t xml:space="preserve"> </w:t>
      </w:r>
      <w:r w:rsidR="00171E27" w:rsidRPr="00AC57EA">
        <w:rPr>
          <w:kern w:val="2"/>
          <w:sz w:val="20"/>
          <w:szCs w:val="20"/>
          <w:lang w:val="en-US" w:eastAsia="en-US"/>
        </w:rPr>
        <w:t>para.</w:t>
      </w:r>
      <w:r w:rsidR="006C4F66" w:rsidRPr="00AC57EA">
        <w:rPr>
          <w:kern w:val="2"/>
          <w:sz w:val="20"/>
          <w:szCs w:val="20"/>
          <w:lang w:val="en-US" w:eastAsia="en-US"/>
        </w:rPr>
        <w:t xml:space="preserve"> </w:t>
      </w:r>
      <w:r w:rsidR="00342199" w:rsidRPr="00AC57EA">
        <w:rPr>
          <w:kern w:val="2"/>
          <w:sz w:val="20"/>
          <w:szCs w:val="20"/>
          <w:lang w:val="en-US" w:eastAsia="en-US"/>
        </w:rPr>
        <w:t>71</w:t>
      </w:r>
      <w:r w:rsidR="006C4F66" w:rsidRPr="00AC57EA">
        <w:rPr>
          <w:kern w:val="2"/>
          <w:sz w:val="20"/>
          <w:szCs w:val="20"/>
          <w:lang w:val="en-US" w:eastAsia="en-US"/>
        </w:rPr>
        <w:t>)</w:t>
      </w:r>
      <w:r w:rsidR="00B5625C" w:rsidRPr="00AC57EA">
        <w:rPr>
          <w:kern w:val="2"/>
          <w:sz w:val="20"/>
          <w:szCs w:val="20"/>
          <w:lang w:val="en-US" w:eastAsia="en-US"/>
        </w:rPr>
        <w:t>.</w:t>
      </w:r>
    </w:p>
    <w:p w14:paraId="01D3949B"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72FF8601" w14:textId="794BF91F" w:rsidR="001326A6" w:rsidRPr="00AC57EA" w:rsidRDefault="001326A6" w:rsidP="00FB0A69">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Even though</w:t>
      </w:r>
      <w:r w:rsidR="00B5625C" w:rsidRPr="00AC57EA">
        <w:rPr>
          <w:kern w:val="2"/>
          <w:sz w:val="20"/>
          <w:szCs w:val="20"/>
          <w:lang w:val="en-US" w:eastAsia="en-US"/>
        </w:rPr>
        <w:t xml:space="preserve"> V.R.P</w:t>
      </w:r>
      <w:r w:rsidR="009F412E" w:rsidRPr="00AC57EA">
        <w:rPr>
          <w:kern w:val="2"/>
          <w:sz w:val="20"/>
          <w:szCs w:val="20"/>
          <w:lang w:val="en-US" w:eastAsia="en-US"/>
        </w:rPr>
        <w:t>.</w:t>
      </w:r>
      <w:r w:rsidRPr="00AC57EA">
        <w:rPr>
          <w:kern w:val="2"/>
          <w:sz w:val="20"/>
          <w:szCs w:val="20"/>
          <w:lang w:val="en-US" w:eastAsia="en-US"/>
        </w:rPr>
        <w:t xml:space="preserve"> had been subjected to two medical examinations by private doctors and that, based on their findings, it was concluded that she had been raped, the State considered that this information did not provide sufficient proof, and it ordered a further medical examination by a forensic physician.</w:t>
      </w:r>
      <w:r w:rsidR="00B5625C" w:rsidRPr="00AC57EA">
        <w:rPr>
          <w:kern w:val="2"/>
          <w:sz w:val="20"/>
          <w:szCs w:val="20"/>
          <w:vertAlign w:val="superscript"/>
          <w:lang w:val="en-US" w:eastAsia="en-US"/>
        </w:rPr>
        <w:footnoteReference w:id="259"/>
      </w:r>
      <w:r w:rsidR="00B5625C" w:rsidRPr="00AC57EA">
        <w:rPr>
          <w:kern w:val="2"/>
          <w:sz w:val="20"/>
          <w:szCs w:val="20"/>
          <w:lang w:val="en-US" w:eastAsia="en-US"/>
        </w:rPr>
        <w:t xml:space="preserve"> </w:t>
      </w:r>
      <w:r w:rsidR="00B7258C" w:rsidRPr="00AC57EA">
        <w:rPr>
          <w:kern w:val="2"/>
          <w:sz w:val="20"/>
          <w:szCs w:val="20"/>
          <w:lang w:val="en-US" w:eastAsia="en-US"/>
        </w:rPr>
        <w:t>The Court</w:t>
      </w:r>
      <w:r w:rsidR="00B5625C" w:rsidRPr="00AC57EA">
        <w:rPr>
          <w:kern w:val="2"/>
          <w:sz w:val="20"/>
          <w:szCs w:val="20"/>
          <w:lang w:val="en-US" w:eastAsia="en-US"/>
        </w:rPr>
        <w:t xml:space="preserve"> </w:t>
      </w:r>
      <w:r w:rsidRPr="00AC57EA">
        <w:rPr>
          <w:kern w:val="2"/>
          <w:sz w:val="20"/>
          <w:szCs w:val="20"/>
          <w:lang w:val="en-US" w:eastAsia="en-US"/>
        </w:rPr>
        <w:t xml:space="preserve">notes that attempts were made to subject V.R.P. to this examination on three occasions owing to her refusal to submit to the gynecological examination </w:t>
      </w:r>
      <w:r w:rsidR="00534A71" w:rsidRPr="00AC57EA">
        <w:rPr>
          <w:kern w:val="2"/>
          <w:sz w:val="20"/>
          <w:szCs w:val="20"/>
          <w:lang w:val="en-US" w:eastAsia="en-US"/>
        </w:rPr>
        <w:t>because of</w:t>
      </w:r>
      <w:r w:rsidRPr="00AC57EA">
        <w:rPr>
          <w:kern w:val="2"/>
          <w:sz w:val="20"/>
          <w:szCs w:val="20"/>
          <w:lang w:val="en-US" w:eastAsia="en-US"/>
        </w:rPr>
        <w:t xml:space="preserve"> the degrading conditions in which </w:t>
      </w:r>
      <w:r w:rsidR="00534A71" w:rsidRPr="00AC57EA">
        <w:rPr>
          <w:kern w:val="2"/>
          <w:sz w:val="20"/>
          <w:szCs w:val="20"/>
          <w:lang w:val="en-US" w:eastAsia="en-US"/>
        </w:rPr>
        <w:t>it</w:t>
      </w:r>
      <w:r w:rsidRPr="00AC57EA">
        <w:rPr>
          <w:kern w:val="2"/>
          <w:sz w:val="20"/>
          <w:szCs w:val="20"/>
          <w:lang w:val="en-US" w:eastAsia="en-US"/>
        </w:rPr>
        <w:t xml:space="preserve"> was being conducted (</w:t>
      </w:r>
      <w:r w:rsidRPr="00AC57EA">
        <w:rPr>
          <w:i/>
          <w:kern w:val="2"/>
          <w:sz w:val="20"/>
          <w:szCs w:val="20"/>
          <w:lang w:val="en-US" w:eastAsia="en-US"/>
        </w:rPr>
        <w:t>supra</w:t>
      </w:r>
      <w:r w:rsidRPr="00AC57EA">
        <w:rPr>
          <w:kern w:val="2"/>
          <w:sz w:val="20"/>
          <w:szCs w:val="20"/>
          <w:lang w:val="en-US" w:eastAsia="en-US"/>
        </w:rPr>
        <w:t xml:space="preserve"> paras. 77 and 78). On the third occasion, the gynecological examination was conducted after having sedated the child. The Court notes that the State did not consider, as a measure of protection, according probative sufficiency to the existing medical opinions</w:t>
      </w:r>
      <w:r w:rsidR="0012600D" w:rsidRPr="00AC57EA">
        <w:rPr>
          <w:kern w:val="2"/>
          <w:sz w:val="20"/>
          <w:szCs w:val="20"/>
          <w:lang w:val="en-US" w:eastAsia="en-US"/>
        </w:rPr>
        <w:t xml:space="preserve">, which could have avoided </w:t>
      </w:r>
      <w:r w:rsidR="003C0E4F" w:rsidRPr="00AC57EA">
        <w:rPr>
          <w:kern w:val="2"/>
          <w:sz w:val="20"/>
          <w:szCs w:val="20"/>
          <w:lang w:val="en-US" w:eastAsia="en-US"/>
        </w:rPr>
        <w:t>exposing</w:t>
      </w:r>
      <w:r w:rsidR="0012600D" w:rsidRPr="00AC57EA">
        <w:rPr>
          <w:kern w:val="2"/>
          <w:sz w:val="20"/>
          <w:szCs w:val="20"/>
          <w:lang w:val="en-US" w:eastAsia="en-US"/>
        </w:rPr>
        <w:t xml:space="preserve"> the child to reliving the traumatic experience</w:t>
      </w:r>
      <w:r w:rsidR="003C0E4F" w:rsidRPr="00AC57EA">
        <w:rPr>
          <w:kern w:val="2"/>
          <w:sz w:val="20"/>
          <w:szCs w:val="20"/>
          <w:lang w:val="en-US" w:eastAsia="en-US"/>
        </w:rPr>
        <w:t>;</w:t>
      </w:r>
      <w:r w:rsidR="0012600D" w:rsidRPr="00AC57EA">
        <w:rPr>
          <w:kern w:val="2"/>
          <w:sz w:val="20"/>
          <w:szCs w:val="20"/>
          <w:lang w:val="en-US" w:eastAsia="en-US"/>
        </w:rPr>
        <w:t xml:space="preserve"> nor did it respect her right to be heard with regard to the implementation of this procedure based on her age, and level of maturity and development. The Court finds that subjecting the child to gynecological examinations repeatedly did not respond to the objective of minimizing the trauma resulting from rape, but rather increased it. In sum, the Court considers that, in the circumstances of this case, the need to conduct another gynecological examination was not justified.</w:t>
      </w:r>
    </w:p>
    <w:p w14:paraId="5E4A40DA" w14:textId="77777777" w:rsidR="00FB0A69" w:rsidRPr="00AC57EA" w:rsidRDefault="00FB0A69" w:rsidP="00FB0A69">
      <w:pPr>
        <w:widowControl/>
        <w:adjustRightInd/>
        <w:spacing w:line="240" w:lineRule="auto"/>
        <w:jc w:val="left"/>
        <w:textAlignment w:val="auto"/>
        <w:rPr>
          <w:kern w:val="2"/>
          <w:sz w:val="20"/>
          <w:szCs w:val="20"/>
          <w:lang w:val="en-US" w:eastAsia="en-US"/>
        </w:rPr>
      </w:pPr>
    </w:p>
    <w:p w14:paraId="61A6DD4F" w14:textId="7DE1D46B" w:rsidR="005E0CFA" w:rsidRPr="00AC57EA" w:rsidRDefault="0012600D" w:rsidP="00ED5423">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Nevertheless</w:t>
      </w:r>
      <w:r w:rsidR="00B5625C" w:rsidRPr="00AC57EA">
        <w:rPr>
          <w:kern w:val="2"/>
          <w:sz w:val="20"/>
          <w:szCs w:val="20"/>
          <w:lang w:val="en-US" w:eastAsia="en-US"/>
        </w:rPr>
        <w:t>,</w:t>
      </w:r>
      <w:r w:rsidR="00FB0A69" w:rsidRPr="00AC57EA">
        <w:rPr>
          <w:kern w:val="2"/>
          <w:sz w:val="20"/>
          <w:szCs w:val="20"/>
          <w:lang w:val="en-US" w:eastAsia="en-US"/>
        </w:rPr>
        <w:t xml:space="preserve"> </w:t>
      </w:r>
      <w:r w:rsidR="00B7258C" w:rsidRPr="00AC57EA">
        <w:rPr>
          <w:kern w:val="2"/>
          <w:sz w:val="20"/>
          <w:szCs w:val="20"/>
          <w:lang w:val="en-US" w:eastAsia="en-US"/>
        </w:rPr>
        <w:t>the Court</w:t>
      </w:r>
      <w:r w:rsidR="00FB0A69" w:rsidRPr="00AC57EA">
        <w:rPr>
          <w:kern w:val="2"/>
          <w:sz w:val="20"/>
          <w:szCs w:val="20"/>
          <w:lang w:val="en-US" w:eastAsia="en-US"/>
        </w:rPr>
        <w:t xml:space="preserve"> </w:t>
      </w:r>
      <w:r w:rsidRPr="00AC57EA">
        <w:rPr>
          <w:kern w:val="2"/>
          <w:sz w:val="20"/>
          <w:szCs w:val="20"/>
          <w:lang w:val="en-US" w:eastAsia="en-US"/>
        </w:rPr>
        <w:t>also stresses that a series of omissions and shortcomings were committed in the implementation of the first forensic medical examination that were incompatible with the requirements of strict due diligence: (i) there is no record that either the child or her mother were offered information on what the examination consisted of or what would be done; (ii) no choice was offered as to the sex of the examiner;</w:t>
      </w:r>
      <w:r w:rsidR="00B5625C" w:rsidRPr="00AC57EA">
        <w:rPr>
          <w:kern w:val="2"/>
          <w:sz w:val="20"/>
          <w:szCs w:val="20"/>
          <w:vertAlign w:val="superscript"/>
          <w:lang w:val="en-US" w:eastAsia="en-US"/>
        </w:rPr>
        <w:footnoteReference w:id="260"/>
      </w:r>
      <w:r w:rsidR="00185F9F" w:rsidRPr="00AC57EA">
        <w:rPr>
          <w:kern w:val="2"/>
          <w:sz w:val="20"/>
          <w:szCs w:val="20"/>
          <w:lang w:val="en-US" w:eastAsia="en-US"/>
        </w:rPr>
        <w:t xml:space="preserve"> </w:t>
      </w:r>
      <w:r w:rsidRPr="00AC57EA">
        <w:rPr>
          <w:kern w:val="2"/>
          <w:sz w:val="20"/>
          <w:szCs w:val="20"/>
          <w:lang w:val="en-US" w:eastAsia="en-US"/>
        </w:rPr>
        <w:t>(</w:t>
      </w:r>
      <w:r w:rsidR="00185F9F" w:rsidRPr="00AC57EA">
        <w:rPr>
          <w:kern w:val="2"/>
          <w:sz w:val="20"/>
          <w:szCs w:val="20"/>
          <w:lang w:val="en-US" w:eastAsia="en-US"/>
        </w:rPr>
        <w:t xml:space="preserve">iii) </w:t>
      </w:r>
      <w:r w:rsidRPr="00AC57EA">
        <w:rPr>
          <w:kern w:val="2"/>
          <w:sz w:val="20"/>
          <w:szCs w:val="20"/>
          <w:lang w:val="en-US" w:eastAsia="en-US"/>
        </w:rPr>
        <w:t xml:space="preserve">it was not verified whether </w:t>
      </w:r>
      <w:r w:rsidR="00246365" w:rsidRPr="00AC57EA">
        <w:rPr>
          <w:kern w:val="2"/>
          <w:sz w:val="20"/>
          <w:szCs w:val="20"/>
          <w:lang w:val="en-US" w:eastAsia="en-US"/>
        </w:rPr>
        <w:t>the forensic physician</w:t>
      </w:r>
      <w:r w:rsidR="00185F9F" w:rsidRPr="00AC57EA">
        <w:rPr>
          <w:kern w:val="2"/>
          <w:sz w:val="20"/>
          <w:szCs w:val="20"/>
          <w:lang w:val="en-US" w:eastAsia="en-US"/>
        </w:rPr>
        <w:t xml:space="preserve"> </w:t>
      </w:r>
      <w:r w:rsidRPr="00AC57EA">
        <w:rPr>
          <w:kern w:val="2"/>
          <w:sz w:val="20"/>
          <w:szCs w:val="20"/>
          <w:lang w:val="en-US" w:eastAsia="en-US"/>
        </w:rPr>
        <w:t>assigned to the case had received special training in treating</w:t>
      </w:r>
      <w:r w:rsidR="00ED5423" w:rsidRPr="00AC57EA">
        <w:rPr>
          <w:kern w:val="2"/>
          <w:sz w:val="20"/>
          <w:szCs w:val="20"/>
          <w:lang w:val="en-US" w:eastAsia="en-US"/>
        </w:rPr>
        <w:t xml:space="preserve"> underage</w:t>
      </w:r>
      <w:r w:rsidRPr="00AC57EA">
        <w:rPr>
          <w:kern w:val="2"/>
          <w:sz w:val="20"/>
          <w:szCs w:val="20"/>
          <w:lang w:val="en-US" w:eastAsia="en-US"/>
        </w:rPr>
        <w:t xml:space="preserve"> victims, specifically</w:t>
      </w:r>
      <w:r w:rsidR="00ED5423" w:rsidRPr="00AC57EA">
        <w:rPr>
          <w:kern w:val="2"/>
          <w:sz w:val="20"/>
          <w:szCs w:val="20"/>
          <w:lang w:val="en-US" w:eastAsia="en-US"/>
        </w:rPr>
        <w:t xml:space="preserve"> young children, or whether he was a gynecologist quali</w:t>
      </w:r>
      <w:r w:rsidR="003C0E4F" w:rsidRPr="00AC57EA">
        <w:rPr>
          <w:kern w:val="2"/>
          <w:sz w:val="20"/>
          <w:szCs w:val="20"/>
          <w:lang w:val="en-US" w:eastAsia="en-US"/>
        </w:rPr>
        <w:t>f</w:t>
      </w:r>
      <w:r w:rsidR="00ED5423" w:rsidRPr="00AC57EA">
        <w:rPr>
          <w:kern w:val="2"/>
          <w:sz w:val="20"/>
          <w:szCs w:val="20"/>
          <w:lang w:val="en-US" w:eastAsia="en-US"/>
        </w:rPr>
        <w:t xml:space="preserve">ied to conduct this type of examination in cases of sexual abuse and rape; (iv) despite the presence of a psychiatrist, it is not clear what </w:t>
      </w:r>
      <w:r w:rsidR="003C0E4F" w:rsidRPr="00AC57EA">
        <w:rPr>
          <w:kern w:val="2"/>
          <w:sz w:val="20"/>
          <w:szCs w:val="20"/>
          <w:lang w:val="en-US" w:eastAsia="en-US"/>
        </w:rPr>
        <w:t>her</w:t>
      </w:r>
      <w:r w:rsidR="00ED5423" w:rsidRPr="00AC57EA">
        <w:rPr>
          <w:kern w:val="2"/>
          <w:sz w:val="20"/>
          <w:szCs w:val="20"/>
          <w:lang w:val="en-US" w:eastAsia="en-US"/>
        </w:rPr>
        <w:t xml:space="preserve"> role was and, specifically, the support provided to V.R.P. in relation to this procedure;</w:t>
      </w:r>
      <w:r w:rsidR="00B5625C" w:rsidRPr="00AC57EA">
        <w:rPr>
          <w:kern w:val="2"/>
          <w:sz w:val="20"/>
          <w:szCs w:val="20"/>
          <w:vertAlign w:val="superscript"/>
          <w:lang w:val="en-US" w:eastAsia="en-US"/>
        </w:rPr>
        <w:footnoteReference w:id="261"/>
      </w:r>
      <w:r w:rsidR="005E0CFA" w:rsidRPr="00AC57EA">
        <w:rPr>
          <w:kern w:val="2"/>
          <w:sz w:val="20"/>
          <w:szCs w:val="20"/>
          <w:lang w:val="en-US" w:eastAsia="en-US"/>
        </w:rPr>
        <w:t xml:space="preserve"> </w:t>
      </w:r>
      <w:r w:rsidR="00ED5423" w:rsidRPr="00AC57EA">
        <w:rPr>
          <w:kern w:val="2"/>
          <w:sz w:val="20"/>
          <w:szCs w:val="20"/>
          <w:lang w:val="en-US" w:eastAsia="en-US"/>
        </w:rPr>
        <w:t>(</w:t>
      </w:r>
      <w:r w:rsidR="005E0CFA" w:rsidRPr="00AC57EA">
        <w:rPr>
          <w:kern w:val="2"/>
          <w:sz w:val="20"/>
          <w:szCs w:val="20"/>
          <w:lang w:val="en-US" w:eastAsia="en-US"/>
        </w:rPr>
        <w:t xml:space="preserve">v) </w:t>
      </w:r>
      <w:r w:rsidR="00ED5423" w:rsidRPr="00AC57EA">
        <w:rPr>
          <w:kern w:val="2"/>
          <w:sz w:val="20"/>
          <w:szCs w:val="20"/>
          <w:lang w:val="en-US" w:eastAsia="en-US"/>
        </w:rPr>
        <w:t xml:space="preserve">the examination was not conducted in a gynecology </w:t>
      </w:r>
      <w:r w:rsidR="003C0E4F" w:rsidRPr="00AC57EA">
        <w:rPr>
          <w:kern w:val="2"/>
          <w:sz w:val="20"/>
          <w:szCs w:val="20"/>
          <w:lang w:val="en-US" w:eastAsia="en-US"/>
        </w:rPr>
        <w:t>space</w:t>
      </w:r>
      <w:r w:rsidR="00ED5423" w:rsidRPr="00AC57EA">
        <w:rPr>
          <w:kern w:val="2"/>
          <w:sz w:val="20"/>
          <w:szCs w:val="20"/>
          <w:lang w:val="en-US" w:eastAsia="en-US"/>
        </w:rPr>
        <w:t xml:space="preserve">, but rather, according </w:t>
      </w:r>
      <w:r w:rsidR="00ED5423" w:rsidRPr="00AC57EA">
        <w:rPr>
          <w:kern w:val="2"/>
          <w:sz w:val="20"/>
          <w:szCs w:val="20"/>
          <w:lang w:val="en-US" w:eastAsia="en-US"/>
        </w:rPr>
        <w:lastRenderedPageBreak/>
        <w:t>to V.P.C., in a place like “the morgue of a hospital, because there were aluminum</w:t>
      </w:r>
      <w:r w:rsidR="009935FA" w:rsidRPr="00AC57EA">
        <w:rPr>
          <w:kern w:val="2"/>
          <w:sz w:val="20"/>
          <w:szCs w:val="20"/>
          <w:lang w:val="en-US" w:eastAsia="en-US"/>
        </w:rPr>
        <w:t xml:space="preserve"> slabs</w:t>
      </w:r>
      <w:r w:rsidR="00ED5423" w:rsidRPr="00AC57EA">
        <w:rPr>
          <w:kern w:val="2"/>
          <w:sz w:val="20"/>
          <w:szCs w:val="20"/>
          <w:lang w:val="en-US" w:eastAsia="en-US"/>
        </w:rPr>
        <w:t xml:space="preserve"> […] and it was place where a lot of people were going in and out,</w:t>
      </w:r>
      <w:r w:rsidR="005E0CFA" w:rsidRPr="00AC57EA">
        <w:rPr>
          <w:kern w:val="2"/>
          <w:sz w:val="20"/>
          <w:szCs w:val="20"/>
          <w:lang w:val="en-US" w:eastAsia="en-US"/>
        </w:rPr>
        <w:t>”</w:t>
      </w:r>
      <w:r w:rsidR="005E0CFA" w:rsidRPr="00AC57EA">
        <w:rPr>
          <w:kern w:val="2"/>
          <w:sz w:val="20"/>
          <w:szCs w:val="20"/>
          <w:vertAlign w:val="superscript"/>
          <w:lang w:val="en-US" w:eastAsia="en-US"/>
        </w:rPr>
        <w:footnoteReference w:id="262"/>
      </w:r>
      <w:r w:rsidR="00ED5423" w:rsidRPr="00AC57EA">
        <w:rPr>
          <w:kern w:val="2"/>
          <w:sz w:val="20"/>
          <w:szCs w:val="20"/>
          <w:lang w:val="en-US" w:eastAsia="en-US"/>
        </w:rPr>
        <w:t xml:space="preserve"> </w:t>
      </w:r>
      <w:r w:rsidR="00171E27" w:rsidRPr="00AC57EA">
        <w:rPr>
          <w:kern w:val="2"/>
          <w:sz w:val="20"/>
          <w:szCs w:val="20"/>
          <w:lang w:val="en-US" w:eastAsia="en-US"/>
        </w:rPr>
        <w:t xml:space="preserve">and </w:t>
      </w:r>
      <w:r w:rsidR="00ED5423" w:rsidRPr="00AC57EA">
        <w:rPr>
          <w:kern w:val="2"/>
          <w:sz w:val="20"/>
          <w:szCs w:val="20"/>
          <w:lang w:val="en-US" w:eastAsia="en-US"/>
        </w:rPr>
        <w:t>(</w:t>
      </w:r>
      <w:r w:rsidR="001E43C6" w:rsidRPr="00AC57EA">
        <w:rPr>
          <w:kern w:val="2"/>
          <w:sz w:val="20"/>
          <w:szCs w:val="20"/>
          <w:lang w:val="en-US" w:eastAsia="en-US"/>
        </w:rPr>
        <w:t>vi)</w:t>
      </w:r>
      <w:r w:rsidR="00B47822" w:rsidRPr="00AC57EA">
        <w:rPr>
          <w:kern w:val="2"/>
          <w:sz w:val="20"/>
          <w:szCs w:val="20"/>
          <w:lang w:val="en-US" w:eastAsia="en-US"/>
        </w:rPr>
        <w:t xml:space="preserve"> </w:t>
      </w:r>
      <w:r w:rsidR="00ED5423" w:rsidRPr="00AC57EA">
        <w:rPr>
          <w:kern w:val="2"/>
          <w:sz w:val="20"/>
          <w:szCs w:val="20"/>
          <w:lang w:val="en-US" w:eastAsia="en-US"/>
        </w:rPr>
        <w:t>an excessive number of health care personnel were present</w:t>
      </w:r>
      <w:r w:rsidR="001E43C6" w:rsidRPr="00AC57EA">
        <w:rPr>
          <w:kern w:val="2"/>
          <w:sz w:val="20"/>
          <w:szCs w:val="20"/>
          <w:lang w:val="en-US" w:eastAsia="en-US"/>
        </w:rPr>
        <w:t>.</w:t>
      </w:r>
    </w:p>
    <w:p w14:paraId="5985120A" w14:textId="77777777" w:rsidR="005E0CFA" w:rsidRPr="00AC57EA" w:rsidRDefault="005E0CFA" w:rsidP="005E0CFA">
      <w:pPr>
        <w:widowControl/>
        <w:tabs>
          <w:tab w:val="left" w:pos="567"/>
        </w:tabs>
        <w:adjustRightInd/>
        <w:spacing w:line="240" w:lineRule="auto"/>
        <w:textAlignment w:val="auto"/>
        <w:rPr>
          <w:kern w:val="2"/>
          <w:sz w:val="20"/>
          <w:szCs w:val="20"/>
          <w:lang w:val="en-US" w:eastAsia="en-US"/>
        </w:rPr>
      </w:pPr>
    </w:p>
    <w:p w14:paraId="6111EA83" w14:textId="520B9B44" w:rsidR="005E0CFA" w:rsidRPr="00AC57EA" w:rsidRDefault="00ED5423" w:rsidP="005E0CFA">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In this regard</w:t>
      </w:r>
      <w:r w:rsidR="00D2788D" w:rsidRPr="00AC57EA">
        <w:rPr>
          <w:kern w:val="2"/>
          <w:sz w:val="20"/>
          <w:szCs w:val="20"/>
          <w:lang w:val="en-US" w:eastAsia="en-US"/>
        </w:rPr>
        <w:t xml:space="preserve">, </w:t>
      </w:r>
      <w:r w:rsidR="00B7258C" w:rsidRPr="00AC57EA">
        <w:rPr>
          <w:kern w:val="2"/>
          <w:sz w:val="20"/>
          <w:szCs w:val="20"/>
          <w:lang w:val="en-US" w:eastAsia="en-US"/>
        </w:rPr>
        <w:t>the Court</w:t>
      </w:r>
      <w:r w:rsidR="005E0CFA" w:rsidRPr="00AC57EA">
        <w:rPr>
          <w:kern w:val="2"/>
          <w:sz w:val="20"/>
          <w:szCs w:val="20"/>
          <w:lang w:val="en-US" w:eastAsia="en-US"/>
        </w:rPr>
        <w:t xml:space="preserve"> consider</w:t>
      </w:r>
      <w:r w:rsidRPr="00AC57EA">
        <w:rPr>
          <w:kern w:val="2"/>
          <w:sz w:val="20"/>
          <w:szCs w:val="20"/>
          <w:lang w:val="en-US" w:eastAsia="en-US"/>
        </w:rPr>
        <w:t xml:space="preserve">s that it </w:t>
      </w:r>
      <w:r w:rsidR="009935FA" w:rsidRPr="00AC57EA">
        <w:rPr>
          <w:kern w:val="2"/>
          <w:sz w:val="20"/>
          <w:szCs w:val="20"/>
          <w:lang w:val="en-US" w:eastAsia="en-US"/>
        </w:rPr>
        <w:t>wa</w:t>
      </w:r>
      <w:r w:rsidRPr="00AC57EA">
        <w:rPr>
          <w:kern w:val="2"/>
          <w:sz w:val="20"/>
          <w:szCs w:val="20"/>
          <w:lang w:val="en-US" w:eastAsia="en-US"/>
        </w:rPr>
        <w:t>s extremely important not only that the physician was qualified to treat a nine-year-old child rape victim</w:t>
      </w:r>
      <w:r w:rsidR="005E0CFA" w:rsidRPr="00AC57EA">
        <w:rPr>
          <w:kern w:val="2"/>
          <w:sz w:val="20"/>
          <w:szCs w:val="20"/>
          <w:lang w:val="en-US" w:eastAsia="en-US"/>
        </w:rPr>
        <w:t xml:space="preserve">, </w:t>
      </w:r>
      <w:r w:rsidRPr="00AC57EA">
        <w:rPr>
          <w:kern w:val="2"/>
          <w:sz w:val="20"/>
          <w:szCs w:val="20"/>
          <w:lang w:val="en-US" w:eastAsia="en-US"/>
        </w:rPr>
        <w:t>but also that the interview rooms and, in particular, the place for medical examinations represent</w:t>
      </w:r>
      <w:r w:rsidR="009935FA" w:rsidRPr="00AC57EA">
        <w:rPr>
          <w:kern w:val="2"/>
          <w:sz w:val="20"/>
          <w:szCs w:val="20"/>
          <w:lang w:val="en-US" w:eastAsia="en-US"/>
        </w:rPr>
        <w:t>ed a safe and appropriate environment that was not intimidating, hostile or insensitive for the child</w:t>
      </w:r>
      <w:r w:rsidR="005E0CFA" w:rsidRPr="00AC57EA">
        <w:rPr>
          <w:kern w:val="2"/>
          <w:sz w:val="20"/>
          <w:szCs w:val="20"/>
          <w:lang w:val="en-US" w:eastAsia="en-US"/>
        </w:rPr>
        <w:t xml:space="preserve">. </w:t>
      </w:r>
      <w:r w:rsidR="009935FA" w:rsidRPr="00AC57EA">
        <w:rPr>
          <w:kern w:val="2"/>
          <w:sz w:val="20"/>
          <w:szCs w:val="20"/>
          <w:lang w:val="en-US" w:eastAsia="en-US"/>
        </w:rPr>
        <w:t xml:space="preserve">Hence the importance of </w:t>
      </w:r>
      <w:r w:rsidR="003C0E4F" w:rsidRPr="00AC57EA">
        <w:rPr>
          <w:kern w:val="2"/>
          <w:sz w:val="20"/>
          <w:szCs w:val="20"/>
          <w:lang w:val="en-US" w:eastAsia="en-US"/>
        </w:rPr>
        <w:t>surroundings</w:t>
      </w:r>
      <w:r w:rsidR="009935FA" w:rsidRPr="00AC57EA">
        <w:rPr>
          <w:kern w:val="2"/>
          <w:sz w:val="20"/>
          <w:szCs w:val="20"/>
          <w:lang w:val="en-US" w:eastAsia="en-US"/>
        </w:rPr>
        <w:t xml:space="preserve"> that provide a child with the necessary confidence and protect her intimacy and privacy.</w:t>
      </w:r>
    </w:p>
    <w:p w14:paraId="075E9E7A" w14:textId="77777777" w:rsidR="005E0CFA" w:rsidRPr="00AC57EA" w:rsidRDefault="005E0CFA" w:rsidP="005E0CFA">
      <w:pPr>
        <w:widowControl/>
        <w:adjustRightInd/>
        <w:spacing w:line="240" w:lineRule="auto"/>
        <w:jc w:val="left"/>
        <w:textAlignment w:val="auto"/>
        <w:rPr>
          <w:kern w:val="2"/>
          <w:sz w:val="20"/>
          <w:szCs w:val="20"/>
          <w:lang w:val="en-US" w:eastAsia="en-US"/>
        </w:rPr>
      </w:pPr>
    </w:p>
    <w:p w14:paraId="2505BB9C" w14:textId="7F8CAEE9" w:rsidR="00125A2C" w:rsidRPr="00AC57EA" w:rsidRDefault="00A60D37" w:rsidP="00125A2C">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In this regard, the Court considers that the presence of numerous persons during the gynecological examination of a child of nine years of age, a victim of rape, is contrary to the relevant standards, because the child is naked, exposing her genitals to a group of people who should not have been present in a procedure of this nature, and this entailed arbitrary interference in her intimacy and privacy. The Court finds that this type of examination should be </w:t>
      </w:r>
      <w:r w:rsidR="00125A2C" w:rsidRPr="00AC57EA">
        <w:rPr>
          <w:kern w:val="2"/>
          <w:sz w:val="20"/>
          <w:szCs w:val="20"/>
          <w:lang w:val="en-US" w:eastAsia="en-US"/>
        </w:rPr>
        <w:t>performed once only, by a physician with training in this regard, qualified to examine child victims of sexual abuse and rape, and in the presence of only those persons who are strictly necessary</w:t>
      </w:r>
      <w:r w:rsidR="005E0CFA" w:rsidRPr="00AC57EA">
        <w:rPr>
          <w:kern w:val="2"/>
          <w:sz w:val="20"/>
          <w:szCs w:val="20"/>
          <w:lang w:val="en-US" w:eastAsia="en-US"/>
        </w:rPr>
        <w:t xml:space="preserve"> (</w:t>
      </w:r>
      <w:r w:rsidR="005E0CFA" w:rsidRPr="00AC57EA">
        <w:rPr>
          <w:i/>
          <w:kern w:val="2"/>
          <w:sz w:val="20"/>
          <w:szCs w:val="20"/>
          <w:lang w:val="en-US" w:eastAsia="en-US"/>
        </w:rPr>
        <w:t>supra</w:t>
      </w:r>
      <w:r w:rsidR="005E0CFA" w:rsidRPr="00AC57EA">
        <w:rPr>
          <w:kern w:val="2"/>
          <w:sz w:val="20"/>
          <w:szCs w:val="20"/>
          <w:lang w:val="en-US" w:eastAsia="en-US"/>
        </w:rPr>
        <w:t xml:space="preserve"> </w:t>
      </w:r>
      <w:r w:rsidR="00171E27" w:rsidRPr="00AC57EA">
        <w:rPr>
          <w:kern w:val="2"/>
          <w:sz w:val="20"/>
          <w:szCs w:val="20"/>
          <w:lang w:val="en-US" w:eastAsia="en-US"/>
        </w:rPr>
        <w:t>para.</w:t>
      </w:r>
      <w:r w:rsidR="005E0CFA" w:rsidRPr="00AC57EA">
        <w:rPr>
          <w:kern w:val="2"/>
          <w:sz w:val="20"/>
          <w:szCs w:val="20"/>
          <w:lang w:val="en-US" w:eastAsia="en-US"/>
        </w:rPr>
        <w:t xml:space="preserve"> </w:t>
      </w:r>
      <w:r w:rsidR="003A3D9D" w:rsidRPr="00AC57EA">
        <w:rPr>
          <w:kern w:val="2"/>
          <w:sz w:val="20"/>
          <w:szCs w:val="20"/>
          <w:lang w:val="en-US" w:eastAsia="en-US"/>
        </w:rPr>
        <w:t>169</w:t>
      </w:r>
      <w:r w:rsidR="005E0CFA" w:rsidRPr="00AC57EA">
        <w:rPr>
          <w:kern w:val="2"/>
          <w:sz w:val="20"/>
          <w:szCs w:val="20"/>
          <w:lang w:val="en-US" w:eastAsia="en-US"/>
        </w:rPr>
        <w:t xml:space="preserve">). </w:t>
      </w:r>
      <w:r w:rsidR="00B7258C" w:rsidRPr="00AC57EA">
        <w:rPr>
          <w:kern w:val="2"/>
          <w:sz w:val="20"/>
          <w:szCs w:val="20"/>
          <w:lang w:val="en-US" w:eastAsia="en-US"/>
        </w:rPr>
        <w:t>The Court</w:t>
      </w:r>
      <w:r w:rsidR="00125A2C" w:rsidRPr="00AC57EA">
        <w:rPr>
          <w:kern w:val="2"/>
          <w:sz w:val="20"/>
          <w:szCs w:val="20"/>
          <w:lang w:val="en-US" w:eastAsia="en-US"/>
        </w:rPr>
        <w:t xml:space="preserve"> understands that this procedure, which was particularly serious and contrary to due diligence, exposed V.R.P. to a situation of re-experiencing the existing trauma and denotes the lack of professionalism of the forensic physician responsible for the procedure. The Court considers it irrelevant that the mother had requested the presence of all those who took part in this examination</w:t>
      </w:r>
      <w:r w:rsidR="005E0CFA" w:rsidRPr="00AC57EA">
        <w:rPr>
          <w:kern w:val="2"/>
          <w:sz w:val="20"/>
          <w:szCs w:val="20"/>
          <w:vertAlign w:val="superscript"/>
          <w:lang w:val="en-US" w:eastAsia="en-US"/>
        </w:rPr>
        <w:footnoteReference w:id="263"/>
      </w:r>
      <w:r w:rsidR="00171E27" w:rsidRPr="00AC57EA">
        <w:rPr>
          <w:kern w:val="2"/>
          <w:sz w:val="20"/>
          <w:szCs w:val="20"/>
          <w:lang w:val="en-US" w:eastAsia="en-US"/>
        </w:rPr>
        <w:t xml:space="preserve"> and</w:t>
      </w:r>
      <w:r w:rsidR="00125A2C" w:rsidRPr="00AC57EA">
        <w:rPr>
          <w:kern w:val="2"/>
          <w:sz w:val="20"/>
          <w:szCs w:val="20"/>
          <w:lang w:val="en-US" w:eastAsia="en-US"/>
        </w:rPr>
        <w:t xml:space="preserve"> this does not</w:t>
      </w:r>
      <w:r w:rsidR="00171E27" w:rsidRPr="00AC57EA">
        <w:rPr>
          <w:kern w:val="2"/>
          <w:sz w:val="20"/>
          <w:szCs w:val="20"/>
          <w:lang w:val="en-US" w:eastAsia="en-US"/>
        </w:rPr>
        <w:t xml:space="preserve"> </w:t>
      </w:r>
      <w:r w:rsidR="00125A2C" w:rsidRPr="00AC57EA">
        <w:rPr>
          <w:kern w:val="2"/>
          <w:sz w:val="20"/>
          <w:szCs w:val="20"/>
          <w:lang w:val="en-US" w:eastAsia="en-US"/>
        </w:rPr>
        <w:t>undermine the State’s responsibility, because it is the State that should adopt the necessary measures of protection to ensure that its institutions act respecting the principle of the best interests of the child and avoid procedures that may involve elements that make the victim relive the trauma and constitute an act of institutional violence.</w:t>
      </w:r>
    </w:p>
    <w:p w14:paraId="13FDA807" w14:textId="77777777" w:rsidR="005E0CFA" w:rsidRPr="00AC57EA" w:rsidRDefault="005E0CFA" w:rsidP="00B5625C">
      <w:pPr>
        <w:widowControl/>
        <w:adjustRightInd/>
        <w:spacing w:line="240" w:lineRule="auto"/>
        <w:jc w:val="left"/>
        <w:textAlignment w:val="auto"/>
        <w:rPr>
          <w:kern w:val="2"/>
          <w:sz w:val="20"/>
          <w:szCs w:val="20"/>
          <w:lang w:val="en-US" w:eastAsia="en-US"/>
        </w:rPr>
      </w:pPr>
    </w:p>
    <w:p w14:paraId="0523C82C" w14:textId="34F4BD2C" w:rsidR="00CD565D" w:rsidRPr="00AC57EA" w:rsidRDefault="00185F9F" w:rsidP="0093538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A</w:t>
      </w:r>
      <w:r w:rsidR="00B72377" w:rsidRPr="00AC57EA">
        <w:rPr>
          <w:kern w:val="2"/>
          <w:sz w:val="20"/>
          <w:szCs w:val="20"/>
          <w:lang w:val="en-US" w:eastAsia="en-US"/>
        </w:rPr>
        <w:t>dded to this, the statements of</w:t>
      </w:r>
      <w:r w:rsidR="00B5625C" w:rsidRPr="00AC57EA">
        <w:rPr>
          <w:kern w:val="2"/>
          <w:sz w:val="20"/>
          <w:szCs w:val="20"/>
          <w:lang w:val="en-US" w:eastAsia="en-US"/>
        </w:rPr>
        <w:t xml:space="preserve"> V.R.P.</w:t>
      </w:r>
      <w:r w:rsidR="00171E27" w:rsidRPr="00AC57EA">
        <w:rPr>
          <w:kern w:val="2"/>
          <w:sz w:val="20"/>
          <w:szCs w:val="20"/>
          <w:lang w:val="en-US" w:eastAsia="en-US"/>
        </w:rPr>
        <w:t xml:space="preserve"> and </w:t>
      </w:r>
      <w:r w:rsidR="00B5625C" w:rsidRPr="00AC57EA">
        <w:rPr>
          <w:kern w:val="2"/>
          <w:sz w:val="20"/>
          <w:szCs w:val="20"/>
          <w:lang w:val="en-US" w:eastAsia="en-US"/>
        </w:rPr>
        <w:t xml:space="preserve">V.P.C. </w:t>
      </w:r>
      <w:r w:rsidR="00B72377" w:rsidRPr="00AC57EA">
        <w:rPr>
          <w:kern w:val="2"/>
          <w:sz w:val="20"/>
          <w:szCs w:val="20"/>
          <w:lang w:val="en-US" w:eastAsia="en-US"/>
        </w:rPr>
        <w:t xml:space="preserve">before this Court, and also the complaints against the forensic physician filed in the domestic sphere, reveal that the actions of the health official during the procedure were revictimizing, contrary to the best interests of V.R.P. and her right to be heard, and contravened the duty of </w:t>
      </w:r>
      <w:r w:rsidR="00ED058B" w:rsidRPr="00AC57EA">
        <w:rPr>
          <w:kern w:val="2"/>
          <w:sz w:val="20"/>
          <w:szCs w:val="20"/>
          <w:lang w:val="en-US" w:eastAsia="en-US"/>
        </w:rPr>
        <w:t>enhanced protection</w:t>
      </w:r>
      <w:r w:rsidR="00B72377" w:rsidRPr="00AC57EA">
        <w:rPr>
          <w:kern w:val="2"/>
          <w:sz w:val="20"/>
          <w:szCs w:val="20"/>
          <w:lang w:val="en-US" w:eastAsia="en-US"/>
        </w:rPr>
        <w:t xml:space="preserve"> owed to child victims of sexual violence. Indeed, the Court notes that V.P.C. filed a complaint with the </w:t>
      </w:r>
      <w:r w:rsidR="00B5625C" w:rsidRPr="00AC57EA">
        <w:rPr>
          <w:kern w:val="2"/>
          <w:sz w:val="20"/>
          <w:szCs w:val="20"/>
          <w:lang w:val="en-US" w:eastAsia="en-US"/>
        </w:rPr>
        <w:t xml:space="preserve">Director </w:t>
      </w:r>
      <w:r w:rsidR="00B72377" w:rsidRPr="00AC57EA">
        <w:rPr>
          <w:kern w:val="2"/>
          <w:sz w:val="20"/>
          <w:szCs w:val="20"/>
          <w:lang w:val="en-US" w:eastAsia="en-US"/>
        </w:rPr>
        <w:t>of the</w:t>
      </w:r>
      <w:r w:rsidR="00B5625C" w:rsidRPr="00AC57EA">
        <w:rPr>
          <w:kern w:val="2"/>
          <w:sz w:val="20"/>
          <w:szCs w:val="20"/>
          <w:lang w:val="en-US" w:eastAsia="en-US"/>
        </w:rPr>
        <w:t xml:space="preserve"> </w:t>
      </w:r>
      <w:r w:rsidR="00A80E9E" w:rsidRPr="00AC57EA">
        <w:rPr>
          <w:kern w:val="2"/>
          <w:sz w:val="20"/>
          <w:szCs w:val="20"/>
          <w:lang w:val="en-US" w:eastAsia="en-US"/>
        </w:rPr>
        <w:t>Local Comprehensive Health Care System</w:t>
      </w:r>
      <w:r w:rsidR="00B5625C" w:rsidRPr="00AC57EA">
        <w:rPr>
          <w:kern w:val="2"/>
          <w:sz w:val="20"/>
          <w:szCs w:val="20"/>
          <w:lang w:val="en-US" w:eastAsia="en-US"/>
        </w:rPr>
        <w:t xml:space="preserve"> (SILAIS) </w:t>
      </w:r>
      <w:r w:rsidR="00B72377" w:rsidRPr="00AC57EA">
        <w:rPr>
          <w:kern w:val="2"/>
          <w:sz w:val="20"/>
          <w:szCs w:val="20"/>
          <w:lang w:val="en-US" w:eastAsia="en-US"/>
        </w:rPr>
        <w:t>of the</w:t>
      </w:r>
      <w:r w:rsidR="00B5625C" w:rsidRPr="00AC57EA">
        <w:rPr>
          <w:kern w:val="2"/>
          <w:sz w:val="20"/>
          <w:szCs w:val="20"/>
          <w:lang w:val="en-US" w:eastAsia="en-US"/>
        </w:rPr>
        <w:t xml:space="preserve"> </w:t>
      </w:r>
      <w:r w:rsidR="00A80E9E" w:rsidRPr="00AC57EA">
        <w:rPr>
          <w:kern w:val="2"/>
          <w:sz w:val="20"/>
          <w:szCs w:val="20"/>
          <w:lang w:val="en-US" w:eastAsia="en-US"/>
        </w:rPr>
        <w:t>Department of</w:t>
      </w:r>
      <w:r w:rsidR="00B5625C" w:rsidRPr="00AC57EA">
        <w:rPr>
          <w:kern w:val="2"/>
          <w:sz w:val="20"/>
          <w:szCs w:val="20"/>
          <w:lang w:val="en-US" w:eastAsia="en-US"/>
        </w:rPr>
        <w:t xml:space="preserve"> Jinotega, </w:t>
      </w:r>
      <w:r w:rsidR="00B72377" w:rsidRPr="00AC57EA">
        <w:rPr>
          <w:kern w:val="2"/>
          <w:sz w:val="20"/>
          <w:szCs w:val="20"/>
          <w:lang w:val="en-US" w:eastAsia="en-US"/>
        </w:rPr>
        <w:t xml:space="preserve">in which she advise that </w:t>
      </w:r>
      <w:r w:rsidR="00B72377" w:rsidRPr="00AC57EA">
        <w:rPr>
          <w:sz w:val="20"/>
          <w:szCs w:val="20"/>
          <w:lang w:val="en-US"/>
        </w:rPr>
        <w:t>the medical professional who intervened had “behaved in an unethical, grotesque and vulgar manner when examining her daughter and that he did not even have the right to give her a sedative.</w:t>
      </w:r>
      <w:r w:rsidR="00B5625C" w:rsidRPr="00AC57EA">
        <w:rPr>
          <w:kern w:val="2"/>
          <w:sz w:val="20"/>
          <w:szCs w:val="20"/>
          <w:lang w:val="en-US" w:eastAsia="en-US"/>
        </w:rPr>
        <w:t>”</w:t>
      </w:r>
      <w:r w:rsidR="00B5625C" w:rsidRPr="00AC57EA">
        <w:rPr>
          <w:kern w:val="2"/>
          <w:sz w:val="20"/>
          <w:szCs w:val="20"/>
          <w:vertAlign w:val="superscript"/>
          <w:lang w:val="en-US" w:eastAsia="en-US"/>
        </w:rPr>
        <w:footnoteReference w:id="264"/>
      </w:r>
      <w:r w:rsidR="00B72377" w:rsidRPr="00AC57EA">
        <w:rPr>
          <w:kern w:val="2"/>
          <w:sz w:val="20"/>
          <w:szCs w:val="20"/>
          <w:lang w:val="en-US" w:eastAsia="en-US"/>
        </w:rPr>
        <w:t xml:space="preserve"> She also filed a </w:t>
      </w:r>
      <w:r w:rsidR="00935380" w:rsidRPr="00AC57EA">
        <w:rPr>
          <w:kern w:val="2"/>
          <w:sz w:val="20"/>
          <w:szCs w:val="20"/>
          <w:lang w:val="en-US" w:eastAsia="en-US"/>
        </w:rPr>
        <w:t xml:space="preserve">similar </w:t>
      </w:r>
      <w:r w:rsidR="003C0E4F" w:rsidRPr="00AC57EA">
        <w:rPr>
          <w:kern w:val="2"/>
          <w:sz w:val="20"/>
          <w:szCs w:val="20"/>
          <w:lang w:val="en-US" w:eastAsia="en-US"/>
        </w:rPr>
        <w:t>complaint</w:t>
      </w:r>
      <w:r w:rsidR="00B72377" w:rsidRPr="00AC57EA">
        <w:rPr>
          <w:kern w:val="2"/>
          <w:sz w:val="20"/>
          <w:szCs w:val="20"/>
          <w:lang w:val="en-US" w:eastAsia="en-US"/>
        </w:rPr>
        <w:t xml:space="preserve"> against this physician before </w:t>
      </w:r>
      <w:r w:rsidR="00B7258C" w:rsidRPr="00AC57EA">
        <w:rPr>
          <w:kern w:val="2"/>
          <w:sz w:val="20"/>
          <w:szCs w:val="20"/>
          <w:lang w:val="en-US" w:eastAsia="en-US"/>
        </w:rPr>
        <w:t xml:space="preserve">the </w:t>
      </w:r>
      <w:r w:rsidR="00152A85" w:rsidRPr="00AC57EA">
        <w:rPr>
          <w:kern w:val="2"/>
          <w:sz w:val="20"/>
          <w:szCs w:val="20"/>
          <w:lang w:val="en-US" w:eastAsia="en-US"/>
        </w:rPr>
        <w:t>Disciplinary Committee</w:t>
      </w:r>
      <w:r w:rsidR="00B7258C" w:rsidRPr="00AC57EA">
        <w:rPr>
          <w:kern w:val="2"/>
          <w:sz w:val="20"/>
          <w:szCs w:val="20"/>
          <w:lang w:val="en-US" w:eastAsia="en-US"/>
        </w:rPr>
        <w:t xml:space="preserve"> of </w:t>
      </w:r>
      <w:r w:rsidR="000E74DA" w:rsidRPr="00AC57EA">
        <w:rPr>
          <w:kern w:val="2"/>
          <w:sz w:val="20"/>
          <w:szCs w:val="20"/>
          <w:lang w:val="en-US" w:eastAsia="en-US"/>
        </w:rPr>
        <w:t>the Supreme Court of Justice</w:t>
      </w:r>
      <w:r w:rsidR="00B5625C" w:rsidRPr="00AC57EA">
        <w:rPr>
          <w:kern w:val="2"/>
          <w:sz w:val="20"/>
          <w:szCs w:val="20"/>
          <w:lang w:val="en-US" w:eastAsia="en-US"/>
        </w:rPr>
        <w:t xml:space="preserve"> </w:t>
      </w:r>
      <w:r w:rsidR="008C14F4" w:rsidRPr="00AC57EA">
        <w:rPr>
          <w:kern w:val="2"/>
          <w:sz w:val="20"/>
          <w:szCs w:val="20"/>
          <w:lang w:val="en-US" w:eastAsia="en-US"/>
        </w:rPr>
        <w:t>(</w:t>
      </w:r>
      <w:r w:rsidR="008C14F4" w:rsidRPr="00AC57EA">
        <w:rPr>
          <w:i/>
          <w:kern w:val="2"/>
          <w:sz w:val="20"/>
          <w:szCs w:val="20"/>
          <w:lang w:val="en-US" w:eastAsia="en-US"/>
        </w:rPr>
        <w:t>supra</w:t>
      </w:r>
      <w:r w:rsidR="008C14F4" w:rsidRPr="00AC57EA">
        <w:rPr>
          <w:kern w:val="2"/>
          <w:sz w:val="20"/>
          <w:szCs w:val="20"/>
          <w:lang w:val="en-US" w:eastAsia="en-US"/>
        </w:rPr>
        <w:t xml:space="preserve"> </w:t>
      </w:r>
      <w:r w:rsidR="00171E27" w:rsidRPr="00AC57EA">
        <w:rPr>
          <w:kern w:val="2"/>
          <w:sz w:val="20"/>
          <w:szCs w:val="20"/>
          <w:lang w:val="en-US" w:eastAsia="en-US"/>
        </w:rPr>
        <w:t>para.</w:t>
      </w:r>
      <w:r w:rsidR="008C14F4" w:rsidRPr="00AC57EA">
        <w:rPr>
          <w:kern w:val="2"/>
          <w:sz w:val="20"/>
          <w:szCs w:val="20"/>
          <w:lang w:val="en-US" w:eastAsia="en-US"/>
        </w:rPr>
        <w:t xml:space="preserve"> 127)</w:t>
      </w:r>
      <w:r w:rsidR="00B5625C" w:rsidRPr="00AC57EA">
        <w:rPr>
          <w:kern w:val="2"/>
          <w:sz w:val="20"/>
          <w:szCs w:val="20"/>
          <w:lang w:val="en-US" w:eastAsia="en-US"/>
        </w:rPr>
        <w:t xml:space="preserve">. </w:t>
      </w:r>
      <w:r w:rsidR="00935380" w:rsidRPr="00AC57EA">
        <w:rPr>
          <w:kern w:val="2"/>
          <w:sz w:val="20"/>
          <w:szCs w:val="20"/>
          <w:lang w:val="en-US" w:eastAsia="en-US"/>
        </w:rPr>
        <w:t>In addition, she not only asked that the assistan</w:t>
      </w:r>
      <w:r w:rsidR="003C0E4F" w:rsidRPr="00AC57EA">
        <w:rPr>
          <w:kern w:val="2"/>
          <w:sz w:val="20"/>
          <w:szCs w:val="20"/>
          <w:lang w:val="en-US" w:eastAsia="en-US"/>
        </w:rPr>
        <w:t>t</w:t>
      </w:r>
      <w:r w:rsidR="00935380" w:rsidRPr="00AC57EA">
        <w:rPr>
          <w:kern w:val="2"/>
          <w:sz w:val="20"/>
          <w:szCs w:val="20"/>
          <w:lang w:val="en-US" w:eastAsia="en-US"/>
        </w:rPr>
        <w:t xml:space="preserve"> forensic physician conduct the procedure owing to the actions of the initial physician, but also stressed that “[the physician] was annoyed, which made [her] daughter nervous and she </w:t>
      </w:r>
      <w:r w:rsidR="00935380" w:rsidRPr="00AC57EA">
        <w:rPr>
          <w:kern w:val="2"/>
          <w:sz w:val="20"/>
          <w:szCs w:val="20"/>
          <w:lang w:val="en-US" w:eastAsia="en-US"/>
        </w:rPr>
        <w:lastRenderedPageBreak/>
        <w:t xml:space="preserve">therefore refused to let him, specifically, </w:t>
      </w:r>
      <w:r w:rsidR="00E44DEE" w:rsidRPr="00AC57EA">
        <w:rPr>
          <w:kern w:val="2"/>
          <w:sz w:val="20"/>
          <w:szCs w:val="20"/>
          <w:lang w:val="en-US" w:eastAsia="en-US"/>
        </w:rPr>
        <w:t>examine her</w:t>
      </w:r>
      <w:r w:rsidR="00935380" w:rsidRPr="00AC57EA">
        <w:rPr>
          <w:kern w:val="2"/>
          <w:sz w:val="20"/>
          <w:szCs w:val="20"/>
          <w:lang w:val="en-US" w:eastAsia="en-US"/>
        </w:rPr>
        <w:t>.</w:t>
      </w:r>
      <w:r w:rsidR="00B5625C" w:rsidRPr="00AC57EA">
        <w:rPr>
          <w:kern w:val="2"/>
          <w:sz w:val="20"/>
          <w:szCs w:val="20"/>
          <w:lang w:val="en-US" w:eastAsia="en-US"/>
        </w:rPr>
        <w:t>”</w:t>
      </w:r>
      <w:r w:rsidR="00B5625C" w:rsidRPr="00AC57EA">
        <w:rPr>
          <w:kern w:val="2"/>
          <w:sz w:val="20"/>
          <w:szCs w:val="20"/>
          <w:vertAlign w:val="superscript"/>
          <w:lang w:val="en-US" w:eastAsia="en-US"/>
        </w:rPr>
        <w:footnoteReference w:id="265"/>
      </w:r>
      <w:r w:rsidR="00B5625C" w:rsidRPr="00AC57EA">
        <w:rPr>
          <w:kern w:val="2"/>
          <w:sz w:val="20"/>
          <w:szCs w:val="20"/>
          <w:lang w:val="en-US" w:eastAsia="en-US"/>
        </w:rPr>
        <w:t xml:space="preserve"> V.P.C. </w:t>
      </w:r>
      <w:r w:rsidR="00935380" w:rsidRPr="00AC57EA">
        <w:rPr>
          <w:kern w:val="2"/>
          <w:sz w:val="20"/>
          <w:szCs w:val="20"/>
          <w:lang w:val="en-US" w:eastAsia="en-US"/>
        </w:rPr>
        <w:t>stated that the physician did not allow her to put a blanket under her daughter to alleviate her injuries, and when V.R.P. refused to submit to the examination, screaming and crying, the physician indicated that “</w:t>
      </w:r>
      <w:r w:rsidR="00E53564" w:rsidRPr="00AC57EA">
        <w:rPr>
          <w:kern w:val="2"/>
          <w:sz w:val="20"/>
          <w:szCs w:val="20"/>
          <w:lang w:val="en-US" w:eastAsia="en-US"/>
        </w:rPr>
        <w:t xml:space="preserve">why won’t she let herself be examined, normally </w:t>
      </w:r>
      <w:r w:rsidR="00C709C9" w:rsidRPr="00AC57EA">
        <w:rPr>
          <w:sz w:val="20"/>
          <w:szCs w:val="20"/>
          <w:lang w:val="en-US"/>
        </w:rPr>
        <w:t>girls from the countryside</w:t>
      </w:r>
      <w:r w:rsidR="00E53564" w:rsidRPr="00AC57EA">
        <w:rPr>
          <w:sz w:val="20"/>
          <w:szCs w:val="20"/>
          <w:lang w:val="en-US"/>
        </w:rPr>
        <w:t xml:space="preserve"> allow it, they come here, they </w:t>
      </w:r>
      <w:r w:rsidR="00C709C9" w:rsidRPr="00AC57EA">
        <w:rPr>
          <w:sz w:val="20"/>
          <w:szCs w:val="20"/>
          <w:lang w:val="en-US"/>
        </w:rPr>
        <w:t>open their legs and</w:t>
      </w:r>
      <w:r w:rsidR="00E53564" w:rsidRPr="00AC57EA">
        <w:rPr>
          <w:sz w:val="20"/>
          <w:szCs w:val="20"/>
          <w:lang w:val="en-US"/>
        </w:rPr>
        <w:t xml:space="preserve"> I examine them and they don’t complain </w:t>
      </w:r>
      <w:r w:rsidR="00C709C9" w:rsidRPr="00AC57EA">
        <w:rPr>
          <w:sz w:val="20"/>
          <w:szCs w:val="20"/>
          <w:lang w:val="en-US"/>
        </w:rPr>
        <w:t>[…]</w:t>
      </w:r>
      <w:r w:rsidR="00E53564" w:rsidRPr="00AC57EA">
        <w:rPr>
          <w:sz w:val="20"/>
          <w:szCs w:val="20"/>
          <w:lang w:val="en-US"/>
        </w:rPr>
        <w:t>. W</w:t>
      </w:r>
      <w:r w:rsidR="00C709C9" w:rsidRPr="00AC57EA">
        <w:rPr>
          <w:sz w:val="20"/>
          <w:szCs w:val="20"/>
          <w:lang w:val="en-US"/>
        </w:rPr>
        <w:t xml:space="preserve">hat will </w:t>
      </w:r>
      <w:r w:rsidR="00E44DEE" w:rsidRPr="00AC57EA">
        <w:rPr>
          <w:sz w:val="20"/>
          <w:szCs w:val="20"/>
          <w:lang w:val="en-US"/>
        </w:rPr>
        <w:t xml:space="preserve">you </w:t>
      </w:r>
      <w:r w:rsidR="00C709C9" w:rsidRPr="00AC57EA">
        <w:rPr>
          <w:sz w:val="20"/>
          <w:szCs w:val="20"/>
          <w:lang w:val="en-US"/>
        </w:rPr>
        <w:t>do when I examine your anus</w:t>
      </w:r>
      <w:r w:rsidR="00E12E88" w:rsidRPr="00AC57EA">
        <w:rPr>
          <w:kern w:val="2"/>
          <w:sz w:val="20"/>
          <w:szCs w:val="20"/>
          <w:lang w:val="en-US" w:eastAsia="en-US"/>
        </w:rPr>
        <w:t>?</w:t>
      </w:r>
      <w:r w:rsidR="00B5625C" w:rsidRPr="00AC57EA">
        <w:rPr>
          <w:kern w:val="2"/>
          <w:sz w:val="20"/>
          <w:szCs w:val="20"/>
          <w:lang w:val="en-US" w:eastAsia="en-US"/>
        </w:rPr>
        <w:t>”</w:t>
      </w:r>
      <w:r w:rsidR="00B5625C" w:rsidRPr="00AC57EA">
        <w:rPr>
          <w:kern w:val="2"/>
          <w:sz w:val="20"/>
          <w:szCs w:val="20"/>
          <w:vertAlign w:val="superscript"/>
          <w:lang w:val="en-US" w:eastAsia="en-US"/>
        </w:rPr>
        <w:footnoteReference w:id="266"/>
      </w:r>
      <w:r w:rsidR="00E53564" w:rsidRPr="00AC57EA">
        <w:rPr>
          <w:kern w:val="2"/>
          <w:sz w:val="20"/>
          <w:szCs w:val="20"/>
          <w:lang w:val="en-US" w:eastAsia="en-US"/>
        </w:rPr>
        <w:t xml:space="preserve"> These statements were corroborated by V.R.P.’s statement before this Court, and she also stressed that, owing to the mistreatment and brusqueness of the doctor when he examined her, she felt “as if she had been raped, but they told [her] that the examination had to be done so that [her] father would not get out [of prison].</w:t>
      </w:r>
      <w:r w:rsidR="00B5625C" w:rsidRPr="00AC57EA">
        <w:rPr>
          <w:kern w:val="2"/>
          <w:sz w:val="20"/>
          <w:szCs w:val="20"/>
          <w:lang w:val="en-US" w:eastAsia="en-US"/>
        </w:rPr>
        <w:t>”</w:t>
      </w:r>
      <w:r w:rsidR="00B5625C" w:rsidRPr="00AC57EA">
        <w:rPr>
          <w:kern w:val="2"/>
          <w:sz w:val="20"/>
          <w:szCs w:val="20"/>
          <w:vertAlign w:val="superscript"/>
          <w:lang w:val="en-US" w:eastAsia="en-US"/>
        </w:rPr>
        <w:footnoteReference w:id="267"/>
      </w:r>
    </w:p>
    <w:p w14:paraId="48C2F93B"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0E002507" w14:textId="2E327867" w:rsidR="000139BE" w:rsidRPr="00AC57EA" w:rsidRDefault="00B7258C" w:rsidP="000304E8">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B5625C" w:rsidRPr="00AC57EA">
        <w:rPr>
          <w:kern w:val="2"/>
          <w:sz w:val="20"/>
          <w:szCs w:val="20"/>
          <w:lang w:val="en-US" w:eastAsia="en-US"/>
        </w:rPr>
        <w:t xml:space="preserve"> consider</w:t>
      </w:r>
      <w:r w:rsidR="000139BE" w:rsidRPr="00AC57EA">
        <w:rPr>
          <w:kern w:val="2"/>
          <w:sz w:val="20"/>
          <w:szCs w:val="20"/>
          <w:lang w:val="en-US" w:eastAsia="en-US"/>
        </w:rPr>
        <w:t xml:space="preserve">s that, although a dispute exists with regard to the precise wording and content of the terms used by the forensic physician against </w:t>
      </w:r>
      <w:r w:rsidR="00B5625C" w:rsidRPr="00AC57EA">
        <w:rPr>
          <w:kern w:val="2"/>
          <w:sz w:val="20"/>
          <w:szCs w:val="20"/>
          <w:lang w:val="en-US" w:eastAsia="en-US"/>
        </w:rPr>
        <w:t>V.R.P. (</w:t>
      </w:r>
      <w:r w:rsidR="00B5625C" w:rsidRPr="00AC57EA">
        <w:rPr>
          <w:i/>
          <w:kern w:val="2"/>
          <w:sz w:val="20"/>
          <w:szCs w:val="20"/>
          <w:lang w:val="en-US" w:eastAsia="en-US"/>
        </w:rPr>
        <w:t xml:space="preserve">supra </w:t>
      </w:r>
      <w:r w:rsidR="00171E27" w:rsidRPr="00AC57EA">
        <w:rPr>
          <w:kern w:val="2"/>
          <w:sz w:val="20"/>
          <w:szCs w:val="20"/>
          <w:lang w:val="en-US" w:eastAsia="en-US"/>
        </w:rPr>
        <w:t>para.</w:t>
      </w:r>
      <w:r w:rsidR="00B5625C" w:rsidRPr="00AC57EA">
        <w:rPr>
          <w:kern w:val="2"/>
          <w:sz w:val="20"/>
          <w:szCs w:val="20"/>
          <w:lang w:val="en-US" w:eastAsia="en-US"/>
        </w:rPr>
        <w:t xml:space="preserve"> </w:t>
      </w:r>
      <w:r w:rsidR="00D66702" w:rsidRPr="00AC57EA">
        <w:rPr>
          <w:kern w:val="2"/>
          <w:sz w:val="20"/>
          <w:szCs w:val="20"/>
          <w:lang w:val="en-US" w:eastAsia="en-US"/>
        </w:rPr>
        <w:t>146</w:t>
      </w:r>
      <w:r w:rsidR="00B5625C" w:rsidRPr="00AC57EA">
        <w:rPr>
          <w:kern w:val="2"/>
          <w:sz w:val="20"/>
          <w:szCs w:val="20"/>
          <w:lang w:val="en-US" w:eastAsia="en-US"/>
        </w:rPr>
        <w:t xml:space="preserve">), </w:t>
      </w:r>
      <w:r w:rsidR="000139BE" w:rsidRPr="00AC57EA">
        <w:rPr>
          <w:kern w:val="2"/>
          <w:sz w:val="20"/>
          <w:szCs w:val="20"/>
          <w:lang w:val="en-US" w:eastAsia="en-US"/>
        </w:rPr>
        <w:t>it has been proved that the child flatly refused to undergo the examination and the medical professional tried to continue against the V.R.P.’s will, without taking her opinion or consent into account.</w:t>
      </w:r>
      <w:r w:rsidR="000139BE" w:rsidRPr="00AC57EA">
        <w:rPr>
          <w:rStyle w:val="Refdenotaalpie"/>
          <w:kern w:val="2"/>
          <w:sz w:val="20"/>
          <w:szCs w:val="20"/>
          <w:lang w:val="en-US" w:eastAsia="en-US"/>
        </w:rPr>
        <w:footnoteReference w:id="268"/>
      </w:r>
      <w:r w:rsidR="000139BE" w:rsidRPr="00AC57EA">
        <w:rPr>
          <w:kern w:val="2"/>
          <w:sz w:val="20"/>
          <w:szCs w:val="20"/>
          <w:lang w:val="en-US" w:eastAsia="en-US"/>
        </w:rPr>
        <w:t xml:space="preserve"> V.R.P.’s statement in the private hearing before this Court even reveals that the judge asked her to cooperate by indicating that, if the procedure was not conducted and she did not cooperate, her father would go free. On at least two occasions (</w:t>
      </w:r>
      <w:r w:rsidR="000139BE" w:rsidRPr="00AC57EA">
        <w:rPr>
          <w:i/>
          <w:kern w:val="2"/>
          <w:sz w:val="20"/>
          <w:szCs w:val="20"/>
          <w:lang w:val="en-US" w:eastAsia="en-US"/>
        </w:rPr>
        <w:t>supra</w:t>
      </w:r>
      <w:r w:rsidR="000139BE" w:rsidRPr="00AC57EA">
        <w:rPr>
          <w:kern w:val="2"/>
          <w:sz w:val="20"/>
          <w:szCs w:val="20"/>
          <w:lang w:val="en-US" w:eastAsia="en-US"/>
        </w:rPr>
        <w:t xml:space="preserve"> paras. 126 and 127), V.R.P.’s mother filed complaints in the domestic sphere in this regard and, according to the information provided by the State, the complaint filed with the Supreme Court of Justice was not processed due to lack of evidence, </w:t>
      </w:r>
      <w:r w:rsidR="007D161E" w:rsidRPr="00AC57EA">
        <w:rPr>
          <w:kern w:val="2"/>
          <w:sz w:val="20"/>
          <w:szCs w:val="20"/>
          <w:lang w:val="en-US" w:eastAsia="en-US"/>
        </w:rPr>
        <w:t>owing to which the case was closed (</w:t>
      </w:r>
      <w:r w:rsidR="007D161E" w:rsidRPr="00AC57EA">
        <w:rPr>
          <w:i/>
          <w:kern w:val="2"/>
          <w:sz w:val="20"/>
          <w:szCs w:val="20"/>
          <w:lang w:val="en-US" w:eastAsia="en-US"/>
        </w:rPr>
        <w:t>supra</w:t>
      </w:r>
      <w:r w:rsidR="007D161E" w:rsidRPr="00AC57EA">
        <w:rPr>
          <w:kern w:val="2"/>
          <w:sz w:val="20"/>
          <w:szCs w:val="20"/>
          <w:lang w:val="en-US" w:eastAsia="en-US"/>
        </w:rPr>
        <w:t xml:space="preserve"> para. 127). The fact that these complaints were filed, following the revictimizing actions of the forensic physician, reveals that V.P.C. was not satisfied with </w:t>
      </w:r>
      <w:r w:rsidR="00E44DEE" w:rsidRPr="00AC57EA">
        <w:rPr>
          <w:kern w:val="2"/>
          <w:sz w:val="20"/>
          <w:szCs w:val="20"/>
          <w:lang w:val="en-US" w:eastAsia="en-US"/>
        </w:rPr>
        <w:t xml:space="preserve">his </w:t>
      </w:r>
      <w:r w:rsidR="007D161E" w:rsidRPr="00AC57EA">
        <w:rPr>
          <w:kern w:val="2"/>
          <w:sz w:val="20"/>
          <w:szCs w:val="20"/>
          <w:lang w:val="en-US" w:eastAsia="en-US"/>
        </w:rPr>
        <w:t xml:space="preserve">professional competence, and the State not only failed to respond to </w:t>
      </w:r>
      <w:r w:rsidR="00E44DEE" w:rsidRPr="00AC57EA">
        <w:rPr>
          <w:kern w:val="2"/>
          <w:sz w:val="20"/>
          <w:szCs w:val="20"/>
          <w:lang w:val="en-US" w:eastAsia="en-US"/>
        </w:rPr>
        <w:t>her complaints</w:t>
      </w:r>
      <w:r w:rsidR="007D161E" w:rsidRPr="00AC57EA">
        <w:rPr>
          <w:kern w:val="2"/>
          <w:sz w:val="20"/>
          <w:szCs w:val="20"/>
          <w:lang w:val="en-US" w:eastAsia="en-US"/>
        </w:rPr>
        <w:t>, but blamed the child for failing to cooperate in the implementation of the procedure.</w:t>
      </w:r>
    </w:p>
    <w:p w14:paraId="02DBAC1B" w14:textId="55CD1EE4" w:rsidR="00545CA0" w:rsidRPr="00AC57EA" w:rsidRDefault="00545CA0" w:rsidP="000304E8">
      <w:pPr>
        <w:widowControl/>
        <w:tabs>
          <w:tab w:val="left" w:pos="567"/>
        </w:tabs>
        <w:adjustRightInd/>
        <w:spacing w:line="240" w:lineRule="auto"/>
        <w:textAlignment w:val="auto"/>
        <w:rPr>
          <w:kern w:val="2"/>
          <w:sz w:val="20"/>
          <w:szCs w:val="20"/>
          <w:lang w:val="en-US" w:eastAsia="en-US"/>
        </w:rPr>
      </w:pPr>
    </w:p>
    <w:p w14:paraId="40664CAB" w14:textId="5A95E0A3" w:rsidR="00B5625C" w:rsidRPr="00AC57EA" w:rsidRDefault="00E44DEE" w:rsidP="007D161E">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Consequently</w:t>
      </w:r>
      <w:r w:rsidR="007D161E" w:rsidRPr="00AC57EA">
        <w:rPr>
          <w:kern w:val="2"/>
          <w:sz w:val="20"/>
          <w:szCs w:val="20"/>
          <w:lang w:val="en-US" w:eastAsia="en-US"/>
        </w:rPr>
        <w:t>, the Court understands that the forensic physician did not conduct the medical evaluation appropriately, considering that it involved a child victim of rape, causing her to relive the traumatic situation instead of protecting her and providing her with mechanisms of containment that made her feel safe, understood and listened to during the procedure in order to avoid her revictimization.</w:t>
      </w:r>
      <w:r w:rsidR="00B5625C" w:rsidRPr="00AC57EA">
        <w:rPr>
          <w:kern w:val="2"/>
          <w:sz w:val="20"/>
          <w:szCs w:val="20"/>
          <w:vertAlign w:val="superscript"/>
          <w:lang w:val="en-US" w:eastAsia="en-US"/>
        </w:rPr>
        <w:footnoteReference w:id="269"/>
      </w:r>
      <w:r w:rsidR="007D161E" w:rsidRPr="00AC57EA">
        <w:rPr>
          <w:kern w:val="2"/>
          <w:sz w:val="20"/>
          <w:szCs w:val="20"/>
          <w:lang w:val="en-US" w:eastAsia="en-US"/>
        </w:rPr>
        <w:t xml:space="preserve"> Moreover, the Court finds that the use of force to continue the examination in view of the victim’s refusal, clearly constituted an act of institutional violence of a sexual nature.</w:t>
      </w:r>
    </w:p>
    <w:p w14:paraId="2F981331"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4043935D" w14:textId="41DEBB13" w:rsidR="00B5625C" w:rsidRPr="00AC57EA" w:rsidRDefault="007D161E" w:rsidP="005159BC">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Lastly</w:t>
      </w:r>
      <w:r w:rsidR="00B5625C" w:rsidRPr="00AC57EA">
        <w:rPr>
          <w:kern w:val="2"/>
          <w:sz w:val="20"/>
          <w:szCs w:val="20"/>
          <w:lang w:val="en-US" w:eastAsia="en-US"/>
        </w:rPr>
        <w:t xml:space="preserve">, </w:t>
      </w:r>
      <w:r w:rsidR="00B7258C" w:rsidRPr="00AC57EA">
        <w:rPr>
          <w:kern w:val="2"/>
          <w:sz w:val="20"/>
          <w:szCs w:val="20"/>
          <w:lang w:val="en-US" w:eastAsia="en-US"/>
        </w:rPr>
        <w:t>the Court</w:t>
      </w:r>
      <w:r w:rsidR="00B5625C" w:rsidRPr="00AC57EA">
        <w:rPr>
          <w:kern w:val="2"/>
          <w:sz w:val="20"/>
          <w:szCs w:val="20"/>
          <w:lang w:val="en-US" w:eastAsia="en-US"/>
        </w:rPr>
        <w:t xml:space="preserve"> </w:t>
      </w:r>
      <w:r w:rsidR="005159BC" w:rsidRPr="00AC57EA">
        <w:rPr>
          <w:kern w:val="2"/>
          <w:sz w:val="20"/>
          <w:szCs w:val="20"/>
          <w:lang w:val="en-US" w:eastAsia="en-US"/>
        </w:rPr>
        <w:t>has verified that, the same day that a female forensic physician conducted the examination under sedation in Managua after V.R.P. have given her consent,</w:t>
      </w:r>
      <w:r w:rsidR="005159BC" w:rsidRPr="00AC57EA">
        <w:rPr>
          <w:rStyle w:val="Refdenotaalpie"/>
          <w:kern w:val="2"/>
          <w:sz w:val="20"/>
          <w:szCs w:val="20"/>
          <w:lang w:val="en-US" w:eastAsia="en-US"/>
        </w:rPr>
        <w:footnoteReference w:id="270"/>
      </w:r>
      <w:r w:rsidR="005159BC" w:rsidRPr="00AC57EA">
        <w:rPr>
          <w:kern w:val="2"/>
          <w:sz w:val="20"/>
          <w:szCs w:val="20"/>
          <w:lang w:val="en-US" w:eastAsia="en-US"/>
        </w:rPr>
        <w:t xml:space="preserve"> her father</w:t>
      </w:r>
      <w:r w:rsidR="00E44DEE" w:rsidRPr="00AC57EA">
        <w:rPr>
          <w:kern w:val="2"/>
          <w:sz w:val="20"/>
          <w:szCs w:val="20"/>
          <w:lang w:val="en-US" w:eastAsia="en-US"/>
        </w:rPr>
        <w:t xml:space="preserve">, </w:t>
      </w:r>
      <w:r w:rsidR="005159BC" w:rsidRPr="00AC57EA">
        <w:rPr>
          <w:kern w:val="2"/>
          <w:sz w:val="20"/>
          <w:szCs w:val="20"/>
          <w:lang w:val="en-US" w:eastAsia="en-US"/>
        </w:rPr>
        <w:t>the presumed perpetrator</w:t>
      </w:r>
      <w:r w:rsidR="00E44DEE" w:rsidRPr="00AC57EA">
        <w:rPr>
          <w:kern w:val="2"/>
          <w:sz w:val="20"/>
          <w:szCs w:val="20"/>
          <w:lang w:val="en-US" w:eastAsia="en-US"/>
        </w:rPr>
        <w:t>,</w:t>
      </w:r>
      <w:r w:rsidR="005159BC" w:rsidRPr="00AC57EA">
        <w:rPr>
          <w:kern w:val="2"/>
          <w:sz w:val="20"/>
          <w:szCs w:val="20"/>
          <w:lang w:val="en-US" w:eastAsia="en-US"/>
        </w:rPr>
        <w:t xml:space="preserve"> was summoned to submit to a medical examination by the same entity</w:t>
      </w:r>
      <w:r w:rsidR="00DA305A" w:rsidRPr="00AC57EA">
        <w:rPr>
          <w:kern w:val="2"/>
          <w:sz w:val="20"/>
          <w:szCs w:val="20"/>
          <w:lang w:val="en-US" w:eastAsia="en-US"/>
        </w:rPr>
        <w:t xml:space="preserve"> (</w:t>
      </w:r>
      <w:r w:rsidR="00DA305A" w:rsidRPr="00AC57EA">
        <w:rPr>
          <w:i/>
          <w:kern w:val="2"/>
          <w:sz w:val="20"/>
          <w:szCs w:val="20"/>
          <w:lang w:val="en-US" w:eastAsia="en-US"/>
        </w:rPr>
        <w:t>supra</w:t>
      </w:r>
      <w:r w:rsidR="00A824D2" w:rsidRPr="00AC57EA">
        <w:rPr>
          <w:kern w:val="2"/>
          <w:sz w:val="20"/>
          <w:szCs w:val="20"/>
          <w:lang w:val="en-US" w:eastAsia="en-US"/>
        </w:rPr>
        <w:t xml:space="preserve"> </w:t>
      </w:r>
      <w:r w:rsidR="00171E27" w:rsidRPr="00AC57EA">
        <w:rPr>
          <w:kern w:val="2"/>
          <w:sz w:val="20"/>
          <w:szCs w:val="20"/>
          <w:lang w:val="en-US" w:eastAsia="en-US"/>
        </w:rPr>
        <w:t>para.</w:t>
      </w:r>
      <w:r w:rsidR="00A824D2" w:rsidRPr="00AC57EA">
        <w:rPr>
          <w:kern w:val="2"/>
          <w:sz w:val="20"/>
          <w:szCs w:val="20"/>
          <w:lang w:val="en-US" w:eastAsia="en-US"/>
        </w:rPr>
        <w:t xml:space="preserve"> 91</w:t>
      </w:r>
      <w:r w:rsidR="00DA305A" w:rsidRPr="00AC57EA">
        <w:rPr>
          <w:kern w:val="2"/>
          <w:sz w:val="20"/>
          <w:szCs w:val="20"/>
          <w:lang w:val="en-US" w:eastAsia="en-US"/>
        </w:rPr>
        <w:t>)</w:t>
      </w:r>
      <w:r w:rsidR="00B5625C" w:rsidRPr="00AC57EA">
        <w:rPr>
          <w:kern w:val="2"/>
          <w:sz w:val="20"/>
          <w:szCs w:val="20"/>
          <w:lang w:val="en-US" w:eastAsia="en-US"/>
        </w:rPr>
        <w:t xml:space="preserve">. </w:t>
      </w:r>
      <w:r w:rsidR="005159BC" w:rsidRPr="00AC57EA">
        <w:rPr>
          <w:kern w:val="2"/>
          <w:sz w:val="20"/>
          <w:szCs w:val="20"/>
          <w:lang w:val="en-US" w:eastAsia="en-US"/>
        </w:rPr>
        <w:t>In this regard,</w:t>
      </w:r>
      <w:r w:rsidR="00B5625C" w:rsidRPr="00AC57EA">
        <w:rPr>
          <w:kern w:val="2"/>
          <w:sz w:val="20"/>
          <w:szCs w:val="20"/>
          <w:lang w:val="en-US" w:eastAsia="en-US"/>
        </w:rPr>
        <w:t xml:space="preserve"> V.P.C. </w:t>
      </w:r>
      <w:r w:rsidR="005159BC" w:rsidRPr="00AC57EA">
        <w:rPr>
          <w:kern w:val="2"/>
          <w:sz w:val="20"/>
          <w:szCs w:val="20"/>
          <w:lang w:val="en-US" w:eastAsia="en-US"/>
        </w:rPr>
        <w:t>stated during the</w:t>
      </w:r>
      <w:r w:rsidR="00B5625C" w:rsidRPr="00AC57EA">
        <w:rPr>
          <w:kern w:val="2"/>
          <w:sz w:val="20"/>
          <w:szCs w:val="20"/>
          <w:lang w:val="en-US" w:eastAsia="en-US"/>
        </w:rPr>
        <w:t xml:space="preserve"> </w:t>
      </w:r>
      <w:r w:rsidR="00517CF7" w:rsidRPr="00AC57EA">
        <w:rPr>
          <w:kern w:val="2"/>
          <w:sz w:val="20"/>
          <w:szCs w:val="20"/>
          <w:lang w:val="en-US" w:eastAsia="en-US"/>
        </w:rPr>
        <w:t>public hearing</w:t>
      </w:r>
      <w:r w:rsidR="00B5625C" w:rsidRPr="00AC57EA">
        <w:rPr>
          <w:kern w:val="2"/>
          <w:sz w:val="20"/>
          <w:szCs w:val="20"/>
          <w:lang w:val="en-US" w:eastAsia="en-US"/>
        </w:rPr>
        <w:t xml:space="preserve"> </w:t>
      </w:r>
      <w:r w:rsidR="005159BC" w:rsidRPr="00AC57EA">
        <w:rPr>
          <w:kern w:val="2"/>
          <w:sz w:val="20"/>
          <w:szCs w:val="20"/>
          <w:lang w:val="en-US" w:eastAsia="en-US"/>
        </w:rPr>
        <w:t>that</w:t>
      </w:r>
      <w:r w:rsidR="00B5625C" w:rsidRPr="00AC57EA">
        <w:rPr>
          <w:kern w:val="2"/>
          <w:sz w:val="20"/>
          <w:szCs w:val="20"/>
          <w:lang w:val="en-US" w:eastAsia="en-US"/>
        </w:rPr>
        <w:t xml:space="preserve"> </w:t>
      </w:r>
      <w:r w:rsidR="005159BC" w:rsidRPr="00AC57EA">
        <w:rPr>
          <w:kern w:val="2"/>
          <w:sz w:val="20"/>
          <w:szCs w:val="20"/>
          <w:lang w:val="en-US" w:eastAsia="en-US"/>
        </w:rPr>
        <w:t>they went “to t</w:t>
      </w:r>
      <w:r w:rsidR="00803AB0" w:rsidRPr="00AC57EA">
        <w:rPr>
          <w:kern w:val="2"/>
          <w:sz w:val="20"/>
          <w:szCs w:val="20"/>
          <w:lang w:val="en-US" w:eastAsia="en-US"/>
        </w:rPr>
        <w:t>he Institute of Forensic Medicine</w:t>
      </w:r>
      <w:r w:rsidR="00171E27" w:rsidRPr="00AC57EA">
        <w:rPr>
          <w:kern w:val="2"/>
          <w:sz w:val="20"/>
          <w:szCs w:val="20"/>
          <w:lang w:val="en-US" w:eastAsia="en-US"/>
        </w:rPr>
        <w:t xml:space="preserve"> and</w:t>
      </w:r>
      <w:r w:rsidR="005159BC" w:rsidRPr="00AC57EA">
        <w:rPr>
          <w:kern w:val="2"/>
          <w:sz w:val="20"/>
          <w:szCs w:val="20"/>
          <w:lang w:val="en-US" w:eastAsia="en-US"/>
        </w:rPr>
        <w:t>, unexpectedly, at th</w:t>
      </w:r>
      <w:r w:rsidR="00E44DEE" w:rsidRPr="00AC57EA">
        <w:rPr>
          <w:kern w:val="2"/>
          <w:sz w:val="20"/>
          <w:szCs w:val="20"/>
          <w:lang w:val="en-US" w:eastAsia="en-US"/>
        </w:rPr>
        <w:t>e</w:t>
      </w:r>
      <w:r w:rsidR="005159BC" w:rsidRPr="00AC57EA">
        <w:rPr>
          <w:kern w:val="2"/>
          <w:sz w:val="20"/>
          <w:szCs w:val="20"/>
          <w:lang w:val="en-US" w:eastAsia="en-US"/>
        </w:rPr>
        <w:t xml:space="preserve"> moment [they] arrived, the accused was also in the room, as the judge had ordered him to come to be examined […].” </w:t>
      </w:r>
      <w:r w:rsidR="00B5625C" w:rsidRPr="00AC57EA">
        <w:rPr>
          <w:kern w:val="2"/>
          <w:sz w:val="20"/>
          <w:szCs w:val="20"/>
          <w:lang w:val="en-US" w:eastAsia="en-US"/>
        </w:rPr>
        <w:t>V.P.C.</w:t>
      </w:r>
      <w:r w:rsidR="005159BC" w:rsidRPr="00AC57EA">
        <w:rPr>
          <w:kern w:val="2"/>
          <w:sz w:val="20"/>
          <w:szCs w:val="20"/>
          <w:lang w:val="en-US" w:eastAsia="en-US"/>
        </w:rPr>
        <w:t xml:space="preserve"> indicated that they tried to avoid her daughter seeing her aggressor, but she might have seen him.</w:t>
      </w:r>
      <w:r w:rsidR="00B5625C" w:rsidRPr="00AC57EA">
        <w:rPr>
          <w:kern w:val="2"/>
          <w:sz w:val="20"/>
          <w:szCs w:val="20"/>
          <w:lang w:val="en-US" w:eastAsia="en-US"/>
        </w:rPr>
        <w:t xml:space="preserve"> </w:t>
      </w:r>
    </w:p>
    <w:p w14:paraId="4877023B" w14:textId="77777777" w:rsidR="005159BC" w:rsidRPr="00AC57EA" w:rsidRDefault="005159BC" w:rsidP="005159BC">
      <w:pPr>
        <w:widowControl/>
        <w:tabs>
          <w:tab w:val="left" w:pos="567"/>
        </w:tabs>
        <w:adjustRightInd/>
        <w:spacing w:line="240" w:lineRule="auto"/>
        <w:jc w:val="left"/>
        <w:textAlignment w:val="auto"/>
        <w:rPr>
          <w:kern w:val="2"/>
          <w:sz w:val="20"/>
          <w:szCs w:val="20"/>
          <w:lang w:val="en-US" w:eastAsia="en-US"/>
        </w:rPr>
      </w:pPr>
    </w:p>
    <w:p w14:paraId="7B793E68" w14:textId="148CB7DB" w:rsidR="00B5625C" w:rsidRPr="00AC57EA" w:rsidRDefault="005159BC" w:rsidP="009F412E">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In this regard</w:t>
      </w:r>
      <w:r w:rsidR="00B5625C" w:rsidRPr="00AC57EA">
        <w:rPr>
          <w:kern w:val="2"/>
          <w:sz w:val="20"/>
          <w:szCs w:val="20"/>
          <w:lang w:val="en-US" w:eastAsia="en-US"/>
        </w:rPr>
        <w:t>,</w:t>
      </w:r>
      <w:r w:rsidR="00DA305A" w:rsidRPr="00AC57EA">
        <w:rPr>
          <w:kern w:val="2"/>
          <w:sz w:val="20"/>
          <w:szCs w:val="20"/>
          <w:lang w:val="en-US" w:eastAsia="en-US"/>
        </w:rPr>
        <w:t xml:space="preserve"> </w:t>
      </w:r>
      <w:r w:rsidR="00B7258C" w:rsidRPr="00AC57EA">
        <w:rPr>
          <w:kern w:val="2"/>
          <w:sz w:val="20"/>
          <w:szCs w:val="20"/>
          <w:lang w:val="en-US" w:eastAsia="en-US"/>
        </w:rPr>
        <w:t>the Court</w:t>
      </w:r>
      <w:r w:rsidR="00DA305A" w:rsidRPr="00AC57EA">
        <w:rPr>
          <w:kern w:val="2"/>
          <w:sz w:val="20"/>
          <w:szCs w:val="20"/>
          <w:lang w:val="en-US" w:eastAsia="en-US"/>
        </w:rPr>
        <w:t xml:space="preserve"> </w:t>
      </w:r>
      <w:r w:rsidRPr="00AC57EA">
        <w:rPr>
          <w:kern w:val="2"/>
          <w:sz w:val="20"/>
          <w:szCs w:val="20"/>
          <w:lang w:val="en-US" w:eastAsia="en-US"/>
        </w:rPr>
        <w:t xml:space="preserve">emphasizes that the two expert witnesses who testified during the </w:t>
      </w:r>
      <w:r w:rsidR="00517CF7" w:rsidRPr="00AC57EA">
        <w:rPr>
          <w:kern w:val="2"/>
          <w:sz w:val="20"/>
          <w:szCs w:val="20"/>
          <w:lang w:val="en-US" w:eastAsia="en-US"/>
        </w:rPr>
        <w:t>public hearing</w:t>
      </w:r>
      <w:r w:rsidR="00B5625C" w:rsidRPr="00AC57EA">
        <w:rPr>
          <w:kern w:val="2"/>
          <w:sz w:val="20"/>
          <w:szCs w:val="20"/>
          <w:lang w:val="en-US" w:eastAsia="en-US"/>
        </w:rPr>
        <w:t xml:space="preserve"> </w:t>
      </w:r>
      <w:r w:rsidRPr="00AC57EA">
        <w:rPr>
          <w:kern w:val="2"/>
          <w:sz w:val="20"/>
          <w:szCs w:val="20"/>
          <w:lang w:val="en-US" w:eastAsia="en-US"/>
        </w:rPr>
        <w:t>in this case agreed that the domestic authorities – in this specific case, the judge in charge of the investigation – should have adopted the necessary measures of protection to avoid the victim having any type of contact with her aggressor, as this was revictimizing.</w:t>
      </w:r>
      <w:r w:rsidR="000F1648" w:rsidRPr="00AC57EA">
        <w:rPr>
          <w:kern w:val="2"/>
          <w:sz w:val="20"/>
          <w:szCs w:val="20"/>
          <w:vertAlign w:val="superscript"/>
          <w:lang w:val="en-US" w:eastAsia="en-US"/>
        </w:rPr>
        <w:footnoteReference w:id="271"/>
      </w:r>
      <w:r w:rsidR="00B5625C" w:rsidRPr="00AC57EA">
        <w:rPr>
          <w:kern w:val="2"/>
          <w:sz w:val="20"/>
          <w:szCs w:val="20"/>
          <w:lang w:val="en-US" w:eastAsia="en-US"/>
        </w:rPr>
        <w:t xml:space="preserve"> </w:t>
      </w:r>
      <w:r w:rsidRPr="00AC57EA">
        <w:rPr>
          <w:kern w:val="2"/>
          <w:sz w:val="20"/>
          <w:szCs w:val="20"/>
          <w:lang w:val="en-US" w:eastAsia="en-US"/>
        </w:rPr>
        <w:t>Specifically</w:t>
      </w:r>
      <w:r w:rsidR="0031520C" w:rsidRPr="00AC57EA">
        <w:rPr>
          <w:kern w:val="2"/>
          <w:sz w:val="20"/>
          <w:szCs w:val="20"/>
          <w:lang w:val="en-US" w:eastAsia="en-US"/>
        </w:rPr>
        <w:t xml:space="preserve">, </w:t>
      </w:r>
      <w:r w:rsidR="009935FA" w:rsidRPr="00AC57EA">
        <w:rPr>
          <w:kern w:val="2"/>
          <w:sz w:val="20"/>
          <w:szCs w:val="20"/>
          <w:lang w:val="en-US" w:eastAsia="en-US"/>
        </w:rPr>
        <w:t>expert witness</w:t>
      </w:r>
      <w:r w:rsidR="00B5625C" w:rsidRPr="00AC57EA">
        <w:rPr>
          <w:kern w:val="2"/>
          <w:sz w:val="20"/>
          <w:szCs w:val="20"/>
          <w:lang w:val="en-US" w:eastAsia="en-US"/>
        </w:rPr>
        <w:t xml:space="preserve"> </w:t>
      </w:r>
      <w:r w:rsidR="00A824D2" w:rsidRPr="00AC57EA">
        <w:rPr>
          <w:kern w:val="2"/>
          <w:sz w:val="20"/>
          <w:szCs w:val="20"/>
          <w:lang w:val="en-US" w:eastAsia="en-US"/>
        </w:rPr>
        <w:t xml:space="preserve">Enrique Oscar Stola </w:t>
      </w:r>
      <w:r w:rsidRPr="00AC57EA">
        <w:rPr>
          <w:kern w:val="2"/>
          <w:sz w:val="20"/>
          <w:szCs w:val="20"/>
          <w:lang w:val="en-US" w:eastAsia="en-US"/>
        </w:rPr>
        <w:t>indicated that</w:t>
      </w:r>
      <w:r w:rsidR="00A824D2" w:rsidRPr="00AC57EA">
        <w:rPr>
          <w:kern w:val="2"/>
          <w:sz w:val="20"/>
          <w:szCs w:val="20"/>
          <w:lang w:val="en-US" w:eastAsia="en-US"/>
        </w:rPr>
        <w:t>:</w:t>
      </w:r>
    </w:p>
    <w:p w14:paraId="755C23FF"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6ADDF687" w14:textId="7AB6B20D" w:rsidR="00B5625C" w:rsidRPr="00AC57EA" w:rsidRDefault="005C259E" w:rsidP="00540CCA">
      <w:pPr>
        <w:widowControl/>
        <w:tabs>
          <w:tab w:val="left" w:pos="9072"/>
        </w:tabs>
        <w:adjustRightInd/>
        <w:spacing w:line="240" w:lineRule="auto"/>
        <w:ind w:left="567" w:right="582"/>
        <w:textAlignment w:val="auto"/>
        <w:rPr>
          <w:kern w:val="2"/>
          <w:sz w:val="16"/>
          <w:szCs w:val="16"/>
          <w:lang w:val="en-US" w:eastAsia="en-US"/>
        </w:rPr>
      </w:pPr>
      <w:r w:rsidRPr="00AC57EA">
        <w:rPr>
          <w:kern w:val="2"/>
          <w:sz w:val="16"/>
          <w:szCs w:val="16"/>
          <w:lang w:val="en-US" w:eastAsia="en-US"/>
        </w:rPr>
        <w:t xml:space="preserve">[…] </w:t>
      </w:r>
      <w:r w:rsidR="00B5625C" w:rsidRPr="00AC57EA">
        <w:rPr>
          <w:kern w:val="2"/>
          <w:sz w:val="16"/>
          <w:szCs w:val="16"/>
          <w:lang w:val="en-US" w:eastAsia="en-US"/>
        </w:rPr>
        <w:t>n</w:t>
      </w:r>
      <w:r w:rsidR="00DC12D0" w:rsidRPr="00AC57EA">
        <w:rPr>
          <w:kern w:val="2"/>
          <w:sz w:val="16"/>
          <w:szCs w:val="16"/>
          <w:lang w:val="en-US" w:eastAsia="en-US"/>
        </w:rPr>
        <w:t xml:space="preserve">ever, neither boys, nor abused girls, nor women who are suffering extreme gender-based violence must meet their aggressors, never. When this happens, the only thing that the victim perceives is the immense power that the aggressor has; it is a matter of power that is in play […]. Therefore, he should be summoned another day. The victims must go to the judicial offices knowing that they are safe, that they will never meet the aggressor. The mere fact that they know that he is on another floor of the building causes them anxiety, concern and a great deal of tension. That is revictimizing, whatever </w:t>
      </w:r>
      <w:r w:rsidR="00540CCA" w:rsidRPr="00AC57EA">
        <w:rPr>
          <w:kern w:val="2"/>
          <w:sz w:val="16"/>
          <w:szCs w:val="16"/>
          <w:lang w:val="en-US" w:eastAsia="en-US"/>
        </w:rPr>
        <w:t>a</w:t>
      </w:r>
      <w:r w:rsidR="00DC12D0" w:rsidRPr="00AC57EA">
        <w:rPr>
          <w:kern w:val="2"/>
          <w:sz w:val="16"/>
          <w:szCs w:val="16"/>
          <w:lang w:val="en-US" w:eastAsia="en-US"/>
        </w:rPr>
        <w:t xml:space="preserve"> </w:t>
      </w:r>
      <w:r w:rsidR="00540CCA" w:rsidRPr="00AC57EA">
        <w:rPr>
          <w:kern w:val="2"/>
          <w:sz w:val="16"/>
          <w:szCs w:val="16"/>
          <w:lang w:val="en-US" w:eastAsia="en-US"/>
        </w:rPr>
        <w:t xml:space="preserve">person’s </w:t>
      </w:r>
      <w:r w:rsidR="00DC12D0" w:rsidRPr="00AC57EA">
        <w:rPr>
          <w:kern w:val="2"/>
          <w:sz w:val="16"/>
          <w:szCs w:val="16"/>
          <w:lang w:val="en-US" w:eastAsia="en-US"/>
        </w:rPr>
        <w:t>age.</w:t>
      </w:r>
      <w:r w:rsidR="00B5625C" w:rsidRPr="00AC57EA">
        <w:rPr>
          <w:kern w:val="2"/>
          <w:sz w:val="16"/>
          <w:szCs w:val="16"/>
          <w:vertAlign w:val="superscript"/>
          <w:lang w:val="en-US" w:eastAsia="en-US"/>
        </w:rPr>
        <w:footnoteReference w:id="272"/>
      </w:r>
    </w:p>
    <w:p w14:paraId="604793D9"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34FFE0F2" w14:textId="694E0501" w:rsidR="00B5625C" w:rsidRPr="00AC57EA" w:rsidRDefault="00540CCA" w:rsidP="00540CCA">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The Court considers that whether or not the child saw her father in the offices of the Institute of Forensic Medicine is irrelevant, because the judicial authority should have taken the necessary </w:t>
      </w:r>
      <w:r w:rsidR="00E44DEE" w:rsidRPr="00AC57EA">
        <w:rPr>
          <w:kern w:val="2"/>
          <w:sz w:val="20"/>
          <w:szCs w:val="20"/>
          <w:lang w:val="en-US" w:eastAsia="en-US"/>
        </w:rPr>
        <w:t>steps</w:t>
      </w:r>
      <w:r w:rsidRPr="00AC57EA">
        <w:rPr>
          <w:kern w:val="2"/>
          <w:sz w:val="20"/>
          <w:szCs w:val="20"/>
          <w:lang w:val="en-US" w:eastAsia="en-US"/>
        </w:rPr>
        <w:t xml:space="preserve"> – for example, summon him on another occasion – to prevent this happening. The mere possibility of a meeting as the result of the lack of strict due diligence in the actions of the judicial authorities during the investigations procedures consisted in an act of revictimization and an act of institutional violence.</w:t>
      </w:r>
    </w:p>
    <w:p w14:paraId="57657A15"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6B094D1F" w14:textId="22F8F030" w:rsidR="00AD1B18" w:rsidRPr="00AC57EA" w:rsidRDefault="00AD1B18" w:rsidP="00AD1B18">
      <w:pPr>
        <w:pStyle w:val="Ttulo3"/>
        <w:rPr>
          <w:b w:val="0"/>
          <w:i/>
          <w:lang w:val="en-US"/>
        </w:rPr>
      </w:pPr>
      <w:bookmarkStart w:id="121" w:name="_Toc514172633"/>
      <w:r w:rsidRPr="00AC57EA">
        <w:rPr>
          <w:b w:val="0"/>
          <w:i/>
          <w:lang w:val="en-US"/>
        </w:rPr>
        <w:t xml:space="preserve">A.2.c </w:t>
      </w:r>
      <w:r w:rsidRPr="00AC57EA">
        <w:rPr>
          <w:b w:val="0"/>
          <w:i/>
          <w:lang w:val="en-US"/>
        </w:rPr>
        <w:tab/>
      </w:r>
      <w:r w:rsidR="005B71A5" w:rsidRPr="00AC57EA">
        <w:rPr>
          <w:b w:val="0"/>
          <w:i/>
          <w:lang w:val="en-US"/>
        </w:rPr>
        <w:t>V.R.P.’s statement</w:t>
      </w:r>
      <w:bookmarkEnd w:id="121"/>
    </w:p>
    <w:p w14:paraId="5EE081C4" w14:textId="77777777" w:rsidR="00AD1B18" w:rsidRPr="00AC57EA" w:rsidRDefault="00AD1B18" w:rsidP="00B5625C">
      <w:pPr>
        <w:widowControl/>
        <w:adjustRightInd/>
        <w:spacing w:line="240" w:lineRule="auto"/>
        <w:jc w:val="left"/>
        <w:textAlignment w:val="auto"/>
        <w:rPr>
          <w:kern w:val="2"/>
          <w:sz w:val="20"/>
          <w:szCs w:val="20"/>
          <w:lang w:val="en-US" w:eastAsia="en-US"/>
        </w:rPr>
      </w:pPr>
    </w:p>
    <w:p w14:paraId="65DF1E6F" w14:textId="18116DE3" w:rsidR="00B5625C" w:rsidRPr="00AC57EA" w:rsidRDefault="00B7258C" w:rsidP="00E42BFC">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9F412E" w:rsidRPr="00AC57EA">
        <w:rPr>
          <w:kern w:val="2"/>
          <w:sz w:val="20"/>
          <w:szCs w:val="20"/>
          <w:lang w:val="en-US" w:eastAsia="en-US"/>
        </w:rPr>
        <w:t xml:space="preserve"> </w:t>
      </w:r>
      <w:r w:rsidR="00E42BFC" w:rsidRPr="00AC57EA">
        <w:rPr>
          <w:kern w:val="2"/>
          <w:sz w:val="20"/>
          <w:szCs w:val="20"/>
          <w:lang w:val="en-US" w:eastAsia="en-US"/>
        </w:rPr>
        <w:t>notes that</w:t>
      </w:r>
      <w:r w:rsidR="00B5625C" w:rsidRPr="00AC57EA">
        <w:rPr>
          <w:kern w:val="2"/>
          <w:sz w:val="20"/>
          <w:szCs w:val="20"/>
          <w:lang w:val="en-US" w:eastAsia="en-US"/>
        </w:rPr>
        <w:t xml:space="preserve"> V.R.P.</w:t>
      </w:r>
      <w:r w:rsidR="00E42BFC" w:rsidRPr="00AC57EA">
        <w:rPr>
          <w:kern w:val="2"/>
          <w:sz w:val="20"/>
          <w:szCs w:val="20"/>
          <w:lang w:val="en-US" w:eastAsia="en-US"/>
        </w:rPr>
        <w:t>’s statement was received</w:t>
      </w:r>
      <w:r w:rsidR="00B5625C" w:rsidRPr="00AC57EA">
        <w:rPr>
          <w:kern w:val="2"/>
          <w:sz w:val="20"/>
          <w:szCs w:val="20"/>
          <w:lang w:val="en-US" w:eastAsia="en-US"/>
        </w:rPr>
        <w:t xml:space="preserve"> </w:t>
      </w:r>
      <w:r w:rsidR="000E74DA" w:rsidRPr="00AC57EA">
        <w:rPr>
          <w:kern w:val="2"/>
          <w:sz w:val="20"/>
          <w:szCs w:val="20"/>
          <w:lang w:val="en-US" w:eastAsia="en-US"/>
        </w:rPr>
        <w:t>on November 21,</w:t>
      </w:r>
      <w:r w:rsidR="00B5625C" w:rsidRPr="00AC57EA">
        <w:rPr>
          <w:kern w:val="2"/>
          <w:sz w:val="20"/>
          <w:szCs w:val="20"/>
          <w:lang w:val="en-US" w:eastAsia="en-US"/>
        </w:rPr>
        <w:t xml:space="preserve"> 2001, </w:t>
      </w:r>
      <w:r w:rsidR="00E42BFC" w:rsidRPr="00AC57EA">
        <w:rPr>
          <w:kern w:val="2"/>
          <w:sz w:val="20"/>
          <w:szCs w:val="20"/>
          <w:lang w:val="en-US" w:eastAsia="en-US"/>
        </w:rPr>
        <w:t xml:space="preserve">in the presence of her mother and before the </w:t>
      </w:r>
      <w:r w:rsidR="00E7170A" w:rsidRPr="00AC57EA">
        <w:rPr>
          <w:kern w:val="2"/>
          <w:sz w:val="20"/>
          <w:szCs w:val="20"/>
          <w:lang w:val="en-US" w:eastAsia="en-US"/>
        </w:rPr>
        <w:t>District Criminal Judge</w:t>
      </w:r>
      <w:r w:rsidR="00B5625C" w:rsidRPr="00AC57EA">
        <w:rPr>
          <w:kern w:val="2"/>
          <w:sz w:val="20"/>
          <w:szCs w:val="20"/>
          <w:lang w:val="en-US" w:eastAsia="en-US"/>
        </w:rPr>
        <w:t>,</w:t>
      </w:r>
      <w:r w:rsidR="00E42BFC" w:rsidRPr="00AC57EA">
        <w:rPr>
          <w:kern w:val="2"/>
          <w:sz w:val="20"/>
          <w:szCs w:val="20"/>
          <w:lang w:val="en-US" w:eastAsia="en-US"/>
        </w:rPr>
        <w:t xml:space="preserve"> in her offices and with the participation of a health professional with specially training in providing support in this type of case.</w:t>
      </w:r>
      <w:r w:rsidR="00B5625C" w:rsidRPr="00AC57EA">
        <w:rPr>
          <w:kern w:val="2"/>
          <w:sz w:val="20"/>
          <w:szCs w:val="20"/>
          <w:vertAlign w:val="superscript"/>
          <w:lang w:val="en-US" w:eastAsia="en-US"/>
        </w:rPr>
        <w:footnoteReference w:id="273"/>
      </w:r>
      <w:r w:rsidR="00E42BFC" w:rsidRPr="00AC57EA">
        <w:rPr>
          <w:kern w:val="2"/>
          <w:sz w:val="20"/>
          <w:szCs w:val="20"/>
          <w:lang w:val="en-US" w:eastAsia="en-US"/>
        </w:rPr>
        <w:t xml:space="preserve"> The Court finds that, depending on the case and the need to receive a child’s statement if she agrees to it, it should be done in conditions that provide a safe environment. The Court considers that the purpose of V.R.P.’s statement was to obtain precise, reliable and complete information on the facts denounced. The judge in the case asked whether V.R.P felt she had been offended, why and by whom. In response, the child’s statement reveals that her account was free and given in her own words. However, the Court note the V.R.P</w:t>
      </w:r>
      <w:r w:rsidR="009D4527" w:rsidRPr="00AC57EA">
        <w:rPr>
          <w:kern w:val="2"/>
          <w:sz w:val="20"/>
          <w:szCs w:val="20"/>
          <w:lang w:val="en-US" w:eastAsia="en-US"/>
        </w:rPr>
        <w:t>. was summoned to the judge’s offices to testify as if she had been an adult; the interview was not conducted in an environment especially adapted to this purpose and by a professional specifically trained to question, interact and conduct an exchange with a child. Thus, such interviews should be conducted by psychologists or professionals in similar disciplines who have received specific training to receive such statements. The Court considers that none of these safeguards were provided to V.R.P. during the statement she made in the domestic criminal proceedings</w:t>
      </w:r>
      <w:r w:rsidR="00B5625C" w:rsidRPr="00AC57EA">
        <w:rPr>
          <w:kern w:val="2"/>
          <w:sz w:val="20"/>
          <w:szCs w:val="20"/>
          <w:lang w:val="en-US" w:eastAsia="en-US"/>
        </w:rPr>
        <w:t>.</w:t>
      </w:r>
    </w:p>
    <w:p w14:paraId="3B9F672F" w14:textId="77777777" w:rsidR="00B5625C" w:rsidRPr="00AC57EA" w:rsidRDefault="00B5625C" w:rsidP="00B5625C">
      <w:pPr>
        <w:widowControl/>
        <w:adjustRightInd/>
        <w:spacing w:line="240" w:lineRule="auto"/>
        <w:jc w:val="left"/>
        <w:textAlignment w:val="auto"/>
        <w:rPr>
          <w:i/>
          <w:kern w:val="2"/>
          <w:sz w:val="20"/>
          <w:szCs w:val="20"/>
          <w:lang w:val="en-US" w:eastAsia="en-US"/>
        </w:rPr>
      </w:pPr>
    </w:p>
    <w:p w14:paraId="6D464E43" w14:textId="469B213E" w:rsidR="00B5625C" w:rsidRPr="00AC57EA" w:rsidRDefault="00A92F94" w:rsidP="00A92F94">
      <w:pPr>
        <w:pStyle w:val="Ttulo3"/>
        <w:rPr>
          <w:b w:val="0"/>
          <w:i/>
          <w:lang w:val="en-US"/>
        </w:rPr>
      </w:pPr>
      <w:bookmarkStart w:id="122" w:name="_Toc514172634"/>
      <w:r w:rsidRPr="00AC57EA">
        <w:rPr>
          <w:b w:val="0"/>
          <w:i/>
          <w:lang w:val="en-US"/>
        </w:rPr>
        <w:t>A</w:t>
      </w:r>
      <w:r w:rsidR="00AD1B18" w:rsidRPr="00AC57EA">
        <w:rPr>
          <w:b w:val="0"/>
          <w:i/>
          <w:lang w:val="en-US"/>
        </w:rPr>
        <w:t>.2.d</w:t>
      </w:r>
      <w:r w:rsidR="00F977EC" w:rsidRPr="00AC57EA">
        <w:rPr>
          <w:b w:val="0"/>
          <w:i/>
          <w:lang w:val="en-US"/>
        </w:rPr>
        <w:tab/>
      </w:r>
      <w:r w:rsidR="005B71A5" w:rsidRPr="00AC57EA">
        <w:rPr>
          <w:b w:val="0"/>
          <w:i/>
          <w:lang w:val="en-US"/>
        </w:rPr>
        <w:t xml:space="preserve">The participation of V.R.P. in the visual </w:t>
      </w:r>
      <w:r w:rsidR="009E1B73" w:rsidRPr="00AC57EA">
        <w:rPr>
          <w:b w:val="0"/>
          <w:i/>
          <w:lang w:val="en-US"/>
        </w:rPr>
        <w:t>inspection and reconstruction</w:t>
      </w:r>
      <w:r w:rsidR="005B71A5" w:rsidRPr="00AC57EA">
        <w:rPr>
          <w:b w:val="0"/>
          <w:i/>
          <w:lang w:val="en-US"/>
        </w:rPr>
        <w:t xml:space="preserve"> of the events</w:t>
      </w:r>
      <w:bookmarkEnd w:id="122"/>
    </w:p>
    <w:p w14:paraId="3D355886" w14:textId="77777777" w:rsidR="00B5625C" w:rsidRPr="00AC57EA" w:rsidRDefault="00B5625C" w:rsidP="00B5625C">
      <w:pPr>
        <w:widowControl/>
        <w:adjustRightInd/>
        <w:spacing w:line="240" w:lineRule="auto"/>
        <w:jc w:val="left"/>
        <w:textAlignment w:val="auto"/>
        <w:rPr>
          <w:i/>
          <w:kern w:val="2"/>
          <w:sz w:val="20"/>
          <w:szCs w:val="20"/>
          <w:lang w:val="en-US" w:eastAsia="en-US"/>
        </w:rPr>
      </w:pPr>
    </w:p>
    <w:p w14:paraId="4291F402" w14:textId="7838A754" w:rsidR="00C602E9" w:rsidRPr="00AC57EA" w:rsidRDefault="00986A34" w:rsidP="00005FB3">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On November 29,</w:t>
      </w:r>
      <w:r w:rsidR="00B5625C" w:rsidRPr="00AC57EA">
        <w:rPr>
          <w:kern w:val="2"/>
          <w:sz w:val="20"/>
          <w:szCs w:val="20"/>
          <w:lang w:val="en-US" w:eastAsia="en-US"/>
        </w:rPr>
        <w:t xml:space="preserve"> 2001</w:t>
      </w:r>
      <w:r w:rsidR="009D4527" w:rsidRPr="00AC57EA">
        <w:rPr>
          <w:kern w:val="2"/>
          <w:sz w:val="20"/>
          <w:szCs w:val="20"/>
          <w:lang w:val="en-US" w:eastAsia="en-US"/>
        </w:rPr>
        <w:t xml:space="preserve">, the visual inspection was carried out in the place where V.R.P. was raped and the events were reconstructed with the child’s direct participation </w:t>
      </w:r>
      <w:r w:rsidR="00005FB3" w:rsidRPr="00AC57EA">
        <w:rPr>
          <w:kern w:val="2"/>
          <w:sz w:val="20"/>
          <w:szCs w:val="20"/>
          <w:lang w:val="en-US" w:eastAsia="en-US"/>
        </w:rPr>
        <w:t>(</w:t>
      </w:r>
      <w:r w:rsidR="00005FB3" w:rsidRPr="00AC57EA">
        <w:rPr>
          <w:i/>
          <w:kern w:val="2"/>
          <w:sz w:val="20"/>
          <w:szCs w:val="20"/>
          <w:lang w:val="en-US" w:eastAsia="en-US"/>
        </w:rPr>
        <w:t>supra</w:t>
      </w:r>
      <w:r w:rsidR="00005FB3" w:rsidRPr="00AC57EA">
        <w:rPr>
          <w:kern w:val="2"/>
          <w:sz w:val="20"/>
          <w:szCs w:val="20"/>
          <w:lang w:val="en-US" w:eastAsia="en-US"/>
        </w:rPr>
        <w:t xml:space="preserve"> </w:t>
      </w:r>
      <w:r w:rsidR="00171E27" w:rsidRPr="00AC57EA">
        <w:rPr>
          <w:kern w:val="2"/>
          <w:sz w:val="20"/>
          <w:szCs w:val="20"/>
          <w:lang w:val="en-US" w:eastAsia="en-US"/>
        </w:rPr>
        <w:t>para.</w:t>
      </w:r>
      <w:r w:rsidR="00005FB3" w:rsidRPr="00AC57EA">
        <w:rPr>
          <w:kern w:val="2"/>
          <w:sz w:val="20"/>
          <w:szCs w:val="20"/>
          <w:lang w:val="en-US" w:eastAsia="en-US"/>
        </w:rPr>
        <w:t xml:space="preserve"> </w:t>
      </w:r>
      <w:r w:rsidR="00316EA1" w:rsidRPr="00AC57EA">
        <w:rPr>
          <w:kern w:val="2"/>
          <w:sz w:val="20"/>
          <w:szCs w:val="20"/>
          <w:lang w:val="en-US" w:eastAsia="en-US"/>
        </w:rPr>
        <w:t>88</w:t>
      </w:r>
      <w:r w:rsidR="00005FB3" w:rsidRPr="00AC57EA">
        <w:rPr>
          <w:kern w:val="2"/>
          <w:sz w:val="20"/>
          <w:szCs w:val="20"/>
          <w:lang w:val="en-US" w:eastAsia="en-US"/>
        </w:rPr>
        <w:t>)</w:t>
      </w:r>
      <w:r w:rsidR="00B5625C" w:rsidRPr="00AC57EA">
        <w:rPr>
          <w:kern w:val="2"/>
          <w:sz w:val="20"/>
          <w:szCs w:val="20"/>
          <w:lang w:val="en-US" w:eastAsia="en-US"/>
        </w:rPr>
        <w:t>.</w:t>
      </w:r>
    </w:p>
    <w:p w14:paraId="744AB6B5" w14:textId="77777777" w:rsidR="00C602E9" w:rsidRPr="00AC57EA" w:rsidRDefault="00C602E9" w:rsidP="00C602E9">
      <w:pPr>
        <w:widowControl/>
        <w:tabs>
          <w:tab w:val="left" w:pos="567"/>
        </w:tabs>
        <w:adjustRightInd/>
        <w:spacing w:line="240" w:lineRule="auto"/>
        <w:textAlignment w:val="auto"/>
        <w:rPr>
          <w:kern w:val="2"/>
          <w:sz w:val="20"/>
          <w:szCs w:val="20"/>
          <w:lang w:val="en-US" w:eastAsia="en-US"/>
        </w:rPr>
      </w:pPr>
    </w:p>
    <w:p w14:paraId="2C6608C6" w14:textId="0C763754" w:rsidR="00C602E9" w:rsidRPr="00AC57EA" w:rsidRDefault="00B7258C" w:rsidP="00C602E9">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lastRenderedPageBreak/>
        <w:t>The Court</w:t>
      </w:r>
      <w:r w:rsidR="00C602E9" w:rsidRPr="00AC57EA">
        <w:rPr>
          <w:kern w:val="2"/>
          <w:sz w:val="20"/>
          <w:szCs w:val="20"/>
          <w:lang w:val="en-US" w:eastAsia="en-US"/>
        </w:rPr>
        <w:t xml:space="preserve"> ha</w:t>
      </w:r>
      <w:r w:rsidR="009D4527" w:rsidRPr="00AC57EA">
        <w:rPr>
          <w:kern w:val="2"/>
          <w:sz w:val="20"/>
          <w:szCs w:val="20"/>
          <w:lang w:val="en-US" w:eastAsia="en-US"/>
        </w:rPr>
        <w:t xml:space="preserve">s indicated that </w:t>
      </w:r>
      <w:r w:rsidR="003C0AC1" w:rsidRPr="00AC57EA">
        <w:rPr>
          <w:kern w:val="2"/>
          <w:sz w:val="20"/>
          <w:szCs w:val="20"/>
          <w:lang w:val="en-US" w:eastAsia="en-US"/>
        </w:rPr>
        <w:t>female child</w:t>
      </w:r>
      <w:r w:rsidR="009D4527" w:rsidRPr="00AC57EA">
        <w:rPr>
          <w:kern w:val="2"/>
          <w:sz w:val="20"/>
          <w:szCs w:val="20"/>
          <w:lang w:val="en-US" w:eastAsia="en-US"/>
        </w:rPr>
        <w:t>ren who are victims of a crime, especially of rape, should only take part in the procedures that are strictly necessary (</w:t>
      </w:r>
      <w:r w:rsidR="009D4527" w:rsidRPr="00AC57EA">
        <w:rPr>
          <w:i/>
          <w:kern w:val="2"/>
          <w:sz w:val="20"/>
          <w:szCs w:val="20"/>
          <w:lang w:val="en-US" w:eastAsia="en-US"/>
        </w:rPr>
        <w:t>supra</w:t>
      </w:r>
      <w:r w:rsidR="009D4527" w:rsidRPr="00AC57EA">
        <w:rPr>
          <w:kern w:val="2"/>
          <w:sz w:val="20"/>
          <w:szCs w:val="20"/>
          <w:lang w:val="en-US" w:eastAsia="en-US"/>
        </w:rPr>
        <w:t xml:space="preserve"> para. 163). The Court finds that, in cases such as this, every effort should be made to avoid revictimization or a traumatic impact. Consequently, it is especially serious that, in this case, the judicial authorities permitted V.R.P., who was nine years of age – in other words a young child – to take part in a</w:t>
      </w:r>
      <w:r w:rsidR="00C602E9" w:rsidRPr="00AC57EA">
        <w:rPr>
          <w:kern w:val="2"/>
          <w:sz w:val="20"/>
          <w:szCs w:val="20"/>
          <w:lang w:val="en-US" w:eastAsia="en-US"/>
        </w:rPr>
        <w:t xml:space="preserve"> </w:t>
      </w:r>
      <w:r w:rsidR="009D4527" w:rsidRPr="00AC57EA">
        <w:rPr>
          <w:kern w:val="2"/>
          <w:sz w:val="20"/>
          <w:szCs w:val="20"/>
          <w:lang w:val="en-US" w:eastAsia="en-US"/>
        </w:rPr>
        <w:t>v</w:t>
      </w:r>
      <w:r w:rsidR="00986A34" w:rsidRPr="00AC57EA">
        <w:rPr>
          <w:kern w:val="2"/>
          <w:sz w:val="20"/>
          <w:szCs w:val="20"/>
          <w:lang w:val="en-US" w:eastAsia="en-US"/>
        </w:rPr>
        <w:t>isual inspection and reconstruction of the events</w:t>
      </w:r>
      <w:r w:rsidR="009D4527" w:rsidRPr="00AC57EA">
        <w:rPr>
          <w:kern w:val="2"/>
          <w:sz w:val="20"/>
          <w:szCs w:val="20"/>
          <w:lang w:val="en-US" w:eastAsia="en-US"/>
        </w:rPr>
        <w:t>. Due to her participation</w:t>
      </w:r>
      <w:r w:rsidR="00C602E9" w:rsidRPr="00AC57EA">
        <w:rPr>
          <w:kern w:val="2"/>
          <w:sz w:val="20"/>
          <w:szCs w:val="20"/>
          <w:lang w:val="en-US" w:eastAsia="en-US"/>
        </w:rPr>
        <w:t xml:space="preserve">, V.R.P. </w:t>
      </w:r>
      <w:r w:rsidR="009D4527" w:rsidRPr="00AC57EA">
        <w:rPr>
          <w:kern w:val="2"/>
          <w:sz w:val="20"/>
          <w:szCs w:val="20"/>
          <w:lang w:val="en-US" w:eastAsia="en-US"/>
        </w:rPr>
        <w:t>had to relive experience</w:t>
      </w:r>
      <w:r w:rsidR="000F5D92" w:rsidRPr="00AC57EA">
        <w:rPr>
          <w:kern w:val="2"/>
          <w:sz w:val="20"/>
          <w:szCs w:val="20"/>
          <w:lang w:val="en-US" w:eastAsia="en-US"/>
        </w:rPr>
        <w:t>s</w:t>
      </w:r>
      <w:r w:rsidR="009D4527" w:rsidRPr="00AC57EA">
        <w:rPr>
          <w:kern w:val="2"/>
          <w:sz w:val="20"/>
          <w:szCs w:val="20"/>
          <w:lang w:val="en-US" w:eastAsia="en-US"/>
        </w:rPr>
        <w:t xml:space="preserve"> that were extremely painful and traumatic; had to again recount the facts, even though she had already done this before the judge in her statement, and even had to again experience the act of placing herself</w:t>
      </w:r>
      <w:r w:rsidR="0097001A" w:rsidRPr="00AC57EA">
        <w:rPr>
          <w:kern w:val="2"/>
          <w:sz w:val="20"/>
          <w:szCs w:val="20"/>
          <w:lang w:val="en-US" w:eastAsia="en-US"/>
        </w:rPr>
        <w:t xml:space="preserve"> in the position in which she recalled finding herself when she awoke after the abuse to which she had been subjected, a moment that was photographed.</w:t>
      </w:r>
    </w:p>
    <w:p w14:paraId="205EE651" w14:textId="77777777" w:rsidR="000F5D92" w:rsidRPr="00AC57EA" w:rsidRDefault="000F5D92" w:rsidP="000F5D92">
      <w:pPr>
        <w:widowControl/>
        <w:tabs>
          <w:tab w:val="left" w:pos="567"/>
        </w:tabs>
        <w:adjustRightInd/>
        <w:spacing w:line="240" w:lineRule="auto"/>
        <w:textAlignment w:val="auto"/>
        <w:rPr>
          <w:kern w:val="2"/>
          <w:sz w:val="20"/>
          <w:szCs w:val="20"/>
          <w:lang w:val="en-US" w:eastAsia="en-US"/>
        </w:rPr>
      </w:pPr>
    </w:p>
    <w:p w14:paraId="616B52A5" w14:textId="69B9EE6B" w:rsidR="00364DCD" w:rsidRPr="00AC57EA" w:rsidRDefault="00B5625C" w:rsidP="00CF0FFD">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V.R.P. </w:t>
      </w:r>
      <w:r w:rsidR="00CF0FFD" w:rsidRPr="00AC57EA">
        <w:rPr>
          <w:kern w:val="2"/>
          <w:sz w:val="20"/>
          <w:szCs w:val="20"/>
          <w:lang w:val="en-US" w:eastAsia="en-US"/>
        </w:rPr>
        <w:t xml:space="preserve">informed this Court that her participation in the said procedure meant reliving an extremely traumatic situation, which made her feel “as if [she] was there again, the same feelings, the same pain, the same things. She also indicated that, when they went to Managua, she hid and covered herself when they passed by the place where she was sexually abused, because she never wanted to see the place again. V.R.P. also recounted how, despite this, against her will and without her consent, the judge asked her to take part in the procedure in order to keep her father in prison, and she even saw him when they arrived at the place for the reconstruction of the facts. Indeed, she told this Court that “the judge said that if the procedure </w:t>
      </w:r>
      <w:r w:rsidR="0000161F" w:rsidRPr="00AC57EA">
        <w:rPr>
          <w:kern w:val="2"/>
          <w:sz w:val="20"/>
          <w:szCs w:val="20"/>
          <w:lang w:val="en-US" w:eastAsia="en-US"/>
        </w:rPr>
        <w:t>were</w:t>
      </w:r>
      <w:r w:rsidR="00CF0FFD" w:rsidRPr="00AC57EA">
        <w:rPr>
          <w:kern w:val="2"/>
          <w:sz w:val="20"/>
          <w:szCs w:val="20"/>
          <w:lang w:val="en-US" w:eastAsia="en-US"/>
        </w:rPr>
        <w:t xml:space="preserve"> not carried out, [her] father would be set free. [… </w:t>
      </w:r>
      <w:r w:rsidR="0000161F" w:rsidRPr="00AC57EA">
        <w:rPr>
          <w:kern w:val="2"/>
          <w:sz w:val="20"/>
          <w:szCs w:val="20"/>
          <w:lang w:val="en-US" w:eastAsia="en-US"/>
        </w:rPr>
        <w:t>so,</w:t>
      </w:r>
      <w:r w:rsidR="00CF0FFD" w:rsidRPr="00AC57EA">
        <w:rPr>
          <w:kern w:val="2"/>
          <w:sz w:val="20"/>
          <w:szCs w:val="20"/>
          <w:lang w:val="en-US" w:eastAsia="en-US"/>
        </w:rPr>
        <w:t xml:space="preserve"> she] simply did what they asked in order to able to leave that place and, after all that, [her] father was released.” She added that she not only had to return to the same </w:t>
      </w:r>
      <w:r w:rsidR="00C87A8A" w:rsidRPr="00AC57EA">
        <w:rPr>
          <w:kern w:val="2"/>
          <w:sz w:val="20"/>
          <w:szCs w:val="20"/>
          <w:lang w:val="en-US" w:eastAsia="en-US"/>
        </w:rPr>
        <w:t>location</w:t>
      </w:r>
      <w:r w:rsidR="00CF0FFD" w:rsidRPr="00AC57EA">
        <w:rPr>
          <w:kern w:val="2"/>
          <w:sz w:val="20"/>
          <w:szCs w:val="20"/>
          <w:lang w:val="en-US" w:eastAsia="en-US"/>
        </w:rPr>
        <w:t xml:space="preserve"> and p</w:t>
      </w:r>
      <w:r w:rsidR="00C87A8A" w:rsidRPr="00AC57EA">
        <w:rPr>
          <w:kern w:val="2"/>
          <w:sz w:val="20"/>
          <w:szCs w:val="20"/>
          <w:lang w:val="en-US" w:eastAsia="en-US"/>
        </w:rPr>
        <w:t>lace</w:t>
      </w:r>
      <w:r w:rsidR="00CF0FFD" w:rsidRPr="00AC57EA">
        <w:rPr>
          <w:kern w:val="2"/>
          <w:sz w:val="20"/>
          <w:szCs w:val="20"/>
          <w:lang w:val="en-US" w:eastAsia="en-US"/>
        </w:rPr>
        <w:t xml:space="preserve"> herself in the same position in which she was abused, but they made [her] wear the clothes that [she] was wearing that day.</w:t>
      </w:r>
      <w:r w:rsidR="00AF3CE7" w:rsidRPr="00AC57EA">
        <w:rPr>
          <w:sz w:val="20"/>
          <w:szCs w:val="20"/>
          <w:vertAlign w:val="superscript"/>
          <w:lang w:val="en-US" w:eastAsia="en-US"/>
        </w:rPr>
        <w:footnoteReference w:id="274"/>
      </w:r>
    </w:p>
    <w:p w14:paraId="72A17120"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367DDF1F" w14:textId="32D762A5" w:rsidR="00B5625C" w:rsidRPr="00AC57EA" w:rsidRDefault="00C87A8A" w:rsidP="00C87A8A">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Both the expert witnesses who provided their opinions to this Court indicated that the participation of V.R.P. in the procedure of the visual inspection and reconstruction of the events constituted a serious act of institutional violence. </w:t>
      </w:r>
      <w:r w:rsidR="009935FA" w:rsidRPr="00AC57EA">
        <w:rPr>
          <w:kern w:val="2"/>
          <w:sz w:val="20"/>
          <w:szCs w:val="20"/>
          <w:lang w:val="en-US" w:eastAsia="en-US"/>
        </w:rPr>
        <w:t>Expert witness</w:t>
      </w:r>
      <w:r w:rsidR="00B5625C" w:rsidRPr="00AC57EA">
        <w:rPr>
          <w:kern w:val="2"/>
          <w:sz w:val="20"/>
          <w:szCs w:val="20"/>
          <w:lang w:val="en-US" w:eastAsia="en-US"/>
        </w:rPr>
        <w:t xml:space="preserve"> Enrique Oscar Stola </w:t>
      </w:r>
      <w:r w:rsidRPr="00AC57EA">
        <w:rPr>
          <w:kern w:val="2"/>
          <w:sz w:val="20"/>
          <w:szCs w:val="20"/>
          <w:lang w:val="en-US" w:eastAsia="en-US"/>
        </w:rPr>
        <w:t xml:space="preserve">asserted that it was “the first time in [his] </w:t>
      </w:r>
      <w:r w:rsidR="000F5D92" w:rsidRPr="00AC57EA">
        <w:rPr>
          <w:kern w:val="2"/>
          <w:sz w:val="20"/>
          <w:szCs w:val="20"/>
          <w:lang w:val="en-US" w:eastAsia="en-US"/>
        </w:rPr>
        <w:t xml:space="preserve">40-year </w:t>
      </w:r>
      <w:r w:rsidRPr="00AC57EA">
        <w:rPr>
          <w:kern w:val="2"/>
          <w:sz w:val="20"/>
          <w:szCs w:val="20"/>
          <w:lang w:val="en-US" w:eastAsia="en-US"/>
        </w:rPr>
        <w:t>professional career [that he had seen] that a raped child, […] was taken to the place to reconstruct the events; that should not have been done […]. Everything that was done [was] revictimizing. This included, making her take up the position she was in when she was sexually assaulted or the fact that there are photographs […] of that traumatic situation. Having to relive that traumatic situation was of no help to her, the only thing it did was deepen the trauma.” He added that “a child or a young women who has been raped, abused, or a woman who has been violated, never has to go and recreate the experience.</w:t>
      </w:r>
      <w:r w:rsidR="00B5625C" w:rsidRPr="00AC57EA">
        <w:rPr>
          <w:kern w:val="2"/>
          <w:sz w:val="20"/>
          <w:szCs w:val="20"/>
          <w:lang w:val="en-US" w:eastAsia="en-US"/>
        </w:rPr>
        <w:t>”</w:t>
      </w:r>
      <w:r w:rsidR="00B5625C" w:rsidRPr="00AC57EA">
        <w:rPr>
          <w:kern w:val="2"/>
          <w:sz w:val="20"/>
          <w:szCs w:val="20"/>
          <w:vertAlign w:val="superscript"/>
          <w:lang w:val="en-US" w:eastAsia="en-US"/>
        </w:rPr>
        <w:footnoteReference w:id="275"/>
      </w:r>
    </w:p>
    <w:p w14:paraId="15E583E7"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2101EE04" w14:textId="4C8B4AC4" w:rsidR="00B5625C" w:rsidRPr="00AC57EA" w:rsidRDefault="00C87A8A" w:rsidP="003E6398">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Meanwhile</w:t>
      </w:r>
      <w:r w:rsidR="00B5625C" w:rsidRPr="00AC57EA">
        <w:rPr>
          <w:kern w:val="2"/>
          <w:sz w:val="20"/>
          <w:szCs w:val="20"/>
          <w:lang w:val="en-US" w:eastAsia="en-US"/>
        </w:rPr>
        <w:t xml:space="preserve">, </w:t>
      </w:r>
      <w:r w:rsidR="009935FA" w:rsidRPr="00AC57EA">
        <w:rPr>
          <w:kern w:val="2"/>
          <w:sz w:val="20"/>
          <w:szCs w:val="20"/>
          <w:lang w:val="en-US" w:eastAsia="en-US"/>
        </w:rPr>
        <w:t>expert witness</w:t>
      </w:r>
      <w:r w:rsidR="00B5625C" w:rsidRPr="00AC57EA">
        <w:rPr>
          <w:kern w:val="2"/>
          <w:sz w:val="20"/>
          <w:szCs w:val="20"/>
          <w:lang w:val="en-US" w:eastAsia="en-US"/>
        </w:rPr>
        <w:t xml:space="preserve"> Miguel Cillero Bruñol </w:t>
      </w:r>
      <w:r w:rsidR="003E6398" w:rsidRPr="00AC57EA">
        <w:rPr>
          <w:kern w:val="2"/>
          <w:sz w:val="20"/>
          <w:szCs w:val="20"/>
          <w:lang w:val="en-US" w:eastAsia="en-US"/>
        </w:rPr>
        <w:t>indicated that</w:t>
      </w:r>
      <w:r w:rsidR="00B5625C" w:rsidRPr="00AC57EA">
        <w:rPr>
          <w:kern w:val="2"/>
          <w:sz w:val="20"/>
          <w:szCs w:val="20"/>
          <w:lang w:val="en-US" w:eastAsia="en-US"/>
        </w:rPr>
        <w:t xml:space="preserve"> “</w:t>
      </w:r>
      <w:r w:rsidR="003E6398" w:rsidRPr="00AC57EA">
        <w:rPr>
          <w:kern w:val="2"/>
          <w:sz w:val="20"/>
          <w:szCs w:val="20"/>
          <w:lang w:val="en-US" w:eastAsia="en-US"/>
        </w:rPr>
        <w:t>the reconstruction of the events, as an evidentiary procedure that is generally not recommended, has been almost eliminated from comparative law in those cases in which we are in the presence of female child victims of sexual offenses and, also, the conditions in which that reconstruction of the events was carried out, in this case in particular, denote an extreme lack of care and professionalism, in the sense that it was carried out exactly as if the victim had been an adult.</w:t>
      </w:r>
      <w:r w:rsidR="00B5625C" w:rsidRPr="00AC57EA">
        <w:rPr>
          <w:kern w:val="2"/>
          <w:sz w:val="20"/>
          <w:szCs w:val="20"/>
          <w:lang w:val="en-US" w:eastAsia="en-US"/>
        </w:rPr>
        <w:t>”</w:t>
      </w:r>
      <w:r w:rsidR="00B5625C" w:rsidRPr="00AC57EA">
        <w:rPr>
          <w:kern w:val="2"/>
          <w:sz w:val="20"/>
          <w:szCs w:val="20"/>
          <w:vertAlign w:val="superscript"/>
          <w:lang w:val="en-US" w:eastAsia="en-US"/>
        </w:rPr>
        <w:footnoteReference w:id="276"/>
      </w:r>
    </w:p>
    <w:p w14:paraId="6214D2A9"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53E29AF9" w14:textId="24FEC136" w:rsidR="00EB7709" w:rsidRPr="00AC57EA" w:rsidRDefault="00B5625C" w:rsidP="006D31AC">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Ad</w:t>
      </w:r>
      <w:r w:rsidR="003E6398" w:rsidRPr="00AC57EA">
        <w:rPr>
          <w:kern w:val="2"/>
          <w:sz w:val="20"/>
          <w:szCs w:val="20"/>
          <w:lang w:val="en-US" w:eastAsia="en-US"/>
        </w:rPr>
        <w:t>ditionally</w:t>
      </w:r>
      <w:r w:rsidRPr="00AC57EA">
        <w:rPr>
          <w:kern w:val="2"/>
          <w:sz w:val="20"/>
          <w:szCs w:val="20"/>
          <w:lang w:val="en-US" w:eastAsia="en-US"/>
        </w:rPr>
        <w:t xml:space="preserve">, V.R.P. </w:t>
      </w:r>
      <w:r w:rsidR="006D31AC" w:rsidRPr="00AC57EA">
        <w:rPr>
          <w:kern w:val="2"/>
          <w:sz w:val="20"/>
          <w:szCs w:val="20"/>
          <w:lang w:val="en-US" w:eastAsia="en-US"/>
        </w:rPr>
        <w:t xml:space="preserve">stated before this Court that she </w:t>
      </w:r>
      <w:r w:rsidR="000F5D92" w:rsidRPr="00AC57EA">
        <w:rPr>
          <w:kern w:val="2"/>
          <w:sz w:val="20"/>
          <w:szCs w:val="20"/>
          <w:lang w:val="en-US" w:eastAsia="en-US"/>
        </w:rPr>
        <w:t>had informed</w:t>
      </w:r>
      <w:r w:rsidR="006D31AC" w:rsidRPr="00AC57EA">
        <w:rPr>
          <w:kern w:val="2"/>
          <w:sz w:val="20"/>
          <w:szCs w:val="20"/>
          <w:lang w:val="en-US" w:eastAsia="en-US"/>
        </w:rPr>
        <w:t xml:space="preserve"> the psychiatrist who accompanied her of her refusal to take part in the </w:t>
      </w:r>
      <w:r w:rsidR="000F5D92" w:rsidRPr="00AC57EA">
        <w:rPr>
          <w:kern w:val="2"/>
          <w:sz w:val="20"/>
          <w:szCs w:val="20"/>
          <w:lang w:val="en-US" w:eastAsia="en-US"/>
        </w:rPr>
        <w:t>re</w:t>
      </w:r>
      <w:r w:rsidR="006D31AC" w:rsidRPr="00AC57EA">
        <w:rPr>
          <w:kern w:val="2"/>
          <w:sz w:val="20"/>
          <w:szCs w:val="20"/>
          <w:lang w:val="en-US" w:eastAsia="en-US"/>
        </w:rPr>
        <w:t xml:space="preserve">construction of the events, and the psychiatrist informed the judge, who decided to continue with the procedure, and even indicated that, if it was not </w:t>
      </w:r>
      <w:r w:rsidR="000F5D92" w:rsidRPr="00AC57EA">
        <w:rPr>
          <w:kern w:val="2"/>
          <w:sz w:val="20"/>
          <w:szCs w:val="20"/>
          <w:lang w:val="en-US" w:eastAsia="en-US"/>
        </w:rPr>
        <w:t>carried out</w:t>
      </w:r>
      <w:r w:rsidR="006D31AC" w:rsidRPr="00AC57EA">
        <w:rPr>
          <w:kern w:val="2"/>
          <w:sz w:val="20"/>
          <w:szCs w:val="20"/>
          <w:lang w:val="en-US" w:eastAsia="en-US"/>
        </w:rPr>
        <w:t>, the child’s father would be released from prison.</w:t>
      </w:r>
      <w:r w:rsidRPr="00AC57EA">
        <w:rPr>
          <w:kern w:val="2"/>
          <w:sz w:val="20"/>
          <w:szCs w:val="20"/>
          <w:vertAlign w:val="superscript"/>
          <w:lang w:val="en-US" w:eastAsia="en-US"/>
        </w:rPr>
        <w:footnoteReference w:id="277"/>
      </w:r>
      <w:r w:rsidRPr="00AC57EA">
        <w:rPr>
          <w:kern w:val="2"/>
          <w:sz w:val="20"/>
          <w:szCs w:val="20"/>
          <w:lang w:val="en-US" w:eastAsia="en-US"/>
        </w:rPr>
        <w:t xml:space="preserve"> </w:t>
      </w:r>
      <w:r w:rsidR="00B7258C" w:rsidRPr="00AC57EA">
        <w:rPr>
          <w:kern w:val="2"/>
          <w:sz w:val="20"/>
          <w:szCs w:val="20"/>
          <w:lang w:val="en-US" w:eastAsia="en-US"/>
        </w:rPr>
        <w:t>The Court</w:t>
      </w:r>
      <w:r w:rsidRPr="00AC57EA">
        <w:rPr>
          <w:kern w:val="2"/>
          <w:sz w:val="20"/>
          <w:szCs w:val="20"/>
          <w:lang w:val="en-US" w:eastAsia="en-US"/>
        </w:rPr>
        <w:t xml:space="preserve"> consider</w:t>
      </w:r>
      <w:r w:rsidR="006D31AC" w:rsidRPr="00AC57EA">
        <w:rPr>
          <w:kern w:val="2"/>
          <w:sz w:val="20"/>
          <w:szCs w:val="20"/>
          <w:lang w:val="en-US" w:eastAsia="en-US"/>
        </w:rPr>
        <w:t xml:space="preserve">s that, in </w:t>
      </w:r>
      <w:r w:rsidR="006D31AC" w:rsidRPr="00AC57EA">
        <w:rPr>
          <w:kern w:val="2"/>
          <w:sz w:val="20"/>
          <w:szCs w:val="20"/>
          <w:lang w:val="en-US" w:eastAsia="en-US"/>
        </w:rPr>
        <w:lastRenderedPageBreak/>
        <w:t>addition to being revictimizing, the procedure did not find it relevant that the child, with her maturity and based on her level of development and understanding of the facts, could consent or have an opinion regarding her wish to take part in it. The judge even, once again, established the need for the child to participate because, to the contrary, her father would be released</w:t>
      </w:r>
      <w:r w:rsidRPr="00AC57EA">
        <w:rPr>
          <w:kern w:val="2"/>
          <w:sz w:val="20"/>
          <w:szCs w:val="20"/>
          <w:lang w:val="en-US" w:eastAsia="en-US"/>
        </w:rPr>
        <w:t xml:space="preserve"> (</w:t>
      </w:r>
      <w:r w:rsidRPr="00AC57EA">
        <w:rPr>
          <w:i/>
          <w:kern w:val="2"/>
          <w:sz w:val="20"/>
          <w:szCs w:val="20"/>
          <w:lang w:val="en-US" w:eastAsia="en-US"/>
        </w:rPr>
        <w:t>supra</w:t>
      </w:r>
      <w:r w:rsidRPr="00AC57EA">
        <w:rPr>
          <w:kern w:val="2"/>
          <w:sz w:val="20"/>
          <w:szCs w:val="20"/>
          <w:lang w:val="en-US" w:eastAsia="en-US"/>
        </w:rPr>
        <w:t xml:space="preserve"> </w:t>
      </w:r>
      <w:r w:rsidR="00171E27" w:rsidRPr="00AC57EA">
        <w:rPr>
          <w:kern w:val="2"/>
          <w:sz w:val="20"/>
          <w:szCs w:val="20"/>
          <w:lang w:val="en-US" w:eastAsia="en-US"/>
        </w:rPr>
        <w:t>para.</w:t>
      </w:r>
      <w:r w:rsidRPr="00AC57EA">
        <w:rPr>
          <w:kern w:val="2"/>
          <w:sz w:val="20"/>
          <w:szCs w:val="20"/>
          <w:lang w:val="en-US" w:eastAsia="en-US"/>
        </w:rPr>
        <w:t xml:space="preserve"> </w:t>
      </w:r>
      <w:r w:rsidR="00250F3D" w:rsidRPr="00AC57EA">
        <w:rPr>
          <w:kern w:val="2"/>
          <w:sz w:val="20"/>
          <w:szCs w:val="20"/>
          <w:lang w:val="en-US" w:eastAsia="en-US"/>
        </w:rPr>
        <w:t>178</w:t>
      </w:r>
      <w:r w:rsidRPr="00AC57EA">
        <w:rPr>
          <w:kern w:val="2"/>
          <w:sz w:val="20"/>
          <w:szCs w:val="20"/>
          <w:lang w:val="en-US" w:eastAsia="en-US"/>
        </w:rPr>
        <w:t xml:space="preserve">), </w:t>
      </w:r>
      <w:r w:rsidR="006D31AC" w:rsidRPr="00AC57EA">
        <w:rPr>
          <w:kern w:val="2"/>
          <w:sz w:val="20"/>
          <w:szCs w:val="20"/>
          <w:lang w:val="en-US" w:eastAsia="en-US"/>
        </w:rPr>
        <w:t xml:space="preserve">and this obliged </w:t>
      </w:r>
      <w:r w:rsidRPr="00AC57EA">
        <w:rPr>
          <w:kern w:val="2"/>
          <w:sz w:val="20"/>
          <w:szCs w:val="20"/>
          <w:lang w:val="en-US" w:eastAsia="en-US"/>
        </w:rPr>
        <w:t xml:space="preserve">V.R.P. </w:t>
      </w:r>
      <w:r w:rsidR="006D31AC" w:rsidRPr="00AC57EA">
        <w:rPr>
          <w:kern w:val="2"/>
          <w:sz w:val="20"/>
          <w:szCs w:val="20"/>
          <w:lang w:val="en-US" w:eastAsia="en-US"/>
        </w:rPr>
        <w:t xml:space="preserve">to take part against her will. Consequently, the Court considers that the participation of </w:t>
      </w:r>
      <w:r w:rsidR="00EB7709" w:rsidRPr="00AC57EA">
        <w:rPr>
          <w:kern w:val="2"/>
          <w:sz w:val="20"/>
          <w:szCs w:val="20"/>
          <w:lang w:val="en-US" w:eastAsia="en-US"/>
        </w:rPr>
        <w:t xml:space="preserve">V.R.P. </w:t>
      </w:r>
      <w:r w:rsidR="006D31AC" w:rsidRPr="00AC57EA">
        <w:rPr>
          <w:kern w:val="2"/>
          <w:sz w:val="20"/>
          <w:szCs w:val="20"/>
          <w:lang w:val="en-US" w:eastAsia="en-US"/>
        </w:rPr>
        <w:t xml:space="preserve">was conceived only in terms of evidence and not </w:t>
      </w:r>
      <w:r w:rsidR="000F5D92" w:rsidRPr="00AC57EA">
        <w:rPr>
          <w:kern w:val="2"/>
          <w:sz w:val="20"/>
          <w:szCs w:val="20"/>
          <w:lang w:val="en-US" w:eastAsia="en-US"/>
        </w:rPr>
        <w:t>taking into consideration her situation as</w:t>
      </w:r>
      <w:r w:rsidR="006D31AC" w:rsidRPr="00AC57EA">
        <w:rPr>
          <w:kern w:val="2"/>
          <w:sz w:val="20"/>
          <w:szCs w:val="20"/>
          <w:lang w:val="en-US" w:eastAsia="en-US"/>
        </w:rPr>
        <w:t xml:space="preserve"> a titleholder of rights, whose opinions should have been taken into account. </w:t>
      </w:r>
    </w:p>
    <w:p w14:paraId="37602CC8" w14:textId="77777777" w:rsidR="00EB7709" w:rsidRPr="00AC57EA" w:rsidRDefault="00EB7709" w:rsidP="00EB7709">
      <w:pPr>
        <w:widowControl/>
        <w:tabs>
          <w:tab w:val="left" w:pos="567"/>
        </w:tabs>
        <w:adjustRightInd/>
        <w:spacing w:line="240" w:lineRule="auto"/>
        <w:textAlignment w:val="auto"/>
        <w:rPr>
          <w:kern w:val="2"/>
          <w:sz w:val="20"/>
          <w:szCs w:val="20"/>
          <w:lang w:val="en-US" w:eastAsia="en-US"/>
        </w:rPr>
      </w:pPr>
    </w:p>
    <w:p w14:paraId="5297ACD1" w14:textId="28C3E110" w:rsidR="00223298" w:rsidRPr="00AC57EA" w:rsidRDefault="006D31AC" w:rsidP="00101574">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Furthermore, there was no authority present in the procedure who could have protected the child’s rights, because neither the prosecutor in the case nor any other authority specialized in her protection was present. Even though the psychiatrist was present during the procedure, accompanying the child, this profe</w:t>
      </w:r>
      <w:r w:rsidR="00223298" w:rsidRPr="00AC57EA">
        <w:rPr>
          <w:kern w:val="2"/>
          <w:sz w:val="20"/>
          <w:szCs w:val="20"/>
          <w:lang w:val="en-US" w:eastAsia="en-US"/>
        </w:rPr>
        <w:t>s</w:t>
      </w:r>
      <w:r w:rsidRPr="00AC57EA">
        <w:rPr>
          <w:kern w:val="2"/>
          <w:sz w:val="20"/>
          <w:szCs w:val="20"/>
          <w:lang w:val="en-US" w:eastAsia="en-US"/>
        </w:rPr>
        <w:t xml:space="preserve">sional was not in a position of authority to prevent the participation of </w:t>
      </w:r>
      <w:r w:rsidR="00B5625C" w:rsidRPr="00AC57EA">
        <w:rPr>
          <w:kern w:val="2"/>
          <w:sz w:val="20"/>
          <w:szCs w:val="20"/>
          <w:lang w:val="en-US" w:eastAsia="en-US"/>
        </w:rPr>
        <w:t xml:space="preserve">V.R.P., </w:t>
      </w:r>
      <w:r w:rsidR="00223298" w:rsidRPr="00AC57EA">
        <w:rPr>
          <w:kern w:val="2"/>
          <w:sz w:val="20"/>
          <w:szCs w:val="20"/>
          <w:lang w:val="en-US" w:eastAsia="en-US"/>
        </w:rPr>
        <w:t>or to avoid the revictimizing effect or the prejudicial experiences relived by the child. In addition, the state authorities should have avoided V.R.P.’s father taking part in the reconstruction of the facts on the same day as his daughter, because his presence near the place made it possible that they would meet and, thus, place</w:t>
      </w:r>
      <w:r w:rsidR="000F5D92" w:rsidRPr="00AC57EA">
        <w:rPr>
          <w:kern w:val="2"/>
          <w:sz w:val="20"/>
          <w:szCs w:val="20"/>
          <w:lang w:val="en-US" w:eastAsia="en-US"/>
        </w:rPr>
        <w:t>d</w:t>
      </w:r>
      <w:r w:rsidR="00223298" w:rsidRPr="00AC57EA">
        <w:rPr>
          <w:kern w:val="2"/>
          <w:sz w:val="20"/>
          <w:szCs w:val="20"/>
          <w:lang w:val="en-US" w:eastAsia="en-US"/>
        </w:rPr>
        <w:t xml:space="preserve"> the victim is an increased situation of vulnerability.</w:t>
      </w:r>
    </w:p>
    <w:p w14:paraId="2265E07E"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396215C5" w14:textId="6CE4045F" w:rsidR="00B5625C" w:rsidRPr="00AC57EA" w:rsidRDefault="00B7258C" w:rsidP="00223298">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B5625C" w:rsidRPr="00AC57EA">
        <w:rPr>
          <w:kern w:val="2"/>
          <w:sz w:val="20"/>
          <w:szCs w:val="20"/>
          <w:lang w:val="en-US" w:eastAsia="en-US"/>
        </w:rPr>
        <w:t xml:space="preserve"> </w:t>
      </w:r>
      <w:r w:rsidR="00223298" w:rsidRPr="00AC57EA">
        <w:rPr>
          <w:kern w:val="2"/>
          <w:sz w:val="20"/>
          <w:szCs w:val="20"/>
          <w:lang w:val="en-US" w:eastAsia="en-US"/>
        </w:rPr>
        <w:t>understands that, even if, pursuant to the laws in force at the time, the procedure of v</w:t>
      </w:r>
      <w:r w:rsidR="00986A34" w:rsidRPr="00AC57EA">
        <w:rPr>
          <w:kern w:val="2"/>
          <w:sz w:val="20"/>
          <w:szCs w:val="20"/>
          <w:lang w:val="en-US" w:eastAsia="en-US"/>
        </w:rPr>
        <w:t>isual inspection and reconstruction of the events</w:t>
      </w:r>
      <w:r w:rsidR="00B5625C" w:rsidRPr="00AC57EA">
        <w:rPr>
          <w:kern w:val="2"/>
          <w:sz w:val="20"/>
          <w:szCs w:val="20"/>
          <w:lang w:val="en-US" w:eastAsia="en-US"/>
        </w:rPr>
        <w:t xml:space="preserve"> </w:t>
      </w:r>
      <w:r w:rsidR="00223298" w:rsidRPr="00AC57EA">
        <w:rPr>
          <w:kern w:val="2"/>
          <w:sz w:val="20"/>
          <w:szCs w:val="20"/>
          <w:lang w:val="en-US" w:eastAsia="en-US"/>
        </w:rPr>
        <w:t xml:space="preserve">was necessary, this could have been carried out based on the facts recounted by V.R.P. and without the need for her direct participation. The Court considers that, if the judge in charge of the case had been specifically trained in this regard, based on the characteristics of the case and </w:t>
      </w:r>
      <w:r w:rsidR="000F5D92" w:rsidRPr="00AC57EA">
        <w:rPr>
          <w:kern w:val="2"/>
          <w:sz w:val="20"/>
          <w:szCs w:val="20"/>
          <w:lang w:val="en-US" w:eastAsia="en-US"/>
        </w:rPr>
        <w:t>V.R.P.’s</w:t>
      </w:r>
      <w:r w:rsidR="00223298" w:rsidRPr="00AC57EA">
        <w:rPr>
          <w:kern w:val="2"/>
          <w:sz w:val="20"/>
          <w:szCs w:val="20"/>
          <w:lang w:val="en-US" w:eastAsia="en-US"/>
        </w:rPr>
        <w:t xml:space="preserve"> situation</w:t>
      </w:r>
      <w:r w:rsidR="000F5D92" w:rsidRPr="00AC57EA">
        <w:rPr>
          <w:kern w:val="2"/>
          <w:sz w:val="20"/>
          <w:szCs w:val="20"/>
          <w:lang w:val="en-US" w:eastAsia="en-US"/>
        </w:rPr>
        <w:t xml:space="preserve">, </w:t>
      </w:r>
      <w:r w:rsidR="00223298" w:rsidRPr="00AC57EA">
        <w:rPr>
          <w:kern w:val="2"/>
          <w:sz w:val="20"/>
          <w:szCs w:val="20"/>
          <w:lang w:val="en-US" w:eastAsia="en-US"/>
        </w:rPr>
        <w:t xml:space="preserve">she would not have required V.R.P. </w:t>
      </w:r>
      <w:r w:rsidR="000F5D92" w:rsidRPr="00AC57EA">
        <w:rPr>
          <w:kern w:val="2"/>
          <w:sz w:val="20"/>
          <w:szCs w:val="20"/>
          <w:lang w:val="en-US" w:eastAsia="en-US"/>
        </w:rPr>
        <w:t xml:space="preserve">to </w:t>
      </w:r>
      <w:r w:rsidR="00223298" w:rsidRPr="00AC57EA">
        <w:rPr>
          <w:kern w:val="2"/>
          <w:sz w:val="20"/>
          <w:szCs w:val="20"/>
          <w:lang w:val="en-US" w:eastAsia="en-US"/>
        </w:rPr>
        <w:t>participat</w:t>
      </w:r>
      <w:r w:rsidR="000F5D92" w:rsidRPr="00AC57EA">
        <w:rPr>
          <w:kern w:val="2"/>
          <w:sz w:val="20"/>
          <w:szCs w:val="20"/>
          <w:lang w:val="en-US" w:eastAsia="en-US"/>
        </w:rPr>
        <w:t>e</w:t>
      </w:r>
      <w:r w:rsidR="00223298" w:rsidRPr="00AC57EA">
        <w:rPr>
          <w:kern w:val="2"/>
          <w:sz w:val="20"/>
          <w:szCs w:val="20"/>
          <w:lang w:val="en-US" w:eastAsia="en-US"/>
        </w:rPr>
        <w:t xml:space="preserve"> in a procedure of this nature </w:t>
      </w:r>
      <w:r w:rsidR="000F5D92" w:rsidRPr="00AC57EA">
        <w:rPr>
          <w:kern w:val="2"/>
          <w:sz w:val="20"/>
          <w:szCs w:val="20"/>
          <w:lang w:val="en-US" w:eastAsia="en-US"/>
        </w:rPr>
        <w:t xml:space="preserve">in order </w:t>
      </w:r>
      <w:r w:rsidR="00223298" w:rsidRPr="00AC57EA">
        <w:rPr>
          <w:kern w:val="2"/>
          <w:sz w:val="20"/>
          <w:szCs w:val="20"/>
          <w:lang w:val="en-US" w:eastAsia="en-US"/>
        </w:rPr>
        <w:t xml:space="preserve">to avoid </w:t>
      </w:r>
      <w:r w:rsidR="000F5D92" w:rsidRPr="00AC57EA">
        <w:rPr>
          <w:kern w:val="2"/>
          <w:sz w:val="20"/>
          <w:szCs w:val="20"/>
          <w:lang w:val="en-US" w:eastAsia="en-US"/>
        </w:rPr>
        <w:t>violating</w:t>
      </w:r>
      <w:r w:rsidR="00223298" w:rsidRPr="00AC57EA">
        <w:rPr>
          <w:kern w:val="2"/>
          <w:sz w:val="20"/>
          <w:szCs w:val="20"/>
          <w:lang w:val="en-US" w:eastAsia="en-US"/>
        </w:rPr>
        <w:t xml:space="preserve"> the provisions of </w:t>
      </w:r>
      <w:r w:rsidRPr="00AC57EA">
        <w:rPr>
          <w:kern w:val="2"/>
          <w:sz w:val="20"/>
          <w:szCs w:val="20"/>
          <w:lang w:val="en-US" w:eastAsia="en-US"/>
        </w:rPr>
        <w:t>the American Convention</w:t>
      </w:r>
      <w:r w:rsidR="00171E27" w:rsidRPr="00AC57EA">
        <w:rPr>
          <w:kern w:val="2"/>
          <w:sz w:val="20"/>
          <w:szCs w:val="20"/>
          <w:lang w:val="en-US" w:eastAsia="en-US"/>
        </w:rPr>
        <w:t xml:space="preserve"> and </w:t>
      </w:r>
      <w:r w:rsidRPr="00AC57EA">
        <w:rPr>
          <w:kern w:val="2"/>
          <w:sz w:val="20"/>
          <w:szCs w:val="20"/>
          <w:lang w:val="en-US" w:eastAsia="en-US"/>
        </w:rPr>
        <w:t xml:space="preserve">the </w:t>
      </w:r>
      <w:r w:rsidR="00171E27" w:rsidRPr="00AC57EA">
        <w:rPr>
          <w:kern w:val="2"/>
          <w:sz w:val="20"/>
          <w:szCs w:val="20"/>
          <w:lang w:val="en-US" w:eastAsia="en-US"/>
        </w:rPr>
        <w:t>Convention of Belém</w:t>
      </w:r>
      <w:r w:rsidR="00692B75" w:rsidRPr="00AC57EA">
        <w:rPr>
          <w:kern w:val="2"/>
          <w:sz w:val="20"/>
          <w:szCs w:val="20"/>
          <w:lang w:val="en-US" w:eastAsia="en-US"/>
        </w:rPr>
        <w:t xml:space="preserve"> do Pará </w:t>
      </w:r>
      <w:r w:rsidR="00223298" w:rsidRPr="00AC57EA">
        <w:rPr>
          <w:kern w:val="2"/>
          <w:sz w:val="20"/>
          <w:szCs w:val="20"/>
          <w:lang w:val="en-US" w:eastAsia="en-US"/>
        </w:rPr>
        <w:t>concerning measures of protection in judicial proceedings.</w:t>
      </w:r>
    </w:p>
    <w:p w14:paraId="02E9F1CC"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4592EA21" w14:textId="7AE0B941" w:rsidR="00223298" w:rsidRPr="00AC57EA" w:rsidRDefault="00223298" w:rsidP="004F5B4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Moreover</w:t>
      </w:r>
      <w:r w:rsidR="00B5625C" w:rsidRPr="00AC57EA">
        <w:rPr>
          <w:kern w:val="2"/>
          <w:sz w:val="20"/>
          <w:szCs w:val="20"/>
          <w:lang w:val="en-US" w:eastAsia="en-US"/>
        </w:rPr>
        <w:t xml:space="preserve">, </w:t>
      </w:r>
      <w:r w:rsidR="00B7258C" w:rsidRPr="00AC57EA">
        <w:rPr>
          <w:kern w:val="2"/>
          <w:sz w:val="20"/>
          <w:szCs w:val="20"/>
          <w:lang w:val="en-US" w:eastAsia="en-US"/>
        </w:rPr>
        <w:t>the Court</w:t>
      </w:r>
      <w:r w:rsidR="00B5625C" w:rsidRPr="00AC57EA">
        <w:rPr>
          <w:kern w:val="2"/>
          <w:sz w:val="20"/>
          <w:szCs w:val="20"/>
          <w:lang w:val="en-US" w:eastAsia="en-US"/>
        </w:rPr>
        <w:t xml:space="preserve"> consider</w:t>
      </w:r>
      <w:r w:rsidRPr="00AC57EA">
        <w:rPr>
          <w:kern w:val="2"/>
          <w:sz w:val="20"/>
          <w:szCs w:val="20"/>
          <w:lang w:val="en-US" w:eastAsia="en-US"/>
        </w:rPr>
        <w:t>s that the fact that it was V.R.P.’s mother who requested the reconstruction of the events, does not exempt the State of Nicaragua from responsibility, because as mentioned above, it is the state authorities who must decide which procedures should be carried out, and to conduct the investigations and gather the evidence while providing the necessary measures of protection to ensure the well-being and care of the child. The fact that the State has tried to transfer the responsibility for the reconstruction of events with the participation of V.R.P. to her mother constitute</w:t>
      </w:r>
      <w:r w:rsidR="000F5D92" w:rsidRPr="00AC57EA">
        <w:rPr>
          <w:kern w:val="2"/>
          <w:sz w:val="20"/>
          <w:szCs w:val="20"/>
          <w:lang w:val="en-US" w:eastAsia="en-US"/>
        </w:rPr>
        <w:t>d</w:t>
      </w:r>
      <w:r w:rsidRPr="00AC57EA">
        <w:rPr>
          <w:kern w:val="2"/>
          <w:sz w:val="20"/>
          <w:szCs w:val="20"/>
          <w:lang w:val="en-US" w:eastAsia="en-US"/>
        </w:rPr>
        <w:t xml:space="preserve"> a way of blaming her and victimizing her and this, in turn, entail</w:t>
      </w:r>
      <w:r w:rsidR="000F5D92" w:rsidRPr="00AC57EA">
        <w:rPr>
          <w:kern w:val="2"/>
          <w:sz w:val="20"/>
          <w:szCs w:val="20"/>
          <w:lang w:val="en-US" w:eastAsia="en-US"/>
        </w:rPr>
        <w:t>ed</w:t>
      </w:r>
      <w:r w:rsidRPr="00AC57EA">
        <w:rPr>
          <w:kern w:val="2"/>
          <w:sz w:val="20"/>
          <w:szCs w:val="20"/>
          <w:lang w:val="en-US" w:eastAsia="en-US"/>
        </w:rPr>
        <w:t xml:space="preserve"> failure to comply with its duty of </w:t>
      </w:r>
      <w:r w:rsidR="000F5D92" w:rsidRPr="00AC57EA">
        <w:rPr>
          <w:kern w:val="2"/>
          <w:sz w:val="20"/>
          <w:szCs w:val="20"/>
          <w:lang w:val="en-US" w:eastAsia="en-US"/>
        </w:rPr>
        <w:t>enhanced</w:t>
      </w:r>
      <w:r w:rsidRPr="00AC57EA">
        <w:rPr>
          <w:kern w:val="2"/>
          <w:sz w:val="20"/>
          <w:szCs w:val="20"/>
          <w:lang w:val="en-US" w:eastAsia="en-US"/>
        </w:rPr>
        <w:t xml:space="preserve"> diligence.</w:t>
      </w:r>
    </w:p>
    <w:p w14:paraId="37D0FDDB"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67A77D18" w14:textId="061EAA07" w:rsidR="00B5625C" w:rsidRPr="00AC57EA" w:rsidRDefault="00223298" w:rsidP="004F5B4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Based on the above</w:t>
      </w:r>
      <w:r w:rsidR="00B5625C" w:rsidRPr="00AC57EA">
        <w:rPr>
          <w:kern w:val="2"/>
          <w:sz w:val="20"/>
          <w:szCs w:val="20"/>
          <w:lang w:val="en-US" w:eastAsia="en-US"/>
        </w:rPr>
        <w:t xml:space="preserve">, </w:t>
      </w:r>
      <w:r w:rsidR="00B7258C" w:rsidRPr="00AC57EA">
        <w:rPr>
          <w:kern w:val="2"/>
          <w:sz w:val="20"/>
          <w:szCs w:val="20"/>
          <w:lang w:val="en-US" w:eastAsia="en-US"/>
        </w:rPr>
        <w:t>the Court</w:t>
      </w:r>
      <w:r w:rsidR="00B5625C" w:rsidRPr="00AC57EA">
        <w:rPr>
          <w:kern w:val="2"/>
          <w:sz w:val="20"/>
          <w:szCs w:val="20"/>
          <w:lang w:val="en-US" w:eastAsia="en-US"/>
        </w:rPr>
        <w:t xml:space="preserve"> conclu</w:t>
      </w:r>
      <w:r w:rsidRPr="00AC57EA">
        <w:rPr>
          <w:kern w:val="2"/>
          <w:sz w:val="20"/>
          <w:szCs w:val="20"/>
          <w:lang w:val="en-US" w:eastAsia="en-US"/>
        </w:rPr>
        <w:t xml:space="preserve">des that the participation of </w:t>
      </w:r>
      <w:r w:rsidR="00B5625C" w:rsidRPr="00AC57EA">
        <w:rPr>
          <w:kern w:val="2"/>
          <w:sz w:val="20"/>
          <w:szCs w:val="20"/>
          <w:lang w:val="en-US" w:eastAsia="en-US"/>
        </w:rPr>
        <w:t>V.R.P.</w:t>
      </w:r>
      <w:r w:rsidRPr="00AC57EA">
        <w:rPr>
          <w:kern w:val="2"/>
          <w:sz w:val="20"/>
          <w:szCs w:val="20"/>
          <w:lang w:val="en-US" w:eastAsia="en-US"/>
        </w:rPr>
        <w:t xml:space="preserve"> in the procedure of v</w:t>
      </w:r>
      <w:r w:rsidR="00986A34" w:rsidRPr="00AC57EA">
        <w:rPr>
          <w:kern w:val="2"/>
          <w:sz w:val="20"/>
          <w:szCs w:val="20"/>
          <w:lang w:val="en-US" w:eastAsia="en-US"/>
        </w:rPr>
        <w:t>isual inspection and reconstruction of the events</w:t>
      </w:r>
      <w:r w:rsidR="00B5625C" w:rsidRPr="00AC57EA">
        <w:rPr>
          <w:kern w:val="2"/>
          <w:sz w:val="20"/>
          <w:szCs w:val="20"/>
          <w:lang w:val="en-US" w:eastAsia="en-US"/>
        </w:rPr>
        <w:t xml:space="preserve"> constitu</w:t>
      </w:r>
      <w:r w:rsidR="00255953" w:rsidRPr="00AC57EA">
        <w:rPr>
          <w:kern w:val="2"/>
          <w:sz w:val="20"/>
          <w:szCs w:val="20"/>
          <w:lang w:val="en-US" w:eastAsia="en-US"/>
        </w:rPr>
        <w:t xml:space="preserve">ted a serious violation of the duty of </w:t>
      </w:r>
      <w:r w:rsidR="000F5D92" w:rsidRPr="00AC57EA">
        <w:rPr>
          <w:kern w:val="2"/>
          <w:sz w:val="20"/>
          <w:szCs w:val="20"/>
          <w:lang w:val="en-US" w:eastAsia="en-US"/>
        </w:rPr>
        <w:t>enhanced</w:t>
      </w:r>
      <w:r w:rsidR="00255953" w:rsidRPr="00AC57EA">
        <w:rPr>
          <w:kern w:val="2"/>
          <w:sz w:val="20"/>
          <w:szCs w:val="20"/>
          <w:lang w:val="en-US" w:eastAsia="en-US"/>
        </w:rPr>
        <w:t xml:space="preserve"> diligence and special protection and constituted an act of secondary victimization and institutional violence.</w:t>
      </w:r>
    </w:p>
    <w:p w14:paraId="1F76E6F3"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2F86BAF7" w14:textId="56A5BCC5" w:rsidR="00B5625C" w:rsidRPr="00AC57EA" w:rsidRDefault="00A92F94" w:rsidP="00A92F94">
      <w:pPr>
        <w:pStyle w:val="Ttulo3"/>
        <w:rPr>
          <w:b w:val="0"/>
          <w:i/>
          <w:lang w:val="en-US"/>
        </w:rPr>
      </w:pPr>
      <w:bookmarkStart w:id="123" w:name="_Toc514172635"/>
      <w:r w:rsidRPr="00AC57EA">
        <w:rPr>
          <w:b w:val="0"/>
          <w:i/>
          <w:lang w:val="en-US"/>
        </w:rPr>
        <w:t>A</w:t>
      </w:r>
      <w:r w:rsidR="00F977EC" w:rsidRPr="00AC57EA">
        <w:rPr>
          <w:b w:val="0"/>
          <w:i/>
          <w:lang w:val="en-US"/>
        </w:rPr>
        <w:t>.2.</w:t>
      </w:r>
      <w:r w:rsidR="00AD1B18" w:rsidRPr="00AC57EA">
        <w:rPr>
          <w:b w:val="0"/>
          <w:i/>
          <w:lang w:val="en-US"/>
        </w:rPr>
        <w:t>e</w:t>
      </w:r>
      <w:r w:rsidR="00B5625C" w:rsidRPr="00AC57EA">
        <w:rPr>
          <w:b w:val="0"/>
          <w:i/>
          <w:lang w:val="en-US"/>
        </w:rPr>
        <w:t xml:space="preserve"> </w:t>
      </w:r>
      <w:r w:rsidR="00490C6F" w:rsidRPr="00AC57EA">
        <w:rPr>
          <w:b w:val="0"/>
          <w:i/>
          <w:lang w:val="en-US"/>
        </w:rPr>
        <w:tab/>
      </w:r>
      <w:r w:rsidR="005B71A5" w:rsidRPr="00AC57EA">
        <w:rPr>
          <w:b w:val="0"/>
          <w:i/>
          <w:lang w:val="en-US"/>
        </w:rPr>
        <w:t>The lack of support and comprehensive care for the child V.R.P.</w:t>
      </w:r>
      <w:bookmarkEnd w:id="123"/>
    </w:p>
    <w:p w14:paraId="5EBF6288" w14:textId="77777777" w:rsidR="00B5625C" w:rsidRPr="00AC57EA" w:rsidRDefault="00B5625C" w:rsidP="00B5625C">
      <w:pPr>
        <w:widowControl/>
        <w:adjustRightInd/>
        <w:spacing w:line="240" w:lineRule="auto"/>
        <w:jc w:val="left"/>
        <w:textAlignment w:val="auto"/>
        <w:rPr>
          <w:b/>
          <w:kern w:val="2"/>
          <w:sz w:val="20"/>
          <w:szCs w:val="20"/>
          <w:lang w:val="en-US" w:eastAsia="en-US"/>
        </w:rPr>
      </w:pPr>
    </w:p>
    <w:p w14:paraId="6F33DC36" w14:textId="764DBB28" w:rsidR="00B5625C" w:rsidRPr="00AC57EA" w:rsidRDefault="00B7258C" w:rsidP="00255953">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B5625C" w:rsidRPr="00AC57EA">
        <w:rPr>
          <w:kern w:val="2"/>
          <w:sz w:val="20"/>
          <w:szCs w:val="20"/>
          <w:lang w:val="en-US" w:eastAsia="en-US"/>
        </w:rPr>
        <w:t xml:space="preserve"> ha</w:t>
      </w:r>
      <w:r w:rsidR="00255953" w:rsidRPr="00AC57EA">
        <w:rPr>
          <w:kern w:val="2"/>
          <w:sz w:val="20"/>
          <w:szCs w:val="20"/>
          <w:lang w:val="en-US" w:eastAsia="en-US"/>
        </w:rPr>
        <w:t>s emphasized that comprehensive care for a child victim relates not only to the actions of the judicial authorities during the criminal proceedings in order to protect her rights and ensure that her participation does not revictimize her, but also</w:t>
      </w:r>
      <w:r w:rsidR="00394AAD" w:rsidRPr="00AC57EA">
        <w:rPr>
          <w:kern w:val="2"/>
          <w:sz w:val="20"/>
          <w:szCs w:val="20"/>
          <w:lang w:val="en-US" w:eastAsia="en-US"/>
        </w:rPr>
        <w:t xml:space="preserve"> to the fact</w:t>
      </w:r>
      <w:r w:rsidR="00255953" w:rsidRPr="00AC57EA">
        <w:rPr>
          <w:kern w:val="2"/>
          <w:sz w:val="20"/>
          <w:szCs w:val="20"/>
          <w:lang w:val="en-US" w:eastAsia="en-US"/>
        </w:rPr>
        <w:t xml:space="preserve"> that this care must be comprehensive and multidisciplinary before, during and after the investigation and the criminal proceedings. The Court has also considered that a coordinated and integrated approach is required that provides different services to care for and support the child in order to safeguard her actual well-being and future development</w:t>
      </w:r>
      <w:r w:rsidR="00CB3296" w:rsidRPr="00AC57EA">
        <w:rPr>
          <w:kern w:val="2"/>
          <w:sz w:val="20"/>
          <w:szCs w:val="20"/>
          <w:lang w:val="en-US" w:eastAsia="en-US"/>
        </w:rPr>
        <w:t xml:space="preserve"> (</w:t>
      </w:r>
      <w:r w:rsidR="00CB3296" w:rsidRPr="00AC57EA">
        <w:rPr>
          <w:i/>
          <w:kern w:val="2"/>
          <w:sz w:val="20"/>
          <w:szCs w:val="20"/>
          <w:lang w:val="en-US" w:eastAsia="en-US"/>
        </w:rPr>
        <w:t>supra</w:t>
      </w:r>
      <w:r w:rsidR="00CB3296" w:rsidRPr="00AC57EA">
        <w:rPr>
          <w:kern w:val="2"/>
          <w:sz w:val="20"/>
          <w:szCs w:val="20"/>
          <w:lang w:val="en-US" w:eastAsia="en-US"/>
        </w:rPr>
        <w:t xml:space="preserve"> </w:t>
      </w:r>
      <w:r w:rsidR="00171E27" w:rsidRPr="00AC57EA">
        <w:rPr>
          <w:kern w:val="2"/>
          <w:sz w:val="20"/>
          <w:szCs w:val="20"/>
          <w:lang w:val="en-US" w:eastAsia="en-US"/>
        </w:rPr>
        <w:t>para.</w:t>
      </w:r>
      <w:r w:rsidR="00CB3296" w:rsidRPr="00AC57EA">
        <w:rPr>
          <w:kern w:val="2"/>
          <w:sz w:val="20"/>
          <w:szCs w:val="20"/>
          <w:lang w:val="en-US" w:eastAsia="en-US"/>
        </w:rPr>
        <w:t xml:space="preserve"> </w:t>
      </w:r>
      <w:r w:rsidR="000432BF" w:rsidRPr="00AC57EA">
        <w:rPr>
          <w:kern w:val="2"/>
          <w:sz w:val="20"/>
          <w:szCs w:val="20"/>
          <w:lang w:val="en-US" w:eastAsia="en-US"/>
        </w:rPr>
        <w:t>164</w:t>
      </w:r>
      <w:r w:rsidR="00CB3296" w:rsidRPr="00AC57EA">
        <w:rPr>
          <w:kern w:val="2"/>
          <w:sz w:val="20"/>
          <w:szCs w:val="20"/>
          <w:lang w:val="en-US" w:eastAsia="en-US"/>
        </w:rPr>
        <w:t>)</w:t>
      </w:r>
      <w:r w:rsidR="00B5625C" w:rsidRPr="00AC57EA">
        <w:rPr>
          <w:kern w:val="2"/>
          <w:sz w:val="20"/>
          <w:szCs w:val="20"/>
          <w:lang w:val="en-US" w:eastAsia="en-US"/>
        </w:rPr>
        <w:t>.</w:t>
      </w:r>
    </w:p>
    <w:p w14:paraId="3393F788"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4E8BF63F" w14:textId="35B7801C" w:rsidR="00B5625C" w:rsidRPr="00AC57EA" w:rsidRDefault="00255953" w:rsidP="004F5B4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In this regard</w:t>
      </w:r>
      <w:r w:rsidR="00B5625C" w:rsidRPr="00AC57EA">
        <w:rPr>
          <w:kern w:val="2"/>
          <w:sz w:val="20"/>
          <w:szCs w:val="20"/>
          <w:lang w:val="en-US" w:eastAsia="en-US"/>
        </w:rPr>
        <w:t xml:space="preserve">, </w:t>
      </w:r>
      <w:r w:rsidR="009935FA" w:rsidRPr="00AC57EA">
        <w:rPr>
          <w:kern w:val="2"/>
          <w:sz w:val="20"/>
          <w:szCs w:val="20"/>
          <w:lang w:val="en-US" w:eastAsia="en-US"/>
        </w:rPr>
        <w:t>expert witness</w:t>
      </w:r>
      <w:r w:rsidR="00B5625C" w:rsidRPr="00AC57EA">
        <w:rPr>
          <w:kern w:val="2"/>
          <w:sz w:val="20"/>
          <w:szCs w:val="20"/>
          <w:lang w:val="en-US" w:eastAsia="en-US"/>
        </w:rPr>
        <w:t xml:space="preserve"> Miguel Cillero Bruñol </w:t>
      </w:r>
      <w:r w:rsidRPr="00AC57EA">
        <w:rPr>
          <w:kern w:val="2"/>
          <w:sz w:val="20"/>
          <w:szCs w:val="20"/>
          <w:lang w:val="en-US" w:eastAsia="en-US"/>
        </w:rPr>
        <w:t>stated before this Court that</w:t>
      </w:r>
      <w:r w:rsidR="00B5625C" w:rsidRPr="00AC57EA">
        <w:rPr>
          <w:kern w:val="2"/>
          <w:sz w:val="20"/>
          <w:szCs w:val="20"/>
          <w:lang w:val="en-US" w:eastAsia="en-US"/>
        </w:rPr>
        <w:t>:</w:t>
      </w:r>
    </w:p>
    <w:p w14:paraId="6A72A08E" w14:textId="77777777" w:rsidR="00B5625C" w:rsidRPr="00AC57EA" w:rsidRDefault="00B5625C" w:rsidP="00B5625C">
      <w:pPr>
        <w:widowControl/>
        <w:adjustRightInd/>
        <w:spacing w:line="240" w:lineRule="auto"/>
        <w:ind w:left="567" w:right="332"/>
        <w:jc w:val="left"/>
        <w:textAlignment w:val="auto"/>
        <w:rPr>
          <w:kern w:val="2"/>
          <w:sz w:val="20"/>
          <w:szCs w:val="20"/>
          <w:lang w:val="en-US" w:eastAsia="en-US"/>
        </w:rPr>
      </w:pPr>
    </w:p>
    <w:p w14:paraId="4A866757" w14:textId="13C72E7D" w:rsidR="00B5625C" w:rsidRPr="00AC57EA" w:rsidRDefault="00255953" w:rsidP="00395414">
      <w:pPr>
        <w:widowControl/>
        <w:adjustRightInd/>
        <w:spacing w:line="240" w:lineRule="auto"/>
        <w:ind w:left="567" w:right="582"/>
        <w:textAlignment w:val="auto"/>
        <w:rPr>
          <w:kern w:val="2"/>
          <w:sz w:val="16"/>
          <w:szCs w:val="16"/>
          <w:lang w:val="en-US" w:eastAsia="en-US"/>
        </w:rPr>
      </w:pPr>
      <w:r w:rsidRPr="00AC57EA">
        <w:rPr>
          <w:kern w:val="2"/>
          <w:sz w:val="16"/>
          <w:szCs w:val="16"/>
          <w:lang w:val="en-US" w:eastAsia="en-US"/>
        </w:rPr>
        <w:lastRenderedPageBreak/>
        <w:t xml:space="preserve">One of the </w:t>
      </w:r>
      <w:r w:rsidR="00394AAD" w:rsidRPr="00AC57EA">
        <w:rPr>
          <w:kern w:val="2"/>
          <w:sz w:val="16"/>
          <w:szCs w:val="16"/>
          <w:lang w:val="en-US" w:eastAsia="en-US"/>
        </w:rPr>
        <w:t>most evident</w:t>
      </w:r>
      <w:r w:rsidRPr="00AC57EA">
        <w:rPr>
          <w:kern w:val="2"/>
          <w:sz w:val="16"/>
          <w:szCs w:val="16"/>
          <w:lang w:val="en-US" w:eastAsia="en-US"/>
        </w:rPr>
        <w:t xml:space="preserve"> </w:t>
      </w:r>
      <w:r w:rsidR="00394AAD" w:rsidRPr="00AC57EA">
        <w:rPr>
          <w:kern w:val="2"/>
          <w:sz w:val="16"/>
          <w:szCs w:val="16"/>
          <w:lang w:val="en-US" w:eastAsia="en-US"/>
        </w:rPr>
        <w:t xml:space="preserve">aims </w:t>
      </w:r>
      <w:r w:rsidRPr="00AC57EA">
        <w:rPr>
          <w:kern w:val="2"/>
          <w:sz w:val="16"/>
          <w:szCs w:val="16"/>
          <w:lang w:val="en-US" w:eastAsia="en-US"/>
        </w:rPr>
        <w:t xml:space="preserve">of the legal reforms in Latin America linked </w:t>
      </w:r>
      <w:r w:rsidR="00395414" w:rsidRPr="00AC57EA">
        <w:rPr>
          <w:kern w:val="2"/>
          <w:sz w:val="16"/>
          <w:szCs w:val="16"/>
          <w:lang w:val="en-US" w:eastAsia="en-US"/>
        </w:rPr>
        <w:t>t</w:t>
      </w:r>
      <w:r w:rsidRPr="00AC57EA">
        <w:rPr>
          <w:kern w:val="2"/>
          <w:sz w:val="16"/>
          <w:szCs w:val="16"/>
          <w:lang w:val="en-US" w:eastAsia="en-US"/>
        </w:rPr>
        <w:t>o the creation of codes</w:t>
      </w:r>
      <w:r w:rsidR="00394AAD" w:rsidRPr="00AC57EA">
        <w:rPr>
          <w:kern w:val="2"/>
          <w:sz w:val="16"/>
          <w:szCs w:val="16"/>
          <w:lang w:val="en-US" w:eastAsia="en-US"/>
        </w:rPr>
        <w:t xml:space="preserve"> and</w:t>
      </w:r>
      <w:r w:rsidRPr="00AC57EA">
        <w:rPr>
          <w:kern w:val="2"/>
          <w:sz w:val="16"/>
          <w:szCs w:val="16"/>
          <w:lang w:val="en-US" w:eastAsia="en-US"/>
        </w:rPr>
        <w:t xml:space="preserve"> statutes </w:t>
      </w:r>
      <w:r w:rsidR="00395414" w:rsidRPr="00AC57EA">
        <w:rPr>
          <w:kern w:val="2"/>
          <w:sz w:val="16"/>
          <w:szCs w:val="16"/>
          <w:lang w:val="en-US" w:eastAsia="en-US"/>
        </w:rPr>
        <w:t xml:space="preserve">for the protection of the rights of children and adolescents […] involves […] fundamental issues: the coordination of all assistance actions – and this is included in all the laws – and means the coordination of </w:t>
      </w:r>
      <w:r w:rsidR="00394AAD" w:rsidRPr="00AC57EA">
        <w:rPr>
          <w:kern w:val="2"/>
          <w:sz w:val="16"/>
          <w:szCs w:val="16"/>
          <w:lang w:val="en-US" w:eastAsia="en-US"/>
        </w:rPr>
        <w:t xml:space="preserve">the </w:t>
      </w:r>
      <w:r w:rsidR="00395414" w:rsidRPr="00AC57EA">
        <w:rPr>
          <w:kern w:val="2"/>
          <w:sz w:val="16"/>
          <w:szCs w:val="16"/>
          <w:lang w:val="en-US" w:eastAsia="en-US"/>
        </w:rPr>
        <w:t>special protection</w:t>
      </w:r>
      <w:r w:rsidR="00394AAD" w:rsidRPr="00AC57EA">
        <w:rPr>
          <w:kern w:val="2"/>
          <w:sz w:val="16"/>
          <w:szCs w:val="16"/>
          <w:lang w:val="en-US" w:eastAsia="en-US"/>
        </w:rPr>
        <w:t xml:space="preserve"> systems</w:t>
      </w:r>
      <w:r w:rsidR="00395414" w:rsidRPr="00AC57EA">
        <w:rPr>
          <w:kern w:val="2"/>
          <w:sz w:val="16"/>
          <w:szCs w:val="16"/>
          <w:lang w:val="en-US" w:eastAsia="en-US"/>
        </w:rPr>
        <w:t xml:space="preserve"> for child victims o</w:t>
      </w:r>
      <w:r w:rsidR="00394AAD" w:rsidRPr="00AC57EA">
        <w:rPr>
          <w:kern w:val="2"/>
          <w:sz w:val="16"/>
          <w:szCs w:val="16"/>
          <w:lang w:val="en-US" w:eastAsia="en-US"/>
        </w:rPr>
        <w:t xml:space="preserve">r those </w:t>
      </w:r>
      <w:r w:rsidR="00395414" w:rsidRPr="00AC57EA">
        <w:rPr>
          <w:kern w:val="2"/>
          <w:sz w:val="16"/>
          <w:szCs w:val="16"/>
          <w:lang w:val="en-US" w:eastAsia="en-US"/>
        </w:rPr>
        <w:t>whose rights have been violat</w:t>
      </w:r>
      <w:r w:rsidR="00394AAD" w:rsidRPr="00AC57EA">
        <w:rPr>
          <w:kern w:val="2"/>
          <w:sz w:val="16"/>
          <w:szCs w:val="16"/>
          <w:lang w:val="en-US" w:eastAsia="en-US"/>
        </w:rPr>
        <w:t>ed</w:t>
      </w:r>
      <w:r w:rsidR="00395414" w:rsidRPr="00AC57EA">
        <w:rPr>
          <w:kern w:val="2"/>
          <w:sz w:val="16"/>
          <w:szCs w:val="16"/>
          <w:lang w:val="en-US" w:eastAsia="en-US"/>
        </w:rPr>
        <w:t xml:space="preserve"> with the </w:t>
      </w:r>
      <w:r w:rsidR="00394AAD" w:rsidRPr="00AC57EA">
        <w:rPr>
          <w:kern w:val="2"/>
          <w:sz w:val="16"/>
          <w:szCs w:val="16"/>
          <w:lang w:val="en-US" w:eastAsia="en-US"/>
        </w:rPr>
        <w:t>overall policy</w:t>
      </w:r>
      <w:r w:rsidR="00395414" w:rsidRPr="00AC57EA">
        <w:rPr>
          <w:kern w:val="2"/>
          <w:sz w:val="16"/>
          <w:szCs w:val="16"/>
          <w:lang w:val="en-US" w:eastAsia="en-US"/>
        </w:rPr>
        <w:t xml:space="preserve"> system; a complete system of justice that is appropriate to the needs of children, particularly […] as regards evidentiary aspects and, fundamentally, aspects </w:t>
      </w:r>
      <w:r w:rsidR="00394AAD" w:rsidRPr="00AC57EA">
        <w:rPr>
          <w:kern w:val="2"/>
          <w:sz w:val="16"/>
          <w:szCs w:val="16"/>
          <w:lang w:val="en-US" w:eastAsia="en-US"/>
        </w:rPr>
        <w:t>related</w:t>
      </w:r>
      <w:r w:rsidR="00395414" w:rsidRPr="00AC57EA">
        <w:rPr>
          <w:kern w:val="2"/>
          <w:sz w:val="16"/>
          <w:szCs w:val="16"/>
          <w:lang w:val="en-US" w:eastAsia="en-US"/>
        </w:rPr>
        <w:t xml:space="preserve"> to </w:t>
      </w:r>
      <w:r w:rsidR="00394AAD" w:rsidRPr="00AC57EA">
        <w:rPr>
          <w:kern w:val="2"/>
          <w:sz w:val="16"/>
          <w:szCs w:val="16"/>
          <w:lang w:val="en-US" w:eastAsia="en-US"/>
        </w:rPr>
        <w:t>medical</w:t>
      </w:r>
      <w:r w:rsidR="00395414" w:rsidRPr="00AC57EA">
        <w:rPr>
          <w:kern w:val="2"/>
          <w:sz w:val="16"/>
          <w:szCs w:val="16"/>
          <w:lang w:val="en-US" w:eastAsia="en-US"/>
        </w:rPr>
        <w:t xml:space="preserve"> examinations or reparations; a system of specific therapies and specific therapeutic assistance for </w:t>
      </w:r>
      <w:r w:rsidR="00394AAD" w:rsidRPr="00AC57EA">
        <w:rPr>
          <w:kern w:val="2"/>
          <w:sz w:val="16"/>
          <w:szCs w:val="16"/>
          <w:lang w:val="en-US" w:eastAsia="en-US"/>
        </w:rPr>
        <w:t>such</w:t>
      </w:r>
      <w:r w:rsidR="00395414" w:rsidRPr="00AC57EA">
        <w:rPr>
          <w:kern w:val="2"/>
          <w:sz w:val="16"/>
          <w:szCs w:val="16"/>
          <w:lang w:val="en-US" w:eastAsia="en-US"/>
        </w:rPr>
        <w:t xml:space="preserve"> victims to treat their traumas, and finally, a series of specific conditions under which the family of that child will be provided with the necessary support </w:t>
      </w:r>
      <w:r w:rsidR="00394AAD" w:rsidRPr="00AC57EA">
        <w:rPr>
          <w:kern w:val="2"/>
          <w:sz w:val="16"/>
          <w:szCs w:val="16"/>
          <w:lang w:val="en-US" w:eastAsia="en-US"/>
        </w:rPr>
        <w:t xml:space="preserve">to maintain the family unit </w:t>
      </w:r>
      <w:r w:rsidR="00395414" w:rsidRPr="00AC57EA">
        <w:rPr>
          <w:kern w:val="2"/>
          <w:sz w:val="16"/>
          <w:szCs w:val="16"/>
          <w:lang w:val="en-US" w:eastAsia="en-US"/>
        </w:rPr>
        <w:t>(when this is appropriate and not contrary to the</w:t>
      </w:r>
      <w:r w:rsidR="00394AAD" w:rsidRPr="00AC57EA">
        <w:rPr>
          <w:kern w:val="2"/>
          <w:sz w:val="16"/>
          <w:szCs w:val="16"/>
          <w:lang w:val="en-US" w:eastAsia="en-US"/>
        </w:rPr>
        <w:t xml:space="preserve"> child’s</w:t>
      </w:r>
      <w:r w:rsidR="00395414" w:rsidRPr="00AC57EA">
        <w:rPr>
          <w:kern w:val="2"/>
          <w:sz w:val="16"/>
          <w:szCs w:val="16"/>
          <w:lang w:val="en-US" w:eastAsia="en-US"/>
        </w:rPr>
        <w:t xml:space="preserve"> best interests) or else alternative solutions to reconstruct those family ties.</w:t>
      </w:r>
      <w:r w:rsidR="005D7234" w:rsidRPr="00AC57EA">
        <w:rPr>
          <w:rStyle w:val="Refdenotaalpie"/>
          <w:kern w:val="2"/>
          <w:sz w:val="16"/>
          <w:szCs w:val="16"/>
          <w:lang w:val="en-US" w:eastAsia="en-US"/>
        </w:rPr>
        <w:footnoteReference w:id="278"/>
      </w:r>
    </w:p>
    <w:p w14:paraId="213742D5"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14C82D38" w14:textId="0DDE9BAD" w:rsidR="00395414" w:rsidRPr="00AC57EA" w:rsidRDefault="00394AAD" w:rsidP="004F5B4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w:t>
      </w:r>
      <w:r w:rsidR="00395414" w:rsidRPr="00AC57EA">
        <w:rPr>
          <w:kern w:val="2"/>
          <w:sz w:val="20"/>
          <w:szCs w:val="20"/>
          <w:lang w:val="en-US" w:eastAsia="en-US"/>
        </w:rPr>
        <w:t xml:space="preserve"> Court has been unable to verify</w:t>
      </w:r>
      <w:r w:rsidRPr="00AC57EA">
        <w:rPr>
          <w:kern w:val="2"/>
          <w:sz w:val="20"/>
          <w:szCs w:val="20"/>
          <w:lang w:val="en-US" w:eastAsia="en-US"/>
        </w:rPr>
        <w:t xml:space="preserve"> from the file in this case</w:t>
      </w:r>
      <w:r w:rsidR="00395414" w:rsidRPr="00AC57EA">
        <w:rPr>
          <w:kern w:val="2"/>
          <w:sz w:val="20"/>
          <w:szCs w:val="20"/>
          <w:lang w:val="en-US" w:eastAsia="en-US"/>
        </w:rPr>
        <w:t xml:space="preserve"> that, </w:t>
      </w:r>
      <w:r w:rsidRPr="00AC57EA">
        <w:rPr>
          <w:kern w:val="2"/>
          <w:sz w:val="20"/>
          <w:szCs w:val="20"/>
          <w:lang w:val="en-US" w:eastAsia="en-US"/>
        </w:rPr>
        <w:t>following the filing of the</w:t>
      </w:r>
      <w:r w:rsidR="00395414" w:rsidRPr="00AC57EA">
        <w:rPr>
          <w:kern w:val="2"/>
          <w:sz w:val="20"/>
          <w:szCs w:val="20"/>
          <w:lang w:val="en-US" w:eastAsia="en-US"/>
        </w:rPr>
        <w:t xml:space="preserve"> complaint, the State, through any of its institutions, required the immediate participation of a qualified professional in order to inform the victim or her family about how the procedures and the process would </w:t>
      </w:r>
      <w:r w:rsidRPr="00AC57EA">
        <w:rPr>
          <w:kern w:val="2"/>
          <w:sz w:val="20"/>
          <w:szCs w:val="20"/>
          <w:lang w:val="en-US" w:eastAsia="en-US"/>
        </w:rPr>
        <w:t>evolve</w:t>
      </w:r>
      <w:r w:rsidR="00BD3645" w:rsidRPr="00AC57EA">
        <w:rPr>
          <w:kern w:val="2"/>
          <w:sz w:val="20"/>
          <w:szCs w:val="20"/>
          <w:lang w:val="en-US" w:eastAsia="en-US"/>
        </w:rPr>
        <w:t>, about the availability of health care and individual and family group psychosocial therapy</w:t>
      </w:r>
      <w:r w:rsidRPr="00AC57EA">
        <w:rPr>
          <w:kern w:val="2"/>
          <w:sz w:val="20"/>
          <w:szCs w:val="20"/>
          <w:lang w:val="en-US" w:eastAsia="en-US"/>
        </w:rPr>
        <w:t>,</w:t>
      </w:r>
      <w:r w:rsidR="00BD3645" w:rsidRPr="00AC57EA">
        <w:rPr>
          <w:kern w:val="2"/>
          <w:sz w:val="20"/>
          <w:szCs w:val="20"/>
          <w:lang w:val="en-US" w:eastAsia="en-US"/>
        </w:rPr>
        <w:t xml:space="preserve"> and </w:t>
      </w:r>
      <w:r w:rsidRPr="00AC57EA">
        <w:rPr>
          <w:kern w:val="2"/>
          <w:sz w:val="20"/>
          <w:szCs w:val="20"/>
          <w:lang w:val="en-US" w:eastAsia="en-US"/>
        </w:rPr>
        <w:t>about</w:t>
      </w:r>
      <w:r w:rsidR="00BD3645" w:rsidRPr="00AC57EA">
        <w:rPr>
          <w:kern w:val="2"/>
          <w:sz w:val="20"/>
          <w:szCs w:val="20"/>
          <w:lang w:val="en-US" w:eastAsia="en-US"/>
        </w:rPr>
        <w:t xml:space="preserve"> the specialized institutions that existed to provide support. </w:t>
      </w:r>
    </w:p>
    <w:p w14:paraId="3B973154"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324C4466" w14:textId="03FF61E4" w:rsidR="00B5625C" w:rsidRPr="00AC57EA" w:rsidRDefault="00BD3645" w:rsidP="004B446D">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w:t>
      </w:r>
      <w:r w:rsidR="00B7258C" w:rsidRPr="00AC57EA">
        <w:rPr>
          <w:kern w:val="2"/>
          <w:sz w:val="20"/>
          <w:szCs w:val="20"/>
          <w:lang w:val="en-US" w:eastAsia="en-US"/>
        </w:rPr>
        <w:t xml:space="preserve"> Court</w:t>
      </w:r>
      <w:r w:rsidR="00783185" w:rsidRPr="00AC57EA">
        <w:rPr>
          <w:kern w:val="2"/>
          <w:sz w:val="20"/>
          <w:szCs w:val="20"/>
          <w:lang w:val="en-US" w:eastAsia="en-US"/>
        </w:rPr>
        <w:t xml:space="preserve"> </w:t>
      </w:r>
      <w:r w:rsidRPr="00AC57EA">
        <w:rPr>
          <w:kern w:val="2"/>
          <w:sz w:val="20"/>
          <w:szCs w:val="20"/>
          <w:lang w:val="en-US" w:eastAsia="en-US"/>
        </w:rPr>
        <w:t xml:space="preserve">also notes that the only action taken by the State as a measure of support consisted in the appointment of a psychiatrist </w:t>
      </w:r>
      <w:r w:rsidR="002A0685" w:rsidRPr="00AC57EA">
        <w:rPr>
          <w:kern w:val="2"/>
          <w:sz w:val="20"/>
          <w:szCs w:val="20"/>
          <w:lang w:val="en-US" w:eastAsia="en-US"/>
        </w:rPr>
        <w:t>on November 23,</w:t>
      </w:r>
      <w:r w:rsidR="00B5625C" w:rsidRPr="00AC57EA">
        <w:rPr>
          <w:kern w:val="2"/>
          <w:sz w:val="20"/>
          <w:szCs w:val="20"/>
          <w:lang w:val="en-US" w:eastAsia="en-US"/>
        </w:rPr>
        <w:t xml:space="preserve"> 2001, </w:t>
      </w:r>
      <w:r w:rsidRPr="00AC57EA">
        <w:rPr>
          <w:kern w:val="2"/>
          <w:sz w:val="20"/>
          <w:szCs w:val="20"/>
          <w:lang w:val="en-US" w:eastAsia="en-US"/>
        </w:rPr>
        <w:t>to</w:t>
      </w:r>
      <w:r w:rsidR="00B5625C" w:rsidRPr="00AC57EA">
        <w:rPr>
          <w:kern w:val="2"/>
          <w:sz w:val="20"/>
          <w:szCs w:val="20"/>
          <w:lang w:val="en-US" w:eastAsia="en-US"/>
        </w:rPr>
        <w:t xml:space="preserve"> “</w:t>
      </w:r>
      <w:r w:rsidRPr="00AC57EA">
        <w:rPr>
          <w:kern w:val="2"/>
          <w:sz w:val="20"/>
          <w:szCs w:val="20"/>
          <w:lang w:val="en-US" w:eastAsia="en-US"/>
        </w:rPr>
        <w:t xml:space="preserve">monitor the </w:t>
      </w:r>
      <w:r w:rsidR="00B5625C" w:rsidRPr="00AC57EA">
        <w:rPr>
          <w:kern w:val="2"/>
          <w:sz w:val="20"/>
          <w:szCs w:val="20"/>
          <w:lang w:val="en-US" w:eastAsia="en-US"/>
        </w:rPr>
        <w:t xml:space="preserve">V.R.P., </w:t>
      </w:r>
      <w:r w:rsidRPr="00AC57EA">
        <w:rPr>
          <w:kern w:val="2"/>
          <w:sz w:val="20"/>
          <w:szCs w:val="20"/>
          <w:lang w:val="en-US" w:eastAsia="en-US"/>
        </w:rPr>
        <w:t>in order to</w:t>
      </w:r>
      <w:r w:rsidR="00394AAD" w:rsidRPr="00AC57EA">
        <w:rPr>
          <w:kern w:val="2"/>
          <w:sz w:val="20"/>
          <w:szCs w:val="20"/>
          <w:lang w:val="en-US" w:eastAsia="en-US"/>
        </w:rPr>
        <w:t>, opportunely,</w:t>
      </w:r>
      <w:r w:rsidRPr="00AC57EA">
        <w:rPr>
          <w:kern w:val="2"/>
          <w:sz w:val="20"/>
          <w:szCs w:val="20"/>
          <w:lang w:val="en-US" w:eastAsia="en-US"/>
        </w:rPr>
        <w:t xml:space="preserve"> prepare a report on her emotional state” </w:t>
      </w:r>
      <w:r w:rsidR="00B5625C" w:rsidRPr="00AC57EA">
        <w:rPr>
          <w:kern w:val="2"/>
          <w:sz w:val="20"/>
          <w:szCs w:val="20"/>
          <w:lang w:val="en-US" w:eastAsia="en-US"/>
        </w:rPr>
        <w:t>(</w:t>
      </w:r>
      <w:r w:rsidR="00B5625C" w:rsidRPr="00AC57EA">
        <w:rPr>
          <w:i/>
          <w:kern w:val="2"/>
          <w:sz w:val="20"/>
          <w:szCs w:val="20"/>
          <w:lang w:val="en-US" w:eastAsia="en-US"/>
        </w:rPr>
        <w:t>supra</w:t>
      </w:r>
      <w:r w:rsidR="00B5625C" w:rsidRPr="00AC57EA">
        <w:rPr>
          <w:kern w:val="2"/>
          <w:sz w:val="20"/>
          <w:szCs w:val="20"/>
          <w:lang w:val="en-US" w:eastAsia="en-US"/>
        </w:rPr>
        <w:t xml:space="preserve"> </w:t>
      </w:r>
      <w:r w:rsidR="00171E27" w:rsidRPr="00AC57EA">
        <w:rPr>
          <w:kern w:val="2"/>
          <w:sz w:val="20"/>
          <w:szCs w:val="20"/>
          <w:lang w:val="en-US" w:eastAsia="en-US"/>
        </w:rPr>
        <w:t>para.</w:t>
      </w:r>
      <w:r w:rsidR="00B5625C" w:rsidRPr="00AC57EA">
        <w:rPr>
          <w:kern w:val="2"/>
          <w:sz w:val="20"/>
          <w:szCs w:val="20"/>
          <w:lang w:val="en-US" w:eastAsia="en-US"/>
        </w:rPr>
        <w:t xml:space="preserve"> </w:t>
      </w:r>
      <w:r w:rsidR="001701D3" w:rsidRPr="00AC57EA">
        <w:rPr>
          <w:kern w:val="2"/>
          <w:sz w:val="20"/>
          <w:szCs w:val="20"/>
          <w:lang w:val="en-US" w:eastAsia="en-US"/>
        </w:rPr>
        <w:t>80</w:t>
      </w:r>
      <w:r w:rsidR="00B5625C" w:rsidRPr="00AC57EA">
        <w:rPr>
          <w:kern w:val="2"/>
          <w:sz w:val="20"/>
          <w:szCs w:val="20"/>
          <w:lang w:val="en-US" w:eastAsia="en-US"/>
        </w:rPr>
        <w:t xml:space="preserve">). </w:t>
      </w:r>
      <w:r w:rsidRPr="00AC57EA">
        <w:rPr>
          <w:kern w:val="2"/>
          <w:sz w:val="20"/>
          <w:szCs w:val="20"/>
          <w:lang w:val="en-US" w:eastAsia="en-US"/>
        </w:rPr>
        <w:t xml:space="preserve">The psychiatrist took part in the following procedures and issued the following reports: (a) </w:t>
      </w:r>
      <w:r w:rsidR="000E74DA" w:rsidRPr="00AC57EA">
        <w:rPr>
          <w:kern w:val="2"/>
          <w:sz w:val="20"/>
          <w:szCs w:val="20"/>
          <w:lang w:val="en-US" w:eastAsia="en-US"/>
        </w:rPr>
        <w:t>on November 26,</w:t>
      </w:r>
      <w:r w:rsidR="00B5625C" w:rsidRPr="00AC57EA">
        <w:rPr>
          <w:kern w:val="2"/>
          <w:sz w:val="20"/>
          <w:szCs w:val="20"/>
          <w:lang w:val="en-US" w:eastAsia="en-US"/>
        </w:rPr>
        <w:t xml:space="preserve"> 2001</w:t>
      </w:r>
      <w:r w:rsidRPr="00AC57EA">
        <w:rPr>
          <w:kern w:val="2"/>
          <w:sz w:val="20"/>
          <w:szCs w:val="20"/>
          <w:lang w:val="en-US" w:eastAsia="en-US"/>
        </w:rPr>
        <w:t>,</w:t>
      </w:r>
      <w:r w:rsidR="00B5625C" w:rsidRPr="00AC57EA">
        <w:rPr>
          <w:kern w:val="2"/>
          <w:sz w:val="20"/>
          <w:szCs w:val="20"/>
          <w:lang w:val="en-US" w:eastAsia="en-US"/>
        </w:rPr>
        <w:t xml:space="preserve"> </w:t>
      </w:r>
      <w:r w:rsidRPr="00AC57EA">
        <w:rPr>
          <w:kern w:val="2"/>
          <w:sz w:val="20"/>
          <w:szCs w:val="20"/>
          <w:lang w:val="en-US" w:eastAsia="en-US"/>
        </w:rPr>
        <w:t xml:space="preserve">she made an out-patient psychiatric evaluation in the </w:t>
      </w:r>
      <w:r w:rsidR="00EB7A83" w:rsidRPr="00AC57EA">
        <w:rPr>
          <w:kern w:val="2"/>
          <w:sz w:val="20"/>
          <w:szCs w:val="20"/>
          <w:lang w:val="en-US" w:eastAsia="en-US"/>
        </w:rPr>
        <w:t>Victoria Motta Hospital</w:t>
      </w:r>
      <w:r w:rsidR="003908D0" w:rsidRPr="00AC57EA">
        <w:rPr>
          <w:kern w:val="2"/>
          <w:sz w:val="20"/>
          <w:szCs w:val="20"/>
          <w:lang w:val="en-US" w:eastAsia="en-US"/>
        </w:rPr>
        <w:t xml:space="preserve"> </w:t>
      </w:r>
      <w:r w:rsidRPr="00AC57EA">
        <w:rPr>
          <w:kern w:val="2"/>
          <w:sz w:val="20"/>
          <w:szCs w:val="20"/>
          <w:lang w:val="en-US" w:eastAsia="en-US"/>
        </w:rPr>
        <w:t xml:space="preserve">in </w:t>
      </w:r>
      <w:r w:rsidR="00B5625C" w:rsidRPr="00AC57EA">
        <w:rPr>
          <w:kern w:val="2"/>
          <w:sz w:val="20"/>
          <w:szCs w:val="20"/>
          <w:lang w:val="en-US" w:eastAsia="en-US"/>
        </w:rPr>
        <w:t xml:space="preserve">Jinotega, </w:t>
      </w:r>
      <w:r w:rsidRPr="00AC57EA">
        <w:rPr>
          <w:kern w:val="2"/>
          <w:sz w:val="20"/>
          <w:szCs w:val="20"/>
          <w:lang w:val="en-US" w:eastAsia="en-US"/>
        </w:rPr>
        <w:t xml:space="preserve">after which she concluded that the V.R.P.’s version of the facts was reliable, clear and truthful; that </w:t>
      </w:r>
      <w:r w:rsidR="00210FBB" w:rsidRPr="00AC57EA">
        <w:rPr>
          <w:kern w:val="2"/>
          <w:sz w:val="20"/>
          <w:szCs w:val="20"/>
          <w:lang w:val="en-US" w:eastAsia="en-US"/>
        </w:rPr>
        <w:t>V.R.P.</w:t>
      </w:r>
      <w:r w:rsidRPr="00AC57EA">
        <w:rPr>
          <w:kern w:val="2"/>
          <w:sz w:val="20"/>
          <w:szCs w:val="20"/>
          <w:lang w:val="en-US" w:eastAsia="en-US"/>
        </w:rPr>
        <w:t xml:space="preserve"> suffered from post-traumatic stress, and that she recommended that </w:t>
      </w:r>
      <w:r w:rsidR="00210FBB" w:rsidRPr="00AC57EA">
        <w:rPr>
          <w:kern w:val="2"/>
          <w:sz w:val="20"/>
          <w:szCs w:val="20"/>
          <w:lang w:val="en-US" w:eastAsia="en-US"/>
        </w:rPr>
        <w:t>V.R.P.’s</w:t>
      </w:r>
      <w:r w:rsidRPr="00AC57EA">
        <w:rPr>
          <w:kern w:val="2"/>
          <w:sz w:val="20"/>
          <w:szCs w:val="20"/>
          <w:lang w:val="en-US" w:eastAsia="en-US"/>
        </w:rPr>
        <w:t xml:space="preserve"> genital injuries be examined under anesthesia in the Institute of Forensic Medicine in Managua; (b) she was present during the v</w:t>
      </w:r>
      <w:r w:rsidR="00986A34" w:rsidRPr="00AC57EA">
        <w:rPr>
          <w:kern w:val="2"/>
          <w:sz w:val="20"/>
          <w:szCs w:val="20"/>
          <w:lang w:val="en-US" w:eastAsia="en-US"/>
        </w:rPr>
        <w:t>isual inspection and reconstruction of the events</w:t>
      </w:r>
      <w:r w:rsidR="00171E27" w:rsidRPr="00AC57EA">
        <w:rPr>
          <w:kern w:val="2"/>
          <w:sz w:val="20"/>
          <w:szCs w:val="20"/>
          <w:lang w:val="en-US" w:eastAsia="en-US"/>
        </w:rPr>
        <w:t xml:space="preserve"> and </w:t>
      </w:r>
      <w:r w:rsidR="00B5625C" w:rsidRPr="00AC57EA">
        <w:rPr>
          <w:kern w:val="2"/>
          <w:sz w:val="20"/>
          <w:szCs w:val="20"/>
          <w:lang w:val="en-US" w:eastAsia="en-US"/>
        </w:rPr>
        <w:t>dur</w:t>
      </w:r>
      <w:r w:rsidRPr="00AC57EA">
        <w:rPr>
          <w:kern w:val="2"/>
          <w:sz w:val="20"/>
          <w:szCs w:val="20"/>
          <w:lang w:val="en-US" w:eastAsia="en-US"/>
        </w:rPr>
        <w:t>ing the attempt to conduct the first forensic medical examination; (c) on February 21, 2002, she issued a monitoring report on V.R.P. in which she recommended that the child “will</w:t>
      </w:r>
      <w:r w:rsidR="004B446D" w:rsidRPr="00AC57EA">
        <w:rPr>
          <w:kern w:val="2"/>
          <w:sz w:val="20"/>
          <w:szCs w:val="20"/>
          <w:lang w:val="en-US" w:eastAsia="en-US"/>
        </w:rPr>
        <w:t xml:space="preserve"> almost certainly</w:t>
      </w:r>
      <w:r w:rsidRPr="00AC57EA">
        <w:rPr>
          <w:kern w:val="2"/>
          <w:sz w:val="20"/>
          <w:szCs w:val="20"/>
          <w:lang w:val="en-US" w:eastAsia="en-US"/>
        </w:rPr>
        <w:t xml:space="preserve"> </w:t>
      </w:r>
      <w:r w:rsidR="004B446D" w:rsidRPr="00AC57EA">
        <w:rPr>
          <w:kern w:val="2"/>
          <w:sz w:val="20"/>
          <w:szCs w:val="20"/>
          <w:lang w:val="en-US" w:eastAsia="en-US"/>
        </w:rPr>
        <w:t>require</w:t>
      </w:r>
      <w:r w:rsidRPr="00AC57EA">
        <w:rPr>
          <w:kern w:val="2"/>
          <w:sz w:val="20"/>
          <w:szCs w:val="20"/>
          <w:lang w:val="en-US" w:eastAsia="en-US"/>
        </w:rPr>
        <w:t xml:space="preserve"> psychotherapeutic help, until she attains her biological and emotional maturity, because the harm </w:t>
      </w:r>
      <w:r w:rsidR="004B446D" w:rsidRPr="00AC57EA">
        <w:rPr>
          <w:kern w:val="2"/>
          <w:sz w:val="20"/>
          <w:szCs w:val="20"/>
          <w:lang w:val="en-US" w:eastAsia="en-US"/>
        </w:rPr>
        <w:t>caused</w:t>
      </w:r>
      <w:r w:rsidRPr="00AC57EA">
        <w:rPr>
          <w:kern w:val="2"/>
          <w:sz w:val="20"/>
          <w:szCs w:val="20"/>
          <w:lang w:val="en-US" w:eastAsia="en-US"/>
        </w:rPr>
        <w:t xml:space="preserve"> to her physical and mental</w:t>
      </w:r>
      <w:r w:rsidR="004B446D" w:rsidRPr="00AC57EA">
        <w:rPr>
          <w:kern w:val="2"/>
          <w:sz w:val="20"/>
          <w:szCs w:val="20"/>
          <w:lang w:val="en-US" w:eastAsia="en-US"/>
        </w:rPr>
        <w:t xml:space="preserve"> health has led to </w:t>
      </w:r>
      <w:r w:rsidRPr="00AC57EA">
        <w:rPr>
          <w:kern w:val="2"/>
          <w:sz w:val="20"/>
          <w:szCs w:val="20"/>
          <w:lang w:val="en-US" w:eastAsia="en-US"/>
        </w:rPr>
        <w:t xml:space="preserve">long-lasting injuries and aftereffects </w:t>
      </w:r>
      <w:r w:rsidR="004C65C5" w:rsidRPr="00AC57EA">
        <w:rPr>
          <w:kern w:val="2"/>
          <w:sz w:val="20"/>
          <w:szCs w:val="20"/>
          <w:lang w:val="en-US" w:eastAsia="en-US"/>
        </w:rPr>
        <w:t>[…]</w:t>
      </w:r>
      <w:r w:rsidRPr="00AC57EA">
        <w:rPr>
          <w:kern w:val="2"/>
          <w:sz w:val="20"/>
          <w:szCs w:val="20"/>
          <w:lang w:val="en-US" w:eastAsia="en-US"/>
        </w:rPr>
        <w:t>. If she does not receive therapy, she may develop suicidal ideas or sink into an endogenous depression.</w:t>
      </w:r>
      <w:r w:rsidR="004B446D" w:rsidRPr="00AC57EA">
        <w:rPr>
          <w:kern w:val="2"/>
          <w:sz w:val="20"/>
          <w:szCs w:val="20"/>
          <w:lang w:val="en-US" w:eastAsia="en-US"/>
        </w:rPr>
        <w:t xml:space="preserve"> </w:t>
      </w:r>
      <w:r w:rsidR="004B446D" w:rsidRPr="00AC57EA">
        <w:rPr>
          <w:kern w:val="2"/>
          <w:sz w:val="20"/>
          <w:szCs w:val="20"/>
          <w:lang w:val="en-US"/>
        </w:rPr>
        <w:t xml:space="preserve">Therefore, as a precaution in order not to cause her </w:t>
      </w:r>
      <w:r w:rsidR="00210FBB" w:rsidRPr="00AC57EA">
        <w:rPr>
          <w:kern w:val="2"/>
          <w:sz w:val="20"/>
          <w:szCs w:val="20"/>
          <w:lang w:val="en-US"/>
        </w:rPr>
        <w:t>further</w:t>
      </w:r>
      <w:r w:rsidR="004B446D" w:rsidRPr="00AC57EA">
        <w:rPr>
          <w:kern w:val="2"/>
          <w:sz w:val="20"/>
          <w:szCs w:val="20"/>
          <w:lang w:val="en-US"/>
        </w:rPr>
        <w:t xml:space="preserve"> harm, the revictimization of the patient must be avoided, and she must not be allowed to continue recalling the events that occurred or the harm done to her or questioning herself in this regard,”</w:t>
      </w:r>
      <w:r w:rsidR="004B446D" w:rsidRPr="00AC57EA">
        <w:rPr>
          <w:kern w:val="2"/>
          <w:sz w:val="20"/>
          <w:szCs w:val="20"/>
          <w:lang w:val="en-US" w:eastAsia="en-US"/>
        </w:rPr>
        <w:t xml:space="preserve"> </w:t>
      </w:r>
      <w:r w:rsidR="00171E27" w:rsidRPr="00AC57EA">
        <w:rPr>
          <w:kern w:val="2"/>
          <w:sz w:val="20"/>
          <w:szCs w:val="20"/>
          <w:lang w:val="en-US" w:eastAsia="en-US"/>
        </w:rPr>
        <w:t xml:space="preserve">and </w:t>
      </w:r>
      <w:r w:rsidR="004B446D" w:rsidRPr="00AC57EA">
        <w:rPr>
          <w:kern w:val="2"/>
          <w:sz w:val="20"/>
          <w:szCs w:val="20"/>
          <w:lang w:val="en-US" w:eastAsia="en-US"/>
        </w:rPr>
        <w:t>(</w:t>
      </w:r>
      <w:r w:rsidR="00B5625C" w:rsidRPr="00AC57EA">
        <w:rPr>
          <w:kern w:val="2"/>
          <w:sz w:val="20"/>
          <w:szCs w:val="20"/>
          <w:lang w:val="en-US" w:eastAsia="en-US"/>
        </w:rPr>
        <w:t xml:space="preserve">d) </w:t>
      </w:r>
      <w:r w:rsidR="004B446D" w:rsidRPr="00AC57EA">
        <w:rPr>
          <w:kern w:val="2"/>
          <w:sz w:val="20"/>
          <w:szCs w:val="20"/>
          <w:lang w:val="en-US" w:eastAsia="en-US"/>
        </w:rPr>
        <w:t>on April 22,</w:t>
      </w:r>
      <w:r w:rsidR="00B5625C" w:rsidRPr="00AC57EA">
        <w:rPr>
          <w:kern w:val="2"/>
          <w:sz w:val="20"/>
          <w:szCs w:val="20"/>
          <w:lang w:val="en-US" w:eastAsia="en-US"/>
        </w:rPr>
        <w:t xml:space="preserve"> 2001</w:t>
      </w:r>
      <w:r w:rsidR="004B446D" w:rsidRPr="00AC57EA">
        <w:rPr>
          <w:kern w:val="2"/>
          <w:sz w:val="20"/>
          <w:szCs w:val="20"/>
          <w:lang w:val="en-US" w:eastAsia="en-US"/>
        </w:rPr>
        <w:t xml:space="preserve">, she issued an epicrisis in which she concluded that </w:t>
      </w:r>
      <w:r w:rsidR="00B5625C" w:rsidRPr="00AC57EA">
        <w:rPr>
          <w:kern w:val="2"/>
          <w:sz w:val="20"/>
          <w:szCs w:val="20"/>
          <w:lang w:val="en-US" w:eastAsia="en-US"/>
        </w:rPr>
        <w:t xml:space="preserve">V.R.P. </w:t>
      </w:r>
      <w:r w:rsidR="004B446D" w:rsidRPr="00AC57EA">
        <w:rPr>
          <w:kern w:val="2"/>
          <w:sz w:val="20"/>
          <w:szCs w:val="20"/>
          <w:lang w:val="en-US" w:eastAsia="en-US"/>
        </w:rPr>
        <w:t>suffered from psychological post-traumatic stress and recommended psychological treatment to “prevent the aftereffects of sexual abuse that could interfere in her future conduct as regards her communication and relationship with her surroundings.</w:t>
      </w:r>
      <w:r w:rsidR="00B5625C" w:rsidRPr="00AC57EA">
        <w:rPr>
          <w:kern w:val="2"/>
          <w:sz w:val="20"/>
          <w:szCs w:val="20"/>
          <w:lang w:val="en-US" w:eastAsia="en-US"/>
        </w:rPr>
        <w:t>”</w:t>
      </w:r>
    </w:p>
    <w:p w14:paraId="32E8D193"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28BCCA0C" w14:textId="64A8B7FF" w:rsidR="00E54EE1" w:rsidRPr="00AC57EA" w:rsidRDefault="00B7258C" w:rsidP="00C74B74">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w:t>
      </w:r>
      <w:r w:rsidR="00A01C02" w:rsidRPr="00AC57EA">
        <w:rPr>
          <w:kern w:val="2"/>
          <w:sz w:val="20"/>
          <w:szCs w:val="20"/>
          <w:lang w:val="en-US" w:eastAsia="en-US"/>
        </w:rPr>
        <w:t xml:space="preserve"> </w:t>
      </w:r>
      <w:r w:rsidR="00C74B74" w:rsidRPr="00AC57EA">
        <w:rPr>
          <w:kern w:val="2"/>
          <w:sz w:val="20"/>
          <w:szCs w:val="20"/>
          <w:lang w:val="en-US" w:eastAsia="en-US"/>
        </w:rPr>
        <w:t xml:space="preserve">has verified that the initial psychological evaluation of V.R.P. </w:t>
      </w:r>
      <w:r w:rsidR="002A0685" w:rsidRPr="00AC57EA">
        <w:rPr>
          <w:kern w:val="2"/>
          <w:sz w:val="20"/>
          <w:szCs w:val="20"/>
          <w:lang w:val="en-US" w:eastAsia="en-US"/>
        </w:rPr>
        <w:t>on November 27,</w:t>
      </w:r>
      <w:r w:rsidR="00A01C02" w:rsidRPr="00AC57EA">
        <w:rPr>
          <w:kern w:val="2"/>
          <w:sz w:val="20"/>
          <w:szCs w:val="20"/>
          <w:lang w:val="en-US" w:eastAsia="en-US"/>
        </w:rPr>
        <w:t xml:space="preserve"> 2001</w:t>
      </w:r>
      <w:r w:rsidR="00C74B74" w:rsidRPr="00AC57EA">
        <w:rPr>
          <w:kern w:val="2"/>
          <w:sz w:val="20"/>
          <w:szCs w:val="20"/>
          <w:lang w:val="en-US" w:eastAsia="en-US"/>
        </w:rPr>
        <w:t>,</w:t>
      </w:r>
      <w:r w:rsidR="00A01C02" w:rsidRPr="00AC57EA">
        <w:rPr>
          <w:kern w:val="2"/>
          <w:sz w:val="20"/>
          <w:szCs w:val="20"/>
          <w:lang w:val="en-US" w:eastAsia="en-US"/>
        </w:rPr>
        <w:t xml:space="preserve"> </w:t>
      </w:r>
      <w:r w:rsidR="00C74B74" w:rsidRPr="00AC57EA">
        <w:rPr>
          <w:kern w:val="2"/>
          <w:sz w:val="20"/>
          <w:szCs w:val="20"/>
          <w:lang w:val="en-US" w:eastAsia="en-US"/>
        </w:rPr>
        <w:t>made by a psychologist</w:t>
      </w:r>
      <w:r w:rsidR="0035434D" w:rsidRPr="00AC57EA">
        <w:rPr>
          <w:kern w:val="2"/>
          <w:sz w:val="20"/>
          <w:szCs w:val="20"/>
          <w:lang w:val="en-US" w:eastAsia="en-US"/>
        </w:rPr>
        <w:t xml:space="preserve"> of the </w:t>
      </w:r>
      <w:r w:rsidR="00E131BB" w:rsidRPr="00AC57EA">
        <w:rPr>
          <w:kern w:val="2"/>
          <w:sz w:val="20"/>
          <w:szCs w:val="20"/>
          <w:lang w:val="en-US" w:eastAsia="en-US"/>
        </w:rPr>
        <w:t>Institute of Forensic Medicine</w:t>
      </w:r>
      <w:r w:rsidR="00C74B74" w:rsidRPr="00AC57EA">
        <w:rPr>
          <w:kern w:val="2"/>
          <w:sz w:val="20"/>
          <w:szCs w:val="20"/>
          <w:lang w:val="en-US" w:eastAsia="en-US"/>
        </w:rPr>
        <w:t xml:space="preserve"> </w:t>
      </w:r>
      <w:r w:rsidR="00A01C02" w:rsidRPr="00AC57EA">
        <w:rPr>
          <w:kern w:val="2"/>
          <w:sz w:val="20"/>
          <w:szCs w:val="20"/>
          <w:lang w:val="en-US" w:eastAsia="en-US"/>
        </w:rPr>
        <w:t>a</w:t>
      </w:r>
      <w:r w:rsidR="00C74B74" w:rsidRPr="00AC57EA">
        <w:rPr>
          <w:kern w:val="2"/>
          <w:sz w:val="20"/>
          <w:szCs w:val="20"/>
          <w:lang w:val="en-US" w:eastAsia="en-US"/>
        </w:rPr>
        <w:t>t the request of the criminal judge in the case</w:t>
      </w:r>
      <w:r w:rsidR="00A01C02" w:rsidRPr="00AC57EA">
        <w:rPr>
          <w:kern w:val="2"/>
          <w:sz w:val="20"/>
          <w:szCs w:val="20"/>
          <w:lang w:val="en-US" w:eastAsia="en-US"/>
        </w:rPr>
        <w:t xml:space="preserve"> (</w:t>
      </w:r>
      <w:r w:rsidR="00A01C02" w:rsidRPr="00AC57EA">
        <w:rPr>
          <w:i/>
          <w:kern w:val="2"/>
          <w:sz w:val="20"/>
          <w:szCs w:val="20"/>
          <w:lang w:val="en-US" w:eastAsia="en-US"/>
        </w:rPr>
        <w:t xml:space="preserve">supra </w:t>
      </w:r>
      <w:r w:rsidR="00171E27" w:rsidRPr="00AC57EA">
        <w:rPr>
          <w:kern w:val="2"/>
          <w:sz w:val="20"/>
          <w:szCs w:val="20"/>
          <w:lang w:val="en-US" w:eastAsia="en-US"/>
        </w:rPr>
        <w:t>para.</w:t>
      </w:r>
      <w:r w:rsidR="00A01C02" w:rsidRPr="00AC57EA">
        <w:rPr>
          <w:kern w:val="2"/>
          <w:sz w:val="20"/>
          <w:szCs w:val="20"/>
          <w:lang w:val="en-US" w:eastAsia="en-US"/>
        </w:rPr>
        <w:t xml:space="preserve"> </w:t>
      </w:r>
      <w:r w:rsidR="001701D3" w:rsidRPr="00AC57EA">
        <w:rPr>
          <w:kern w:val="2"/>
          <w:sz w:val="20"/>
          <w:szCs w:val="20"/>
          <w:lang w:val="en-US" w:eastAsia="en-US"/>
        </w:rPr>
        <w:t>84</w:t>
      </w:r>
      <w:r w:rsidR="00A01C02" w:rsidRPr="00AC57EA">
        <w:rPr>
          <w:kern w:val="2"/>
          <w:sz w:val="20"/>
          <w:szCs w:val="20"/>
          <w:lang w:val="en-US" w:eastAsia="en-US"/>
        </w:rPr>
        <w:t xml:space="preserve">), </w:t>
      </w:r>
      <w:r w:rsidR="00C74B74" w:rsidRPr="00AC57EA">
        <w:rPr>
          <w:kern w:val="2"/>
          <w:sz w:val="20"/>
          <w:szCs w:val="20"/>
          <w:lang w:val="en-US" w:eastAsia="en-US"/>
        </w:rPr>
        <w:t>indicated that the child would require long-term therapy</w:t>
      </w:r>
      <w:r w:rsidR="00A01C02" w:rsidRPr="00AC57EA">
        <w:rPr>
          <w:kern w:val="2"/>
          <w:sz w:val="20"/>
          <w:szCs w:val="20"/>
          <w:lang w:val="en-US" w:eastAsia="en-US"/>
        </w:rPr>
        <w:t>. A</w:t>
      </w:r>
      <w:r w:rsidR="00C74B74" w:rsidRPr="00AC57EA">
        <w:rPr>
          <w:kern w:val="2"/>
          <w:sz w:val="20"/>
          <w:szCs w:val="20"/>
          <w:lang w:val="en-US" w:eastAsia="en-US"/>
        </w:rPr>
        <w:t>lso, the subsequent evaluations made by the psychiatrist repeated this re</w:t>
      </w:r>
      <w:r w:rsidR="00210FBB" w:rsidRPr="00AC57EA">
        <w:rPr>
          <w:kern w:val="2"/>
          <w:sz w:val="20"/>
          <w:szCs w:val="20"/>
          <w:lang w:val="en-US" w:eastAsia="en-US"/>
        </w:rPr>
        <w:t>commendation</w:t>
      </w:r>
      <w:r w:rsidR="00C74B74" w:rsidRPr="00AC57EA">
        <w:rPr>
          <w:kern w:val="2"/>
          <w:sz w:val="20"/>
          <w:szCs w:val="20"/>
          <w:lang w:val="en-US" w:eastAsia="en-US"/>
        </w:rPr>
        <w:t xml:space="preserve"> owing to the psychological effects and the post-traumatic stress diagnosed. There is no record that the State provided this psychological treatment </w:t>
      </w:r>
      <w:r w:rsidR="00210FBB" w:rsidRPr="00AC57EA">
        <w:rPr>
          <w:kern w:val="2"/>
          <w:sz w:val="20"/>
          <w:szCs w:val="20"/>
          <w:lang w:val="en-US" w:eastAsia="en-US"/>
        </w:rPr>
        <w:t xml:space="preserve">through </w:t>
      </w:r>
      <w:r w:rsidR="00FC61A4" w:rsidRPr="00AC57EA">
        <w:rPr>
          <w:kern w:val="2"/>
          <w:sz w:val="20"/>
          <w:szCs w:val="20"/>
          <w:lang w:val="en-US" w:eastAsia="en-US"/>
        </w:rPr>
        <w:t xml:space="preserve">its public health institutions despite these clear indications that it was required. Furthermore, it is not clear whether the psychiatrist provided V.R.P.  with therapy continually so that the child could begin a process of rehabilitation and reintegration because, following her appointment </w:t>
      </w:r>
      <w:r w:rsidR="002A0685" w:rsidRPr="00AC57EA">
        <w:rPr>
          <w:kern w:val="2"/>
          <w:sz w:val="20"/>
          <w:szCs w:val="20"/>
          <w:lang w:val="en-US" w:eastAsia="en-US"/>
        </w:rPr>
        <w:t>on November 23,</w:t>
      </w:r>
      <w:r w:rsidR="00B5625C" w:rsidRPr="00AC57EA">
        <w:rPr>
          <w:kern w:val="2"/>
          <w:sz w:val="20"/>
          <w:szCs w:val="20"/>
          <w:lang w:val="en-US" w:eastAsia="en-US"/>
        </w:rPr>
        <w:t xml:space="preserve"> 2001</w:t>
      </w:r>
      <w:r w:rsidR="00FC61A4" w:rsidRPr="00AC57EA">
        <w:rPr>
          <w:kern w:val="2"/>
          <w:sz w:val="20"/>
          <w:szCs w:val="20"/>
          <w:lang w:val="en-US" w:eastAsia="en-US"/>
        </w:rPr>
        <w:t xml:space="preserve">, and until April </w:t>
      </w:r>
      <w:r w:rsidR="00B5625C" w:rsidRPr="00AC57EA">
        <w:rPr>
          <w:kern w:val="2"/>
          <w:sz w:val="20"/>
          <w:szCs w:val="20"/>
          <w:lang w:val="en-US" w:eastAsia="en-US"/>
        </w:rPr>
        <w:t>22</w:t>
      </w:r>
      <w:r w:rsidR="00FC61A4" w:rsidRPr="00AC57EA">
        <w:rPr>
          <w:kern w:val="2"/>
          <w:sz w:val="20"/>
          <w:szCs w:val="20"/>
          <w:lang w:val="en-US" w:eastAsia="en-US"/>
        </w:rPr>
        <w:t xml:space="preserve">, </w:t>
      </w:r>
      <w:r w:rsidR="00B5625C" w:rsidRPr="00AC57EA">
        <w:rPr>
          <w:kern w:val="2"/>
          <w:sz w:val="20"/>
          <w:szCs w:val="20"/>
          <w:lang w:val="en-US" w:eastAsia="en-US"/>
        </w:rPr>
        <w:t xml:space="preserve">2002, </w:t>
      </w:r>
      <w:r w:rsidR="00FC61A4" w:rsidRPr="00AC57EA">
        <w:rPr>
          <w:kern w:val="2"/>
          <w:sz w:val="20"/>
          <w:szCs w:val="20"/>
          <w:lang w:val="en-US" w:eastAsia="en-US"/>
        </w:rPr>
        <w:t>when psychological therapy commenced, the evidence provided to the Court shows that she</w:t>
      </w:r>
      <w:r w:rsidR="00210FBB" w:rsidRPr="00AC57EA">
        <w:rPr>
          <w:kern w:val="2"/>
          <w:sz w:val="20"/>
          <w:szCs w:val="20"/>
          <w:lang w:val="en-US" w:eastAsia="en-US"/>
        </w:rPr>
        <w:t xml:space="preserve"> only</w:t>
      </w:r>
      <w:r w:rsidR="00FC61A4" w:rsidRPr="00AC57EA">
        <w:rPr>
          <w:kern w:val="2"/>
          <w:sz w:val="20"/>
          <w:szCs w:val="20"/>
          <w:lang w:val="en-US" w:eastAsia="en-US"/>
        </w:rPr>
        <w:t xml:space="preserve"> treated V.R.P. on a very few occasions.</w:t>
      </w:r>
    </w:p>
    <w:p w14:paraId="6D9FF96F" w14:textId="77777777" w:rsidR="00E54EE1" w:rsidRPr="00AC57EA" w:rsidRDefault="00E54EE1" w:rsidP="00E54EE1">
      <w:pPr>
        <w:widowControl/>
        <w:tabs>
          <w:tab w:val="left" w:pos="567"/>
        </w:tabs>
        <w:adjustRightInd/>
        <w:spacing w:line="240" w:lineRule="auto"/>
        <w:textAlignment w:val="auto"/>
        <w:rPr>
          <w:kern w:val="2"/>
          <w:sz w:val="20"/>
          <w:szCs w:val="20"/>
          <w:lang w:val="en-US" w:eastAsia="en-US"/>
        </w:rPr>
      </w:pPr>
    </w:p>
    <w:p w14:paraId="44DB95FB" w14:textId="4D61DE2B" w:rsidR="00FC61A4" w:rsidRPr="00AC57EA" w:rsidRDefault="00FC61A4" w:rsidP="00FC61A4">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lastRenderedPageBreak/>
        <w:t>Although</w:t>
      </w:r>
      <w:r w:rsidR="00B5625C" w:rsidRPr="00AC57EA">
        <w:rPr>
          <w:kern w:val="2"/>
          <w:sz w:val="20"/>
          <w:szCs w:val="20"/>
          <w:lang w:val="en-US" w:eastAsia="en-US"/>
        </w:rPr>
        <w:t xml:space="preserve"> V.R.P., V.P.C.</w:t>
      </w:r>
      <w:r w:rsidR="00171E27" w:rsidRPr="00AC57EA">
        <w:rPr>
          <w:kern w:val="2"/>
          <w:sz w:val="20"/>
          <w:szCs w:val="20"/>
          <w:lang w:val="en-US" w:eastAsia="en-US"/>
        </w:rPr>
        <w:t xml:space="preserve"> and </w:t>
      </w:r>
      <w:r w:rsidR="00B5625C" w:rsidRPr="00AC57EA">
        <w:rPr>
          <w:kern w:val="2"/>
          <w:sz w:val="20"/>
          <w:szCs w:val="20"/>
          <w:lang w:val="en-US" w:eastAsia="en-US"/>
        </w:rPr>
        <w:t xml:space="preserve">N.R.P. </w:t>
      </w:r>
      <w:r w:rsidRPr="00AC57EA">
        <w:rPr>
          <w:kern w:val="2"/>
          <w:sz w:val="20"/>
          <w:szCs w:val="20"/>
          <w:lang w:val="en-US" w:eastAsia="en-US"/>
        </w:rPr>
        <w:t>left</w:t>
      </w:r>
      <w:r w:rsidR="00B5625C" w:rsidRPr="00AC57EA">
        <w:rPr>
          <w:kern w:val="2"/>
          <w:sz w:val="20"/>
          <w:szCs w:val="20"/>
          <w:lang w:val="en-US" w:eastAsia="en-US"/>
        </w:rPr>
        <w:t xml:space="preserve"> Nicaragua </w:t>
      </w:r>
      <w:r w:rsidRPr="00AC57EA">
        <w:rPr>
          <w:kern w:val="2"/>
          <w:sz w:val="20"/>
          <w:szCs w:val="20"/>
          <w:lang w:val="en-US" w:eastAsia="en-US"/>
        </w:rPr>
        <w:t>on December 6,</w:t>
      </w:r>
      <w:r w:rsidR="00B5625C" w:rsidRPr="00AC57EA">
        <w:rPr>
          <w:kern w:val="2"/>
          <w:sz w:val="20"/>
          <w:szCs w:val="20"/>
          <w:lang w:val="en-US" w:eastAsia="en-US"/>
        </w:rPr>
        <w:t xml:space="preserve"> 2002, </w:t>
      </w:r>
      <w:r w:rsidR="00B7258C" w:rsidRPr="00AC57EA">
        <w:rPr>
          <w:kern w:val="2"/>
          <w:sz w:val="20"/>
          <w:szCs w:val="20"/>
          <w:lang w:val="en-US" w:eastAsia="en-US"/>
        </w:rPr>
        <w:t>the Court</w:t>
      </w:r>
      <w:r w:rsidR="00B5625C" w:rsidRPr="00AC57EA">
        <w:rPr>
          <w:kern w:val="2"/>
          <w:sz w:val="20"/>
          <w:szCs w:val="20"/>
          <w:lang w:val="en-US" w:eastAsia="en-US"/>
        </w:rPr>
        <w:t xml:space="preserve"> </w:t>
      </w:r>
      <w:r w:rsidRPr="00AC57EA">
        <w:rPr>
          <w:kern w:val="2"/>
          <w:sz w:val="20"/>
          <w:szCs w:val="20"/>
          <w:lang w:val="en-US" w:eastAsia="en-US"/>
        </w:rPr>
        <w:t xml:space="preserve">notes that almost eight months passed without the child or her family receiving psychological treatment. The Court underscores that V.R.P., who is now 25 years of age, continues to suffer from the psychological effects of the rape and the lack of opportune and continuing medical care that the State should have provided to assist her in recovering from the post-traumatic stress that was diagnosed. In addition, V.R.P.’s family group did not receive continuing psychotherapeutic treatment either; they also requires measures of comprehensive care so that they could provide a family environment </w:t>
      </w:r>
      <w:r w:rsidR="00210FBB" w:rsidRPr="00AC57EA">
        <w:rPr>
          <w:kern w:val="2"/>
          <w:sz w:val="20"/>
          <w:szCs w:val="20"/>
          <w:lang w:val="en-US" w:eastAsia="en-US"/>
        </w:rPr>
        <w:t>that favored</w:t>
      </w:r>
      <w:r w:rsidRPr="00AC57EA">
        <w:rPr>
          <w:kern w:val="2"/>
          <w:sz w:val="20"/>
          <w:szCs w:val="20"/>
          <w:lang w:val="en-US" w:eastAsia="en-US"/>
        </w:rPr>
        <w:t xml:space="preserve"> the child’s recovery and reintegration.</w:t>
      </w:r>
    </w:p>
    <w:p w14:paraId="4F662788" w14:textId="77777777" w:rsidR="00C003A2" w:rsidRPr="00AC57EA" w:rsidRDefault="00C003A2" w:rsidP="00C003A2">
      <w:pPr>
        <w:widowControl/>
        <w:tabs>
          <w:tab w:val="left" w:pos="567"/>
        </w:tabs>
        <w:adjustRightInd/>
        <w:spacing w:line="240" w:lineRule="auto"/>
        <w:textAlignment w:val="auto"/>
        <w:rPr>
          <w:kern w:val="2"/>
          <w:sz w:val="20"/>
          <w:szCs w:val="20"/>
          <w:lang w:val="en-US" w:eastAsia="en-US"/>
        </w:rPr>
      </w:pPr>
    </w:p>
    <w:p w14:paraId="1D076486" w14:textId="3594B74B" w:rsidR="00B5625C" w:rsidRPr="00AC57EA" w:rsidRDefault="00FC61A4" w:rsidP="00A422F9">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In addition, according to the State, the National Council for the Comprehensive Care and Protection of Children and Adolescents requested the Ministry of the Family to </w:t>
      </w:r>
      <w:r w:rsidR="00C357BD" w:rsidRPr="00AC57EA">
        <w:rPr>
          <w:kern w:val="2"/>
          <w:sz w:val="20"/>
          <w:szCs w:val="20"/>
          <w:lang w:val="en-US" w:eastAsia="en-US"/>
        </w:rPr>
        <w:t>prepare a</w:t>
      </w:r>
      <w:r w:rsidRPr="00AC57EA">
        <w:rPr>
          <w:kern w:val="2"/>
          <w:sz w:val="20"/>
          <w:szCs w:val="20"/>
          <w:lang w:val="en-US" w:eastAsia="en-US"/>
        </w:rPr>
        <w:t xml:space="preserve"> </w:t>
      </w:r>
      <w:r w:rsidR="008D4179" w:rsidRPr="00AC57EA">
        <w:rPr>
          <w:kern w:val="2"/>
          <w:sz w:val="20"/>
          <w:szCs w:val="20"/>
          <w:lang w:val="en-US" w:eastAsia="en-US"/>
        </w:rPr>
        <w:t xml:space="preserve">biopsychosocial </w:t>
      </w:r>
      <w:r w:rsidR="00C357BD" w:rsidRPr="00AC57EA">
        <w:rPr>
          <w:kern w:val="2"/>
          <w:sz w:val="20"/>
          <w:szCs w:val="20"/>
          <w:lang w:val="en-US" w:eastAsia="en-US"/>
        </w:rPr>
        <w:t>report on</w:t>
      </w:r>
      <w:r w:rsidR="008D4179" w:rsidRPr="00AC57EA">
        <w:rPr>
          <w:kern w:val="2"/>
          <w:sz w:val="20"/>
          <w:szCs w:val="20"/>
          <w:lang w:val="en-US" w:eastAsia="en-US"/>
        </w:rPr>
        <w:t xml:space="preserve"> V.R.P.</w:t>
      </w:r>
      <w:r w:rsidR="00C357BD" w:rsidRPr="00AC57EA">
        <w:rPr>
          <w:kern w:val="2"/>
          <w:sz w:val="20"/>
          <w:szCs w:val="20"/>
          <w:lang w:val="en-US" w:eastAsia="en-US"/>
        </w:rPr>
        <w:t xml:space="preserve"> to help her recover from the effects of the rape.</w:t>
      </w:r>
      <w:r w:rsidR="00A422F9" w:rsidRPr="00AC57EA">
        <w:rPr>
          <w:rStyle w:val="Refdenotaalpie"/>
          <w:kern w:val="2"/>
          <w:sz w:val="20"/>
          <w:szCs w:val="20"/>
          <w:lang w:val="en-US" w:eastAsia="en-US"/>
        </w:rPr>
        <w:footnoteReference w:id="279"/>
      </w:r>
      <w:r w:rsidR="00C357BD" w:rsidRPr="00AC57EA">
        <w:rPr>
          <w:kern w:val="2"/>
          <w:sz w:val="20"/>
          <w:szCs w:val="20"/>
          <w:lang w:val="en-US" w:eastAsia="en-US"/>
        </w:rPr>
        <w:t xml:space="preserve"> The Ministry then asked the civil judge to respond to the request for annulment of the acquittal filed by V.P.C., “so that the delay in justice does not </w:t>
      </w:r>
      <w:r w:rsidR="00210FBB" w:rsidRPr="00AC57EA">
        <w:rPr>
          <w:kern w:val="2"/>
          <w:sz w:val="20"/>
          <w:szCs w:val="20"/>
          <w:lang w:val="en-US" w:eastAsia="en-US"/>
        </w:rPr>
        <w:t>violated</w:t>
      </w:r>
      <w:r w:rsidR="00C357BD" w:rsidRPr="00AC57EA">
        <w:rPr>
          <w:kern w:val="2"/>
          <w:sz w:val="20"/>
          <w:szCs w:val="20"/>
          <w:lang w:val="en-US" w:eastAsia="en-US"/>
        </w:rPr>
        <w:t xml:space="preserve"> her human rights.</w:t>
      </w:r>
      <w:r w:rsidR="00A422F9" w:rsidRPr="00AC57EA">
        <w:rPr>
          <w:kern w:val="2"/>
          <w:sz w:val="20"/>
          <w:szCs w:val="20"/>
          <w:lang w:val="en-US" w:eastAsia="en-US"/>
        </w:rPr>
        <w:t>”</w:t>
      </w:r>
      <w:r w:rsidR="00A422F9" w:rsidRPr="00AC57EA">
        <w:rPr>
          <w:rStyle w:val="Refdenotaalpie"/>
          <w:kern w:val="2"/>
          <w:sz w:val="20"/>
          <w:szCs w:val="20"/>
          <w:lang w:val="en-US" w:eastAsia="en-US"/>
        </w:rPr>
        <w:footnoteReference w:id="280"/>
      </w:r>
      <w:r w:rsidR="00053399" w:rsidRPr="00AC57EA">
        <w:rPr>
          <w:kern w:val="2"/>
          <w:sz w:val="20"/>
          <w:szCs w:val="20"/>
          <w:lang w:val="en-US" w:eastAsia="en-US"/>
        </w:rPr>
        <w:t xml:space="preserve"> </w:t>
      </w:r>
      <w:r w:rsidR="00C357BD" w:rsidRPr="00AC57EA">
        <w:rPr>
          <w:kern w:val="2"/>
          <w:sz w:val="20"/>
          <w:szCs w:val="20"/>
          <w:lang w:val="en-US" w:eastAsia="en-US"/>
        </w:rPr>
        <w:t>However, the State did not advise whether the said report was prepared, or whether any actions were taken as a result of this.</w:t>
      </w:r>
    </w:p>
    <w:p w14:paraId="3FA83389" w14:textId="77777777" w:rsidR="00F63EBB" w:rsidRPr="00AC57EA" w:rsidRDefault="00F63EBB" w:rsidP="00F63EBB">
      <w:pPr>
        <w:widowControl/>
        <w:tabs>
          <w:tab w:val="left" w:pos="567"/>
        </w:tabs>
        <w:adjustRightInd/>
        <w:spacing w:line="240" w:lineRule="auto"/>
        <w:jc w:val="left"/>
        <w:textAlignment w:val="auto"/>
        <w:rPr>
          <w:kern w:val="2"/>
          <w:sz w:val="20"/>
          <w:szCs w:val="20"/>
          <w:lang w:val="en-US" w:eastAsia="en-US"/>
        </w:rPr>
      </w:pPr>
    </w:p>
    <w:p w14:paraId="444249B3" w14:textId="78E3D90E" w:rsidR="00C357BD" w:rsidRPr="00AC57EA" w:rsidRDefault="00C357BD" w:rsidP="00F63EBB">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The Court notes that the Ombudsman</w:t>
      </w:r>
      <w:r w:rsidR="00210FBB" w:rsidRPr="00AC57EA">
        <w:rPr>
          <w:kern w:val="2"/>
          <w:sz w:val="20"/>
          <w:szCs w:val="20"/>
          <w:lang w:val="en-US" w:eastAsia="en-US"/>
        </w:rPr>
        <w:t>’s Office</w:t>
      </w:r>
      <w:r w:rsidRPr="00AC57EA">
        <w:rPr>
          <w:kern w:val="2"/>
          <w:sz w:val="20"/>
          <w:szCs w:val="20"/>
          <w:lang w:val="en-US" w:eastAsia="en-US"/>
        </w:rPr>
        <w:t xml:space="preserve"> monitored the criminal proceedings for the </w:t>
      </w:r>
      <w:r w:rsidR="00210FBB" w:rsidRPr="00AC57EA">
        <w:rPr>
          <w:kern w:val="2"/>
          <w:sz w:val="20"/>
          <w:szCs w:val="20"/>
          <w:lang w:val="en-US" w:eastAsia="en-US"/>
        </w:rPr>
        <w:t xml:space="preserve">child’s </w:t>
      </w:r>
      <w:r w:rsidRPr="00AC57EA">
        <w:rPr>
          <w:kern w:val="2"/>
          <w:sz w:val="20"/>
          <w:szCs w:val="20"/>
          <w:lang w:val="en-US" w:eastAsia="en-US"/>
        </w:rPr>
        <w:t>rape and issued a report underlining various irregularities in the proceedings (</w:t>
      </w:r>
      <w:r w:rsidRPr="00AC57EA">
        <w:rPr>
          <w:i/>
          <w:kern w:val="2"/>
          <w:sz w:val="20"/>
          <w:szCs w:val="20"/>
          <w:lang w:val="en-US" w:eastAsia="en-US"/>
        </w:rPr>
        <w:t>supra</w:t>
      </w:r>
      <w:r w:rsidRPr="00AC57EA">
        <w:rPr>
          <w:kern w:val="2"/>
          <w:sz w:val="20"/>
          <w:szCs w:val="20"/>
          <w:lang w:val="en-US" w:eastAsia="en-US"/>
        </w:rPr>
        <w:t xml:space="preserve"> para. 100). However, according to the information </w:t>
      </w:r>
      <w:r w:rsidR="007317E6" w:rsidRPr="00AC57EA">
        <w:rPr>
          <w:kern w:val="2"/>
          <w:sz w:val="20"/>
          <w:szCs w:val="20"/>
          <w:lang w:val="en-US" w:eastAsia="en-US"/>
        </w:rPr>
        <w:t xml:space="preserve">provided to the Court, this institution did not have competence to represent V.R.P.’s interests during the criminal proceedings in the case, which could have avoided the revictimizing actions to which V.R.P. was subjected during the </w:t>
      </w:r>
      <w:r w:rsidR="0025395E" w:rsidRPr="00AC57EA">
        <w:rPr>
          <w:kern w:val="2"/>
          <w:sz w:val="20"/>
          <w:szCs w:val="20"/>
          <w:lang w:val="en-US" w:eastAsia="en-US"/>
        </w:rPr>
        <w:t>course of the</w:t>
      </w:r>
      <w:r w:rsidR="00210FBB" w:rsidRPr="00AC57EA">
        <w:rPr>
          <w:kern w:val="2"/>
          <w:sz w:val="20"/>
          <w:szCs w:val="20"/>
          <w:lang w:val="en-US" w:eastAsia="en-US"/>
        </w:rPr>
        <w:t>se</w:t>
      </w:r>
      <w:r w:rsidR="0025395E" w:rsidRPr="00AC57EA">
        <w:rPr>
          <w:kern w:val="2"/>
          <w:sz w:val="20"/>
          <w:szCs w:val="20"/>
          <w:lang w:val="en-US" w:eastAsia="en-US"/>
        </w:rPr>
        <w:t xml:space="preserve"> </w:t>
      </w:r>
      <w:r w:rsidR="007317E6" w:rsidRPr="00AC57EA">
        <w:rPr>
          <w:kern w:val="2"/>
          <w:sz w:val="20"/>
          <w:szCs w:val="20"/>
          <w:lang w:val="en-US" w:eastAsia="en-US"/>
        </w:rPr>
        <w:t>proceedings.</w:t>
      </w:r>
    </w:p>
    <w:p w14:paraId="1D453E2B" w14:textId="77777777" w:rsidR="00B5625C" w:rsidRPr="00AC57EA" w:rsidRDefault="00B5625C" w:rsidP="00B5625C">
      <w:pPr>
        <w:widowControl/>
        <w:adjustRightInd/>
        <w:spacing w:line="240" w:lineRule="auto"/>
        <w:jc w:val="left"/>
        <w:textAlignment w:val="auto"/>
        <w:rPr>
          <w:kern w:val="2"/>
          <w:sz w:val="20"/>
          <w:szCs w:val="20"/>
          <w:lang w:val="en-US" w:eastAsia="en-US"/>
        </w:rPr>
      </w:pPr>
    </w:p>
    <w:p w14:paraId="046EC7A6" w14:textId="55C3B23C" w:rsidR="004D41D9" w:rsidRPr="00AC57EA" w:rsidRDefault="0025395E" w:rsidP="004D41D9">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In conclusion</w:t>
      </w:r>
      <w:r w:rsidR="004D41D9" w:rsidRPr="00AC57EA">
        <w:rPr>
          <w:kern w:val="2"/>
          <w:sz w:val="20"/>
          <w:szCs w:val="20"/>
          <w:lang w:val="en-US" w:eastAsia="en-US"/>
        </w:rPr>
        <w:t xml:space="preserve">, </w:t>
      </w:r>
      <w:r w:rsidR="00B7258C" w:rsidRPr="00AC57EA">
        <w:rPr>
          <w:kern w:val="2"/>
          <w:sz w:val="20"/>
          <w:szCs w:val="20"/>
          <w:lang w:val="en-US" w:eastAsia="en-US"/>
        </w:rPr>
        <w:t>the Court</w:t>
      </w:r>
      <w:r w:rsidR="004D41D9" w:rsidRPr="00AC57EA">
        <w:rPr>
          <w:kern w:val="2"/>
          <w:sz w:val="20"/>
          <w:szCs w:val="20"/>
          <w:lang w:val="en-US" w:eastAsia="en-US"/>
        </w:rPr>
        <w:t xml:space="preserve"> </w:t>
      </w:r>
      <w:r w:rsidRPr="00AC57EA">
        <w:rPr>
          <w:kern w:val="2"/>
          <w:sz w:val="20"/>
          <w:szCs w:val="20"/>
          <w:lang w:val="en-US" w:eastAsia="en-US"/>
        </w:rPr>
        <w:t>considers that</w:t>
      </w:r>
      <w:r w:rsidR="004D41D9" w:rsidRPr="00AC57EA">
        <w:rPr>
          <w:kern w:val="2"/>
          <w:sz w:val="20"/>
          <w:szCs w:val="20"/>
          <w:lang w:val="en-US" w:eastAsia="en-US"/>
        </w:rPr>
        <w:t xml:space="preserve"> </w:t>
      </w:r>
      <w:r w:rsidR="00EC52D7" w:rsidRPr="00AC57EA">
        <w:rPr>
          <w:kern w:val="2"/>
          <w:sz w:val="20"/>
          <w:szCs w:val="20"/>
          <w:lang w:val="en-US" w:eastAsia="en-US"/>
        </w:rPr>
        <w:t>the State</w:t>
      </w:r>
      <w:r w:rsidR="004D41D9" w:rsidRPr="00AC57EA">
        <w:rPr>
          <w:kern w:val="2"/>
          <w:sz w:val="20"/>
          <w:szCs w:val="20"/>
          <w:lang w:val="en-US" w:eastAsia="en-US"/>
        </w:rPr>
        <w:t xml:space="preserve"> </w:t>
      </w:r>
      <w:r w:rsidRPr="00AC57EA">
        <w:rPr>
          <w:kern w:val="2"/>
          <w:sz w:val="20"/>
          <w:szCs w:val="20"/>
          <w:lang w:val="en-US" w:eastAsia="en-US"/>
        </w:rPr>
        <w:t>did not provide comprehensive care</w:t>
      </w:r>
      <w:r w:rsidR="00210FBB" w:rsidRPr="00AC57EA">
        <w:rPr>
          <w:kern w:val="2"/>
          <w:sz w:val="20"/>
          <w:szCs w:val="20"/>
          <w:lang w:val="en-US" w:eastAsia="en-US"/>
        </w:rPr>
        <w:t xml:space="preserve"> and support</w:t>
      </w:r>
      <w:r w:rsidRPr="00AC57EA">
        <w:rPr>
          <w:kern w:val="2"/>
          <w:sz w:val="20"/>
          <w:szCs w:val="20"/>
          <w:lang w:val="en-US" w:eastAsia="en-US"/>
        </w:rPr>
        <w:t xml:space="preserve"> to the V.R.P. during the proceedings or subsequently in order to </w:t>
      </w:r>
      <w:r w:rsidR="00210FBB" w:rsidRPr="00AC57EA">
        <w:rPr>
          <w:kern w:val="2"/>
          <w:sz w:val="20"/>
          <w:szCs w:val="20"/>
          <w:lang w:val="en-US" w:eastAsia="en-US"/>
        </w:rPr>
        <w:t>contribute to</w:t>
      </w:r>
      <w:r w:rsidRPr="00AC57EA">
        <w:rPr>
          <w:kern w:val="2"/>
          <w:sz w:val="20"/>
          <w:szCs w:val="20"/>
          <w:lang w:val="en-US" w:eastAsia="en-US"/>
        </w:rPr>
        <w:t xml:space="preserve"> her recovery, reintegration and rehabilitation.</w:t>
      </w:r>
    </w:p>
    <w:p w14:paraId="28EDDE7C" w14:textId="77777777" w:rsidR="004D41D9" w:rsidRPr="00AC57EA" w:rsidRDefault="004D41D9" w:rsidP="00B5625C">
      <w:pPr>
        <w:widowControl/>
        <w:adjustRightInd/>
        <w:spacing w:line="240" w:lineRule="auto"/>
        <w:jc w:val="left"/>
        <w:textAlignment w:val="auto"/>
        <w:rPr>
          <w:kern w:val="2"/>
          <w:sz w:val="20"/>
          <w:szCs w:val="20"/>
          <w:lang w:val="en-US" w:eastAsia="en-US"/>
        </w:rPr>
      </w:pPr>
    </w:p>
    <w:p w14:paraId="487CF0D8" w14:textId="51B1F684" w:rsidR="009E077B" w:rsidRPr="00AC57EA" w:rsidRDefault="009E077B" w:rsidP="009E077B">
      <w:pPr>
        <w:pStyle w:val="Ttulo3"/>
        <w:rPr>
          <w:b w:val="0"/>
          <w:i/>
          <w:lang w:val="en-US"/>
        </w:rPr>
      </w:pPr>
      <w:bookmarkStart w:id="124" w:name="_Toc514172636"/>
      <w:r w:rsidRPr="00AC57EA">
        <w:rPr>
          <w:b w:val="0"/>
          <w:i/>
          <w:lang w:val="en-US"/>
        </w:rPr>
        <w:t xml:space="preserve">A.2.f </w:t>
      </w:r>
      <w:r w:rsidRPr="00AC57EA">
        <w:rPr>
          <w:b w:val="0"/>
          <w:i/>
          <w:lang w:val="en-US"/>
        </w:rPr>
        <w:tab/>
      </w:r>
      <w:r w:rsidR="0025395E" w:rsidRPr="00AC57EA">
        <w:rPr>
          <w:b w:val="0"/>
          <w:i/>
          <w:lang w:val="en-US"/>
        </w:rPr>
        <w:t>Conclusion</w:t>
      </w:r>
      <w:bookmarkEnd w:id="124"/>
    </w:p>
    <w:p w14:paraId="7C307857" w14:textId="77777777" w:rsidR="009E077B" w:rsidRPr="00AC57EA" w:rsidRDefault="009E077B" w:rsidP="00B5625C">
      <w:pPr>
        <w:widowControl/>
        <w:adjustRightInd/>
        <w:spacing w:line="240" w:lineRule="auto"/>
        <w:jc w:val="left"/>
        <w:textAlignment w:val="auto"/>
        <w:rPr>
          <w:kern w:val="2"/>
          <w:sz w:val="20"/>
          <w:szCs w:val="20"/>
          <w:lang w:val="en-US" w:eastAsia="en-US"/>
        </w:rPr>
      </w:pPr>
    </w:p>
    <w:p w14:paraId="6A8594B1" w14:textId="4550E9F6" w:rsidR="002B490F" w:rsidRPr="00AC57EA" w:rsidRDefault="0025395E" w:rsidP="00B564C6">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Based on the foregoing </w:t>
      </w:r>
      <w:r w:rsidR="002223C8" w:rsidRPr="00AC57EA">
        <w:rPr>
          <w:kern w:val="2"/>
          <w:sz w:val="20"/>
          <w:szCs w:val="20"/>
          <w:lang w:val="en-US" w:eastAsia="en-US"/>
        </w:rPr>
        <w:t>considerations</w:t>
      </w:r>
      <w:r w:rsidR="002B490F" w:rsidRPr="00AC57EA">
        <w:rPr>
          <w:kern w:val="2"/>
          <w:sz w:val="20"/>
          <w:szCs w:val="20"/>
          <w:lang w:val="en-US" w:eastAsia="en-US"/>
        </w:rPr>
        <w:t xml:space="preserve">, </w:t>
      </w:r>
      <w:r w:rsidR="00B7258C" w:rsidRPr="00AC57EA">
        <w:rPr>
          <w:kern w:val="2"/>
          <w:sz w:val="20"/>
          <w:szCs w:val="20"/>
          <w:lang w:val="en-US" w:eastAsia="en-US"/>
        </w:rPr>
        <w:t>the Court</w:t>
      </w:r>
      <w:r w:rsidR="002B490F" w:rsidRPr="00AC57EA">
        <w:rPr>
          <w:kern w:val="2"/>
          <w:sz w:val="20"/>
          <w:szCs w:val="20"/>
          <w:lang w:val="en-US" w:eastAsia="en-US"/>
        </w:rPr>
        <w:t xml:space="preserve"> conclu</w:t>
      </w:r>
      <w:r w:rsidRPr="00AC57EA">
        <w:rPr>
          <w:kern w:val="2"/>
          <w:sz w:val="20"/>
          <w:szCs w:val="20"/>
          <w:lang w:val="en-US" w:eastAsia="en-US"/>
        </w:rPr>
        <w:t>des that</w:t>
      </w:r>
      <w:r w:rsidR="002B490F" w:rsidRPr="00AC57EA">
        <w:rPr>
          <w:kern w:val="2"/>
          <w:sz w:val="20"/>
          <w:szCs w:val="20"/>
          <w:lang w:val="en-US" w:eastAsia="en-US"/>
        </w:rPr>
        <w:t xml:space="preserve"> </w:t>
      </w:r>
      <w:r w:rsidR="00EC52D7" w:rsidRPr="00AC57EA">
        <w:rPr>
          <w:kern w:val="2"/>
          <w:sz w:val="20"/>
          <w:szCs w:val="20"/>
          <w:lang w:val="en-US" w:eastAsia="en-US"/>
        </w:rPr>
        <w:t>the State</w:t>
      </w:r>
      <w:r w:rsidR="002B490F" w:rsidRPr="00AC57EA">
        <w:rPr>
          <w:kern w:val="2"/>
          <w:sz w:val="20"/>
          <w:szCs w:val="20"/>
          <w:lang w:val="en-US" w:eastAsia="en-US"/>
        </w:rPr>
        <w:t xml:space="preserve"> </w:t>
      </w:r>
      <w:r w:rsidR="002A5974" w:rsidRPr="00AC57EA">
        <w:rPr>
          <w:kern w:val="2"/>
          <w:sz w:val="20"/>
          <w:szCs w:val="20"/>
          <w:lang w:val="en-US" w:eastAsia="en-US"/>
        </w:rPr>
        <w:t>is responsible for the violation of</w:t>
      </w:r>
      <w:r w:rsidR="00D526EE" w:rsidRPr="00AC57EA">
        <w:rPr>
          <w:kern w:val="2"/>
          <w:sz w:val="20"/>
          <w:szCs w:val="20"/>
          <w:lang w:val="en-US" w:eastAsia="en-US"/>
        </w:rPr>
        <w:t xml:space="preserve"> </w:t>
      </w:r>
      <w:r w:rsidRPr="00AC57EA">
        <w:rPr>
          <w:kern w:val="2"/>
          <w:sz w:val="20"/>
          <w:szCs w:val="20"/>
          <w:lang w:val="en-US" w:eastAsia="en-US"/>
        </w:rPr>
        <w:t>the rights to personal integrity, judicial guarantees, priva</w:t>
      </w:r>
      <w:r w:rsidR="00210FBB" w:rsidRPr="00AC57EA">
        <w:rPr>
          <w:kern w:val="2"/>
          <w:sz w:val="20"/>
          <w:szCs w:val="20"/>
          <w:lang w:val="en-US" w:eastAsia="en-US"/>
        </w:rPr>
        <w:t xml:space="preserve">te and </w:t>
      </w:r>
      <w:r w:rsidRPr="00AC57EA">
        <w:rPr>
          <w:kern w:val="2"/>
          <w:sz w:val="20"/>
          <w:szCs w:val="20"/>
          <w:lang w:val="en-US" w:eastAsia="en-US"/>
        </w:rPr>
        <w:t>family life</w:t>
      </w:r>
      <w:r w:rsidR="00210FBB" w:rsidRPr="00AC57EA">
        <w:rPr>
          <w:kern w:val="2"/>
          <w:sz w:val="20"/>
          <w:szCs w:val="20"/>
          <w:lang w:val="en-US" w:eastAsia="en-US"/>
        </w:rPr>
        <w:t>,</w:t>
      </w:r>
      <w:r w:rsidRPr="00AC57EA">
        <w:rPr>
          <w:kern w:val="2"/>
          <w:sz w:val="20"/>
          <w:szCs w:val="20"/>
          <w:lang w:val="en-US" w:eastAsia="en-US"/>
        </w:rPr>
        <w:t xml:space="preserve"> </w:t>
      </w:r>
      <w:r w:rsidR="00171E27" w:rsidRPr="00AC57EA">
        <w:rPr>
          <w:kern w:val="2"/>
          <w:sz w:val="20"/>
          <w:szCs w:val="20"/>
          <w:lang w:val="en-US" w:eastAsia="en-US"/>
        </w:rPr>
        <w:t xml:space="preserve">and </w:t>
      </w:r>
      <w:r w:rsidRPr="00AC57EA">
        <w:rPr>
          <w:kern w:val="2"/>
          <w:sz w:val="20"/>
          <w:szCs w:val="20"/>
          <w:lang w:val="en-US" w:eastAsia="en-US"/>
        </w:rPr>
        <w:t xml:space="preserve">judicial protection, by both acts and omissions, </w:t>
      </w:r>
      <w:r w:rsidR="00EB338E" w:rsidRPr="00AC57EA">
        <w:rPr>
          <w:kern w:val="2"/>
          <w:sz w:val="20"/>
          <w:szCs w:val="20"/>
          <w:lang w:val="en-US" w:eastAsia="en-US"/>
        </w:rPr>
        <w:t>pursuant to</w:t>
      </w:r>
      <w:r w:rsidR="00D526EE" w:rsidRPr="00AC57EA">
        <w:rPr>
          <w:kern w:val="2"/>
          <w:sz w:val="20"/>
          <w:szCs w:val="20"/>
          <w:lang w:val="en-US" w:eastAsia="en-US"/>
        </w:rPr>
        <w:t xml:space="preserve"> </w:t>
      </w:r>
      <w:r w:rsidR="00B7258C" w:rsidRPr="00AC57EA">
        <w:rPr>
          <w:kern w:val="2"/>
          <w:sz w:val="20"/>
          <w:szCs w:val="20"/>
          <w:lang w:val="en-US" w:eastAsia="en-US"/>
        </w:rPr>
        <w:t>Articles</w:t>
      </w:r>
      <w:r w:rsidR="00D526EE" w:rsidRPr="00AC57EA">
        <w:rPr>
          <w:kern w:val="2"/>
          <w:sz w:val="20"/>
          <w:szCs w:val="20"/>
          <w:lang w:val="en-US" w:eastAsia="en-US"/>
        </w:rPr>
        <w:t xml:space="preserve"> </w:t>
      </w:r>
      <w:r w:rsidR="00171E27" w:rsidRPr="00AC57EA">
        <w:rPr>
          <w:kern w:val="2"/>
          <w:sz w:val="20"/>
          <w:szCs w:val="20"/>
          <w:lang w:val="en-US" w:eastAsia="en-US"/>
        </w:rPr>
        <w:t>5(1)</w:t>
      </w:r>
      <w:r w:rsidR="00D526EE" w:rsidRPr="00AC57EA">
        <w:rPr>
          <w:kern w:val="2"/>
          <w:sz w:val="20"/>
          <w:szCs w:val="20"/>
          <w:lang w:val="en-US" w:eastAsia="en-US"/>
        </w:rPr>
        <w:t xml:space="preserve">, </w:t>
      </w:r>
      <w:r w:rsidR="00171E27" w:rsidRPr="00AC57EA">
        <w:rPr>
          <w:kern w:val="2"/>
          <w:sz w:val="20"/>
          <w:szCs w:val="20"/>
          <w:lang w:val="en-US" w:eastAsia="en-US"/>
        </w:rPr>
        <w:t>8(1)</w:t>
      </w:r>
      <w:r w:rsidR="00D526EE" w:rsidRPr="00AC57EA">
        <w:rPr>
          <w:kern w:val="2"/>
          <w:sz w:val="20"/>
          <w:szCs w:val="20"/>
          <w:lang w:val="en-US" w:eastAsia="en-US"/>
        </w:rPr>
        <w:t xml:space="preserve">, </w:t>
      </w:r>
      <w:r w:rsidR="004151E3" w:rsidRPr="00AC57EA">
        <w:rPr>
          <w:kern w:val="2"/>
          <w:sz w:val="20"/>
          <w:szCs w:val="20"/>
          <w:lang w:val="en-US" w:eastAsia="en-US"/>
        </w:rPr>
        <w:t>11(2)</w:t>
      </w:r>
      <w:r w:rsidR="00171E27" w:rsidRPr="00AC57EA">
        <w:rPr>
          <w:kern w:val="2"/>
          <w:sz w:val="20"/>
          <w:szCs w:val="20"/>
          <w:lang w:val="en-US" w:eastAsia="en-US"/>
        </w:rPr>
        <w:t xml:space="preserve"> and </w:t>
      </w:r>
      <w:r w:rsidR="00D526EE" w:rsidRPr="00AC57EA">
        <w:rPr>
          <w:kern w:val="2"/>
          <w:sz w:val="20"/>
          <w:szCs w:val="20"/>
          <w:lang w:val="en-US" w:eastAsia="en-US"/>
        </w:rPr>
        <w:t>2</w:t>
      </w:r>
      <w:r w:rsidR="00171E27" w:rsidRPr="00AC57EA">
        <w:rPr>
          <w:kern w:val="2"/>
          <w:sz w:val="20"/>
          <w:szCs w:val="20"/>
          <w:lang w:val="en-US" w:eastAsia="en-US"/>
        </w:rPr>
        <w:t>5(1)</w:t>
      </w:r>
      <w:r w:rsidR="00B7258C" w:rsidRPr="00AC57EA">
        <w:rPr>
          <w:kern w:val="2"/>
          <w:sz w:val="20"/>
          <w:szCs w:val="20"/>
          <w:lang w:val="en-US" w:eastAsia="en-US"/>
        </w:rPr>
        <w:t xml:space="preserve"> of the American Convention on Human Rights</w:t>
      </w:r>
      <w:r w:rsidR="00D526EE" w:rsidRPr="00AC57EA">
        <w:rPr>
          <w:kern w:val="2"/>
          <w:sz w:val="20"/>
          <w:szCs w:val="20"/>
          <w:lang w:val="en-US" w:eastAsia="en-US"/>
        </w:rPr>
        <w:t xml:space="preserve">, </w:t>
      </w:r>
      <w:r w:rsidR="00171E27" w:rsidRPr="00AC57EA">
        <w:rPr>
          <w:kern w:val="2"/>
          <w:sz w:val="20"/>
          <w:szCs w:val="20"/>
          <w:lang w:val="en-US" w:eastAsia="en-US"/>
        </w:rPr>
        <w:t xml:space="preserve">in relation to Articles 1(1) and </w:t>
      </w:r>
      <w:r w:rsidR="00D526EE" w:rsidRPr="00AC57EA">
        <w:rPr>
          <w:kern w:val="2"/>
          <w:sz w:val="20"/>
          <w:szCs w:val="20"/>
          <w:lang w:val="en-US" w:eastAsia="en-US"/>
        </w:rPr>
        <w:t xml:space="preserve">19 </w:t>
      </w:r>
      <w:r w:rsidR="002A5974" w:rsidRPr="00AC57EA">
        <w:rPr>
          <w:kern w:val="2"/>
          <w:sz w:val="20"/>
          <w:szCs w:val="20"/>
          <w:lang w:val="en-US" w:eastAsia="en-US"/>
        </w:rPr>
        <w:t>of this instrument</w:t>
      </w:r>
      <w:r w:rsidR="00D526EE" w:rsidRPr="00AC57EA">
        <w:rPr>
          <w:kern w:val="2"/>
          <w:sz w:val="20"/>
          <w:szCs w:val="20"/>
          <w:lang w:val="en-US" w:eastAsia="en-US"/>
        </w:rPr>
        <w:t>,</w:t>
      </w:r>
      <w:r w:rsidR="00B564C6" w:rsidRPr="00AC57EA">
        <w:rPr>
          <w:kern w:val="2"/>
          <w:sz w:val="20"/>
          <w:szCs w:val="20"/>
          <w:lang w:val="en-US" w:eastAsia="en-US"/>
        </w:rPr>
        <w:t xml:space="preserve"> as</w:t>
      </w:r>
      <w:r w:rsidRPr="00AC57EA">
        <w:rPr>
          <w:kern w:val="2"/>
          <w:sz w:val="20"/>
          <w:szCs w:val="20"/>
          <w:lang w:val="en-US" w:eastAsia="en-US"/>
        </w:rPr>
        <w:t xml:space="preserve"> well as for</w:t>
      </w:r>
      <w:r w:rsidR="00210FBB" w:rsidRPr="00AC57EA">
        <w:rPr>
          <w:kern w:val="2"/>
          <w:sz w:val="20"/>
          <w:szCs w:val="20"/>
          <w:lang w:val="en-US" w:eastAsia="en-US"/>
        </w:rPr>
        <w:t xml:space="preserve"> the</w:t>
      </w:r>
      <w:r w:rsidRPr="00AC57EA">
        <w:rPr>
          <w:kern w:val="2"/>
          <w:sz w:val="20"/>
          <w:szCs w:val="20"/>
          <w:lang w:val="en-US" w:eastAsia="en-US"/>
        </w:rPr>
        <w:t xml:space="preserve"> failure to comply with the obligations derived from</w:t>
      </w:r>
      <w:r w:rsidR="00171E27" w:rsidRPr="00AC57EA">
        <w:rPr>
          <w:kern w:val="2"/>
          <w:sz w:val="20"/>
          <w:szCs w:val="20"/>
          <w:lang w:val="en-US" w:eastAsia="en-US"/>
        </w:rPr>
        <w:t xml:space="preserve"> Article</w:t>
      </w:r>
      <w:r w:rsidR="00B564C6" w:rsidRPr="00AC57EA">
        <w:rPr>
          <w:kern w:val="2"/>
          <w:sz w:val="20"/>
          <w:szCs w:val="20"/>
          <w:lang w:val="en-US" w:eastAsia="en-US"/>
        </w:rPr>
        <w:t xml:space="preserve"> </w:t>
      </w:r>
      <w:r w:rsidR="007D5AA2" w:rsidRPr="00AC57EA">
        <w:rPr>
          <w:kern w:val="2"/>
          <w:sz w:val="20"/>
          <w:szCs w:val="20"/>
          <w:lang w:val="en-US" w:eastAsia="en-US"/>
        </w:rPr>
        <w:t>7(b)</w:t>
      </w:r>
      <w:r w:rsidR="00B7258C" w:rsidRPr="00AC57EA">
        <w:rPr>
          <w:kern w:val="2"/>
          <w:sz w:val="20"/>
          <w:szCs w:val="20"/>
          <w:lang w:val="en-US" w:eastAsia="en-US"/>
        </w:rPr>
        <w:t xml:space="preserve"> of the </w:t>
      </w:r>
      <w:r w:rsidR="00171E27" w:rsidRPr="00AC57EA">
        <w:rPr>
          <w:kern w:val="2"/>
          <w:sz w:val="20"/>
          <w:szCs w:val="20"/>
          <w:lang w:val="en-US" w:eastAsia="en-US"/>
        </w:rPr>
        <w:t>Convention of Belém</w:t>
      </w:r>
      <w:r w:rsidR="00B564C6" w:rsidRPr="00AC57EA">
        <w:rPr>
          <w:kern w:val="2"/>
          <w:sz w:val="20"/>
          <w:szCs w:val="20"/>
          <w:lang w:val="en-US" w:eastAsia="en-US"/>
        </w:rPr>
        <w:t xml:space="preserve"> do Pará, </w:t>
      </w:r>
      <w:r w:rsidR="002F084B" w:rsidRPr="00AC57EA">
        <w:rPr>
          <w:kern w:val="2"/>
          <w:sz w:val="20"/>
          <w:szCs w:val="20"/>
          <w:lang w:val="en-US" w:eastAsia="en-US"/>
        </w:rPr>
        <w:t>to the detriment of</w:t>
      </w:r>
      <w:r w:rsidR="00B564C6" w:rsidRPr="00AC57EA">
        <w:rPr>
          <w:kern w:val="2"/>
          <w:sz w:val="20"/>
          <w:szCs w:val="20"/>
          <w:lang w:val="en-US" w:eastAsia="en-US"/>
        </w:rPr>
        <w:t xml:space="preserve"> V.R.P.</w:t>
      </w:r>
      <w:r w:rsidR="00171E27" w:rsidRPr="00AC57EA">
        <w:rPr>
          <w:kern w:val="2"/>
          <w:sz w:val="20"/>
          <w:szCs w:val="20"/>
          <w:lang w:val="en-US" w:eastAsia="en-US"/>
        </w:rPr>
        <w:t xml:space="preserve"> and </w:t>
      </w:r>
      <w:r w:rsidR="00B564C6" w:rsidRPr="00AC57EA">
        <w:rPr>
          <w:kern w:val="2"/>
          <w:sz w:val="20"/>
          <w:szCs w:val="20"/>
          <w:lang w:val="en-US" w:eastAsia="en-US"/>
        </w:rPr>
        <w:t>V.P.C.</w:t>
      </w:r>
    </w:p>
    <w:p w14:paraId="21A64A81" w14:textId="77777777" w:rsidR="009E077B" w:rsidRPr="00AC57EA" w:rsidRDefault="009E077B" w:rsidP="00B5625C">
      <w:pPr>
        <w:widowControl/>
        <w:adjustRightInd/>
        <w:spacing w:line="240" w:lineRule="auto"/>
        <w:jc w:val="left"/>
        <w:textAlignment w:val="auto"/>
        <w:rPr>
          <w:kern w:val="2"/>
          <w:sz w:val="20"/>
          <w:szCs w:val="20"/>
          <w:lang w:val="en-US" w:eastAsia="en-US"/>
        </w:rPr>
      </w:pPr>
    </w:p>
    <w:bookmarkEnd w:id="104"/>
    <w:bookmarkEnd w:id="105"/>
    <w:bookmarkEnd w:id="106"/>
    <w:p w14:paraId="0385088A" w14:textId="1FD9C4DF" w:rsidR="00B5625C" w:rsidRPr="00AC57EA" w:rsidRDefault="0025395E" w:rsidP="00A92F94">
      <w:pPr>
        <w:pStyle w:val="Prrafodelista"/>
        <w:keepNext/>
        <w:keepLines/>
        <w:widowControl/>
        <w:numPr>
          <w:ilvl w:val="0"/>
          <w:numId w:val="16"/>
        </w:numPr>
        <w:tabs>
          <w:tab w:val="left" w:pos="1134"/>
        </w:tabs>
        <w:autoSpaceDE w:val="0"/>
        <w:autoSpaceDN w:val="0"/>
        <w:adjustRightInd/>
        <w:spacing w:line="240" w:lineRule="auto"/>
        <w:ind w:left="1134" w:hanging="567"/>
        <w:textAlignment w:val="auto"/>
        <w:outlineLvl w:val="1"/>
        <w:rPr>
          <w:rFonts w:eastAsia="MS Mincho" w:cs="Arial"/>
          <w:b/>
          <w:bCs/>
          <w:i/>
          <w:kern w:val="2"/>
          <w:sz w:val="20"/>
          <w:szCs w:val="20"/>
          <w:lang w:val="en-US" w:eastAsia="en-US"/>
        </w:rPr>
      </w:pPr>
      <w:r w:rsidRPr="00AC57EA">
        <w:rPr>
          <w:rFonts w:eastAsia="MS Mincho" w:cs="Arial"/>
          <w:b/>
          <w:bCs/>
          <w:i/>
          <w:kern w:val="2"/>
          <w:sz w:val="20"/>
          <w:szCs w:val="20"/>
          <w:lang w:val="en-US" w:eastAsia="en-US"/>
        </w:rPr>
        <w:t>Application of the requirements of due process to jury trials</w:t>
      </w:r>
    </w:p>
    <w:p w14:paraId="21A54929" w14:textId="77777777" w:rsidR="00B5625C" w:rsidRPr="00AC57EA" w:rsidRDefault="00B5625C" w:rsidP="00B5625C">
      <w:pPr>
        <w:widowControl/>
        <w:adjustRightInd/>
        <w:spacing w:line="240" w:lineRule="auto"/>
        <w:textAlignment w:val="auto"/>
        <w:rPr>
          <w:b/>
          <w:sz w:val="20"/>
          <w:szCs w:val="20"/>
          <w:lang w:val="en-US" w:eastAsia="en-US"/>
        </w:rPr>
      </w:pPr>
    </w:p>
    <w:p w14:paraId="5CF4781E" w14:textId="14F4C588" w:rsidR="00B5625C" w:rsidRPr="00AC57EA" w:rsidRDefault="00A92F94" w:rsidP="00B5625C">
      <w:pPr>
        <w:keepNext/>
        <w:keepLines/>
        <w:tabs>
          <w:tab w:val="left" w:pos="1701"/>
        </w:tabs>
        <w:spacing w:line="240" w:lineRule="auto"/>
        <w:ind w:left="1134"/>
        <w:outlineLvl w:val="1"/>
        <w:rPr>
          <w:bCs/>
          <w:i/>
          <w:sz w:val="20"/>
          <w:szCs w:val="20"/>
          <w:lang w:val="en-US"/>
        </w:rPr>
      </w:pPr>
      <w:bookmarkStart w:id="125" w:name="_Toc514172638"/>
      <w:r w:rsidRPr="00AC57EA">
        <w:rPr>
          <w:bCs/>
          <w:i/>
          <w:sz w:val="20"/>
          <w:szCs w:val="20"/>
          <w:lang w:val="en-US"/>
        </w:rPr>
        <w:t>B</w:t>
      </w:r>
      <w:r w:rsidR="00B5625C" w:rsidRPr="00AC57EA">
        <w:rPr>
          <w:bCs/>
          <w:i/>
          <w:sz w:val="20"/>
          <w:szCs w:val="20"/>
          <w:lang w:val="en-US"/>
        </w:rPr>
        <w:t>.</w:t>
      </w:r>
      <w:r w:rsidR="0032081D" w:rsidRPr="00AC57EA">
        <w:rPr>
          <w:bCs/>
          <w:i/>
          <w:sz w:val="20"/>
          <w:szCs w:val="20"/>
          <w:lang w:val="en-US"/>
        </w:rPr>
        <w:t>1</w:t>
      </w:r>
      <w:r w:rsidR="00B5625C" w:rsidRPr="00AC57EA">
        <w:rPr>
          <w:bCs/>
          <w:i/>
          <w:sz w:val="20"/>
          <w:szCs w:val="20"/>
          <w:lang w:val="en-US"/>
        </w:rPr>
        <w:t xml:space="preserve"> </w:t>
      </w:r>
      <w:r w:rsidR="00B5625C" w:rsidRPr="00AC57EA">
        <w:rPr>
          <w:bCs/>
          <w:i/>
          <w:sz w:val="20"/>
          <w:szCs w:val="20"/>
          <w:lang w:val="en-US"/>
        </w:rPr>
        <w:tab/>
      </w:r>
      <w:r w:rsidR="009E569E" w:rsidRPr="00AC57EA">
        <w:rPr>
          <w:bCs/>
          <w:i/>
          <w:sz w:val="20"/>
          <w:szCs w:val="20"/>
          <w:lang w:val="en-US"/>
        </w:rPr>
        <w:t>Arguments</w:t>
      </w:r>
      <w:r w:rsidR="006F71B8" w:rsidRPr="00AC57EA">
        <w:rPr>
          <w:lang w:val="en-US"/>
        </w:rPr>
        <w:t xml:space="preserve"> </w:t>
      </w:r>
      <w:r w:rsidR="0025395E" w:rsidRPr="00AC57EA">
        <w:rPr>
          <w:bCs/>
          <w:i/>
          <w:sz w:val="20"/>
          <w:szCs w:val="20"/>
          <w:lang w:val="en-US"/>
        </w:rPr>
        <w:t>of the parties</w:t>
      </w:r>
      <w:r w:rsidR="00171E27" w:rsidRPr="00AC57EA">
        <w:rPr>
          <w:bCs/>
          <w:i/>
          <w:sz w:val="20"/>
          <w:szCs w:val="20"/>
          <w:lang w:val="en-US"/>
        </w:rPr>
        <w:t xml:space="preserve"> and </w:t>
      </w:r>
      <w:r w:rsidR="00B7258C" w:rsidRPr="00AC57EA">
        <w:rPr>
          <w:bCs/>
          <w:i/>
          <w:sz w:val="20"/>
          <w:szCs w:val="20"/>
          <w:lang w:val="en-US"/>
        </w:rPr>
        <w:t>of the Commission</w:t>
      </w:r>
      <w:r w:rsidR="00B5625C" w:rsidRPr="00AC57EA">
        <w:rPr>
          <w:bCs/>
          <w:i/>
          <w:sz w:val="20"/>
          <w:szCs w:val="20"/>
          <w:lang w:val="en-US"/>
        </w:rPr>
        <w:t xml:space="preserve"> </w:t>
      </w:r>
      <w:r w:rsidR="0025395E" w:rsidRPr="00AC57EA">
        <w:rPr>
          <w:bCs/>
          <w:i/>
          <w:sz w:val="20"/>
          <w:szCs w:val="20"/>
          <w:lang w:val="en-US"/>
        </w:rPr>
        <w:t>on impartiality</w:t>
      </w:r>
      <w:bookmarkEnd w:id="125"/>
    </w:p>
    <w:p w14:paraId="29B10904" w14:textId="77777777" w:rsidR="00B5625C" w:rsidRPr="00AC57EA" w:rsidRDefault="00B5625C" w:rsidP="00B5625C">
      <w:pPr>
        <w:widowControl/>
        <w:tabs>
          <w:tab w:val="left" w:pos="720"/>
        </w:tabs>
        <w:adjustRightInd/>
        <w:spacing w:line="240" w:lineRule="auto"/>
        <w:jc w:val="left"/>
        <w:textAlignment w:val="auto"/>
        <w:rPr>
          <w:rFonts w:eastAsia="MS Mincho"/>
          <w:b/>
          <w:sz w:val="20"/>
          <w:szCs w:val="20"/>
          <w:lang w:val="en-US" w:eastAsia="en-US"/>
        </w:rPr>
      </w:pPr>
    </w:p>
    <w:p w14:paraId="3B325374" w14:textId="6FF101C6" w:rsidR="00AE629D" w:rsidRPr="00AC57EA" w:rsidRDefault="00B7258C" w:rsidP="0025395E">
      <w:pPr>
        <w:widowControl/>
        <w:numPr>
          <w:ilvl w:val="0"/>
          <w:numId w:val="2"/>
        </w:numPr>
        <w:tabs>
          <w:tab w:val="left" w:pos="567"/>
          <w:tab w:val="num" w:pos="12305"/>
        </w:tabs>
        <w:adjustRightInd/>
        <w:spacing w:line="240" w:lineRule="auto"/>
        <w:ind w:left="0" w:firstLine="0"/>
        <w:textAlignment w:val="auto"/>
        <w:rPr>
          <w:rFonts w:eastAsia="Calibri" w:cs="Arial"/>
          <w:b/>
          <w:sz w:val="20"/>
          <w:szCs w:val="20"/>
          <w:lang w:val="en-US" w:eastAsia="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Commission</w:t>
      </w:r>
      <w:r w:rsidR="00B5625C" w:rsidRPr="00AC57EA">
        <w:rPr>
          <w:rFonts w:eastAsia="Calibri" w:cs="Arial"/>
          <w:sz w:val="20"/>
          <w:szCs w:val="20"/>
          <w:lang w:val="en-US" w:eastAsia="en-US"/>
        </w:rPr>
        <w:t xml:space="preserve"> </w:t>
      </w:r>
      <w:r w:rsidR="0025395E" w:rsidRPr="00AC57EA">
        <w:rPr>
          <w:rFonts w:eastAsia="Calibri" w:cs="Arial"/>
          <w:sz w:val="20"/>
          <w:szCs w:val="20"/>
          <w:lang w:val="en-US" w:eastAsia="en-US"/>
        </w:rPr>
        <w:t>emphasized the existence of reports of irregularities in the jury selection and the acquittal</w:t>
      </w:r>
      <w:r w:rsidR="0000301E" w:rsidRPr="00AC57EA">
        <w:rPr>
          <w:rFonts w:eastAsia="Calibri" w:cs="Arial"/>
          <w:sz w:val="20"/>
          <w:szCs w:val="20"/>
          <w:lang w:val="en-US" w:eastAsia="en-US"/>
        </w:rPr>
        <w:t xml:space="preserve"> issued</w:t>
      </w:r>
      <w:r w:rsidR="0025395E" w:rsidRPr="00AC57EA">
        <w:rPr>
          <w:rFonts w:eastAsia="Calibri" w:cs="Arial"/>
          <w:sz w:val="20"/>
          <w:szCs w:val="20"/>
          <w:lang w:val="en-US" w:eastAsia="en-US"/>
        </w:rPr>
        <w:t xml:space="preserve"> in April 2002. </w:t>
      </w:r>
      <w:r w:rsidR="0000301E" w:rsidRPr="00AC57EA">
        <w:rPr>
          <w:rFonts w:eastAsia="Calibri" w:cs="Arial"/>
          <w:sz w:val="20"/>
          <w:szCs w:val="20"/>
          <w:lang w:val="en-US" w:eastAsia="en-US"/>
        </w:rPr>
        <w:t>The</w:t>
      </w:r>
      <w:r w:rsidR="0025395E" w:rsidRPr="00AC57EA">
        <w:rPr>
          <w:rFonts w:eastAsia="Calibri" w:cs="Arial"/>
          <w:sz w:val="20"/>
          <w:szCs w:val="20"/>
          <w:lang w:val="en-US" w:eastAsia="en-US"/>
        </w:rPr>
        <w:t xml:space="preserve"> Commission noted the petitioners’ arguments regarding: (i)</w:t>
      </w:r>
      <w:r w:rsidR="0025395E" w:rsidRPr="00AC57EA">
        <w:rPr>
          <w:sz w:val="20"/>
          <w:szCs w:val="20"/>
          <w:lang w:val="en-US"/>
        </w:rPr>
        <w:t xml:space="preserve"> the unjustified suspension of the trial on two occasions; </w:t>
      </w:r>
      <w:r w:rsidR="00AE629D" w:rsidRPr="00AC57EA">
        <w:rPr>
          <w:sz w:val="20"/>
          <w:szCs w:val="20"/>
          <w:lang w:val="en-US"/>
        </w:rPr>
        <w:t>(</w:t>
      </w:r>
      <w:r w:rsidR="0025395E" w:rsidRPr="00AC57EA">
        <w:rPr>
          <w:sz w:val="20"/>
          <w:szCs w:val="20"/>
          <w:lang w:val="en-US"/>
        </w:rPr>
        <w:t xml:space="preserve">ii) the violation of the right </w:t>
      </w:r>
      <w:r w:rsidR="00AE629D" w:rsidRPr="00AC57EA">
        <w:rPr>
          <w:sz w:val="20"/>
          <w:szCs w:val="20"/>
          <w:lang w:val="en-US"/>
        </w:rPr>
        <w:t>of</w:t>
      </w:r>
      <w:r w:rsidR="0025395E" w:rsidRPr="00AC57EA">
        <w:rPr>
          <w:sz w:val="20"/>
          <w:szCs w:val="20"/>
          <w:lang w:val="en-US"/>
        </w:rPr>
        <w:t xml:space="preserve"> defense due to the rejection of the prosecution’s request for the participation of two additional lawyers during the trial</w:t>
      </w:r>
      <w:r w:rsidR="00AE629D" w:rsidRPr="00AC57EA">
        <w:rPr>
          <w:sz w:val="20"/>
          <w:szCs w:val="20"/>
          <w:lang w:val="en-US"/>
        </w:rPr>
        <w:t>,</w:t>
      </w:r>
      <w:r w:rsidR="0025395E" w:rsidRPr="00AC57EA">
        <w:rPr>
          <w:sz w:val="20"/>
          <w:szCs w:val="20"/>
          <w:lang w:val="en-US"/>
        </w:rPr>
        <w:t xml:space="preserve"> and </w:t>
      </w:r>
      <w:r w:rsidR="00AE629D" w:rsidRPr="00AC57EA">
        <w:rPr>
          <w:sz w:val="20"/>
          <w:szCs w:val="20"/>
          <w:lang w:val="en-US"/>
        </w:rPr>
        <w:t>(</w:t>
      </w:r>
      <w:r w:rsidR="0025395E" w:rsidRPr="00AC57EA">
        <w:rPr>
          <w:sz w:val="20"/>
          <w:szCs w:val="20"/>
          <w:lang w:val="en-US"/>
        </w:rPr>
        <w:t xml:space="preserve">iii) the </w:t>
      </w:r>
      <w:r w:rsidR="00AE629D" w:rsidRPr="00AC57EA">
        <w:rPr>
          <w:sz w:val="20"/>
          <w:szCs w:val="20"/>
          <w:lang w:val="en-US"/>
        </w:rPr>
        <w:t>presumed</w:t>
      </w:r>
      <w:r w:rsidR="0025395E" w:rsidRPr="00AC57EA">
        <w:rPr>
          <w:sz w:val="20"/>
          <w:szCs w:val="20"/>
          <w:lang w:val="en-US"/>
        </w:rPr>
        <w:t xml:space="preserve"> delivery of an envelope to the jury </w:t>
      </w:r>
      <w:r w:rsidR="00AE629D" w:rsidRPr="00AC57EA">
        <w:rPr>
          <w:sz w:val="20"/>
          <w:szCs w:val="20"/>
          <w:lang w:val="en-US"/>
        </w:rPr>
        <w:t xml:space="preserve">and to the judge </w:t>
      </w:r>
      <w:r w:rsidR="0025395E" w:rsidRPr="00AC57EA">
        <w:rPr>
          <w:sz w:val="20"/>
          <w:szCs w:val="20"/>
          <w:lang w:val="en-US"/>
        </w:rPr>
        <w:t xml:space="preserve">by one of the defense lawyers at the end of the </w:t>
      </w:r>
      <w:r w:rsidR="00AE629D" w:rsidRPr="00AC57EA">
        <w:rPr>
          <w:sz w:val="20"/>
          <w:szCs w:val="20"/>
          <w:lang w:val="en-US"/>
        </w:rPr>
        <w:t>hearing.</w:t>
      </w:r>
      <w:r w:rsidR="00AE629D" w:rsidRPr="00AC57EA">
        <w:rPr>
          <w:rFonts w:eastAsia="Calibri" w:cs="Arial"/>
          <w:b/>
          <w:sz w:val="20"/>
          <w:szCs w:val="20"/>
          <w:lang w:val="en-US" w:eastAsia="en-US"/>
        </w:rPr>
        <w:t xml:space="preserve"> </w:t>
      </w:r>
      <w:r w:rsidRPr="00AC57EA">
        <w:rPr>
          <w:rFonts w:eastAsia="Calibri" w:cs="Arial"/>
          <w:sz w:val="20"/>
          <w:szCs w:val="20"/>
          <w:lang w:val="en-US" w:eastAsia="en-US"/>
        </w:rPr>
        <w:t>The Commission</w:t>
      </w:r>
      <w:r w:rsidR="00B5625C" w:rsidRPr="00AC57EA">
        <w:rPr>
          <w:rFonts w:eastAsia="Calibri" w:cs="Arial"/>
          <w:sz w:val="20"/>
          <w:szCs w:val="20"/>
          <w:lang w:val="en-US" w:eastAsia="en-US"/>
        </w:rPr>
        <w:t xml:space="preserve"> </w:t>
      </w:r>
      <w:r w:rsidR="00AE629D" w:rsidRPr="00AC57EA">
        <w:rPr>
          <w:rFonts w:eastAsia="Calibri" w:cs="Arial"/>
          <w:sz w:val="20"/>
          <w:szCs w:val="20"/>
          <w:lang w:val="en-US" w:eastAsia="en-US"/>
        </w:rPr>
        <w:t>added that</w:t>
      </w:r>
      <w:r w:rsidR="00B5625C" w:rsidRPr="00AC57EA">
        <w:rPr>
          <w:rFonts w:eastAsia="Calibri" w:cs="Arial"/>
          <w:sz w:val="20"/>
          <w:szCs w:val="20"/>
          <w:lang w:val="en-US" w:eastAsia="en-US"/>
        </w:rPr>
        <w:t xml:space="preserve"> </w:t>
      </w:r>
      <w:r w:rsidR="00EC52D7" w:rsidRPr="00AC57EA">
        <w:rPr>
          <w:rFonts w:eastAsia="Calibri" w:cs="Arial"/>
          <w:sz w:val="20"/>
          <w:szCs w:val="20"/>
          <w:lang w:val="en-US" w:eastAsia="en-US"/>
        </w:rPr>
        <w:t>the State</w:t>
      </w:r>
      <w:r w:rsidR="00B5625C" w:rsidRPr="00AC57EA">
        <w:rPr>
          <w:rFonts w:eastAsia="Calibri" w:cs="Arial"/>
          <w:sz w:val="20"/>
          <w:szCs w:val="20"/>
          <w:lang w:val="en-US" w:eastAsia="en-US"/>
        </w:rPr>
        <w:t xml:space="preserve"> </w:t>
      </w:r>
      <w:r w:rsidR="00AE629D" w:rsidRPr="00AC57EA">
        <w:rPr>
          <w:rFonts w:eastAsia="Calibri" w:cs="Arial"/>
          <w:sz w:val="20"/>
          <w:szCs w:val="20"/>
          <w:lang w:val="en-US" w:eastAsia="en-US"/>
        </w:rPr>
        <w:t xml:space="preserve">had failed to duly clarify the serious doubts that had arisen concerning possible corruption and pressure </w:t>
      </w:r>
      <w:r w:rsidR="00AE629D" w:rsidRPr="00AC57EA">
        <w:rPr>
          <w:rFonts w:eastAsia="Calibri" w:cs="Arial"/>
          <w:sz w:val="20"/>
          <w:szCs w:val="20"/>
          <w:lang w:val="en-US" w:eastAsia="en-US"/>
        </w:rPr>
        <w:lastRenderedPageBreak/>
        <w:t xml:space="preserve">exerted by the perpetrator from his alleged position of power because he had been </w:t>
      </w:r>
      <w:r w:rsidR="0000301E" w:rsidRPr="00AC57EA">
        <w:rPr>
          <w:rFonts w:eastAsia="Calibri" w:cs="Arial"/>
          <w:sz w:val="20"/>
          <w:szCs w:val="20"/>
          <w:lang w:val="en-US" w:eastAsia="en-US"/>
        </w:rPr>
        <w:t>associated with</w:t>
      </w:r>
      <w:r w:rsidR="00AE629D" w:rsidRPr="00AC57EA">
        <w:rPr>
          <w:rFonts w:eastAsia="Calibri" w:cs="Arial"/>
          <w:sz w:val="20"/>
          <w:szCs w:val="20"/>
          <w:lang w:val="en-US" w:eastAsia="en-US"/>
        </w:rPr>
        <w:t xml:space="preserve"> the local judiciary at one time.</w:t>
      </w:r>
    </w:p>
    <w:p w14:paraId="129E1ED9" w14:textId="77777777" w:rsidR="00B5625C" w:rsidRPr="00AC57EA" w:rsidRDefault="00B5625C" w:rsidP="00B5625C">
      <w:pPr>
        <w:widowControl/>
        <w:tabs>
          <w:tab w:val="left" w:pos="720"/>
        </w:tabs>
        <w:adjustRightInd/>
        <w:spacing w:line="240" w:lineRule="auto"/>
        <w:jc w:val="left"/>
        <w:textAlignment w:val="auto"/>
        <w:rPr>
          <w:rFonts w:eastAsia="MS Mincho"/>
          <w:b/>
          <w:sz w:val="20"/>
          <w:szCs w:val="20"/>
          <w:lang w:val="en-US" w:eastAsia="en-US"/>
        </w:rPr>
      </w:pPr>
    </w:p>
    <w:p w14:paraId="7E84F150" w14:textId="136B83D0" w:rsidR="00AE629D" w:rsidRPr="00AC57EA" w:rsidRDefault="00171E27" w:rsidP="004F5B40">
      <w:pPr>
        <w:widowControl/>
        <w:numPr>
          <w:ilvl w:val="0"/>
          <w:numId w:val="2"/>
        </w:numPr>
        <w:tabs>
          <w:tab w:val="left" w:pos="567"/>
          <w:tab w:val="num" w:pos="12305"/>
        </w:tabs>
        <w:adjustRightInd/>
        <w:spacing w:line="240" w:lineRule="auto"/>
        <w:ind w:left="0" w:firstLine="0"/>
        <w:textAlignment w:val="auto"/>
        <w:rPr>
          <w:rFonts w:eastAsia="Calibri" w:cs="Arial"/>
          <w:b/>
          <w:sz w:val="16"/>
          <w:szCs w:val="20"/>
          <w:lang w:val="en-US" w:eastAsia="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representatives</w:t>
      </w:r>
      <w:r w:rsidR="00B5625C" w:rsidRPr="00AC57EA">
        <w:rPr>
          <w:rFonts w:eastAsia="Calibri" w:cs="Arial"/>
          <w:sz w:val="20"/>
          <w:szCs w:val="20"/>
          <w:lang w:val="en-US" w:eastAsia="en-US"/>
        </w:rPr>
        <w:t xml:space="preserve"> </w:t>
      </w:r>
      <w:r w:rsidR="00AE629D" w:rsidRPr="00AC57EA">
        <w:rPr>
          <w:rFonts w:eastAsia="Calibri" w:cs="Arial"/>
          <w:sz w:val="20"/>
          <w:szCs w:val="20"/>
          <w:lang w:val="en-US" w:eastAsia="en-US"/>
        </w:rPr>
        <w:t>argued that</w:t>
      </w:r>
      <w:r w:rsidR="00B5625C" w:rsidRPr="00AC57EA">
        <w:rPr>
          <w:rFonts w:eastAsia="Calibri" w:cs="Arial"/>
          <w:sz w:val="20"/>
          <w:szCs w:val="20"/>
          <w:lang w:val="en-US" w:eastAsia="en-US"/>
        </w:rPr>
        <w:t xml:space="preserve"> </w:t>
      </w:r>
      <w:r w:rsidR="00EC52D7" w:rsidRPr="00AC57EA">
        <w:rPr>
          <w:rFonts w:eastAsia="Calibri" w:cs="Arial"/>
          <w:sz w:val="20"/>
          <w:szCs w:val="20"/>
          <w:lang w:val="en-US" w:eastAsia="en-US"/>
        </w:rPr>
        <w:t>the State</w:t>
      </w:r>
      <w:r w:rsidR="00B5625C" w:rsidRPr="00AC57EA">
        <w:rPr>
          <w:rFonts w:eastAsia="Calibri" w:cs="Arial"/>
          <w:sz w:val="20"/>
          <w:szCs w:val="20"/>
          <w:lang w:val="en-US" w:eastAsia="en-US"/>
        </w:rPr>
        <w:t xml:space="preserve"> </w:t>
      </w:r>
      <w:r w:rsidR="00AE629D" w:rsidRPr="00AC57EA">
        <w:rPr>
          <w:rFonts w:eastAsia="Calibri" w:cs="Arial"/>
          <w:sz w:val="20"/>
          <w:szCs w:val="20"/>
          <w:lang w:val="en-US" w:eastAsia="en-US"/>
        </w:rPr>
        <w:t xml:space="preserve">had failed to guarantee a trial that was transparent and free of influences. To the contrary, the trial reflected political influence, prejudices based on the religious beliefs of the victim’s mother, and the violation of the victim’s right of defense because she was not </w:t>
      </w:r>
      <w:r w:rsidR="0000161F" w:rsidRPr="00AC57EA">
        <w:rPr>
          <w:rFonts w:eastAsia="Calibri" w:cs="Arial"/>
          <w:sz w:val="20"/>
          <w:szCs w:val="20"/>
          <w:lang w:val="en-US" w:eastAsia="en-US"/>
        </w:rPr>
        <w:t>given</w:t>
      </w:r>
      <w:r w:rsidR="00AE629D" w:rsidRPr="00AC57EA">
        <w:rPr>
          <w:rFonts w:eastAsia="Calibri" w:cs="Arial"/>
          <w:sz w:val="20"/>
          <w:szCs w:val="20"/>
          <w:lang w:val="en-US" w:eastAsia="en-US"/>
        </w:rPr>
        <w:t xml:space="preserve"> the opportunity to contradict the content of the </w:t>
      </w:r>
      <w:r w:rsidR="0000301E" w:rsidRPr="00AC57EA">
        <w:rPr>
          <w:rFonts w:eastAsia="Calibri" w:cs="Arial"/>
          <w:sz w:val="20"/>
          <w:szCs w:val="20"/>
          <w:lang w:val="en-US" w:eastAsia="en-US"/>
        </w:rPr>
        <w:t>pink</w:t>
      </w:r>
      <w:r w:rsidR="00AE629D" w:rsidRPr="00AC57EA">
        <w:rPr>
          <w:rFonts w:eastAsia="Calibri" w:cs="Arial"/>
          <w:sz w:val="20"/>
          <w:szCs w:val="20"/>
          <w:lang w:val="en-US" w:eastAsia="en-US"/>
        </w:rPr>
        <w:t xml:space="preserve"> </w:t>
      </w:r>
      <w:r w:rsidR="0000301E" w:rsidRPr="00AC57EA">
        <w:rPr>
          <w:rFonts w:eastAsia="Calibri" w:cs="Arial"/>
          <w:sz w:val="20"/>
          <w:szCs w:val="20"/>
          <w:lang w:val="en-US" w:eastAsia="en-US"/>
        </w:rPr>
        <w:t>sheets of</w:t>
      </w:r>
      <w:r w:rsidR="00AE629D" w:rsidRPr="00AC57EA">
        <w:rPr>
          <w:rFonts w:eastAsia="Calibri" w:cs="Arial"/>
          <w:sz w:val="20"/>
          <w:szCs w:val="20"/>
          <w:lang w:val="en-US" w:eastAsia="en-US"/>
        </w:rPr>
        <w:t xml:space="preserve"> paper handed to the jury to be read in private. Similarly, they pointed to the denigrating attitude of the judge towards the victim’s mothe</w:t>
      </w:r>
      <w:r w:rsidR="0000301E" w:rsidRPr="00AC57EA">
        <w:rPr>
          <w:rFonts w:eastAsia="Calibri" w:cs="Arial"/>
          <w:sz w:val="20"/>
          <w:szCs w:val="20"/>
          <w:lang w:val="en-US" w:eastAsia="en-US"/>
        </w:rPr>
        <w:t>r due</w:t>
      </w:r>
      <w:r w:rsidR="00AE629D" w:rsidRPr="00AC57EA">
        <w:rPr>
          <w:rFonts w:eastAsia="Calibri" w:cs="Arial"/>
          <w:sz w:val="20"/>
          <w:szCs w:val="20"/>
          <w:lang w:val="en-US" w:eastAsia="en-US"/>
        </w:rPr>
        <w:t xml:space="preserve"> to the way </w:t>
      </w:r>
      <w:r w:rsidR="0000301E" w:rsidRPr="00AC57EA">
        <w:rPr>
          <w:rFonts w:eastAsia="Calibri" w:cs="Arial"/>
          <w:sz w:val="20"/>
          <w:szCs w:val="20"/>
          <w:lang w:val="en-US" w:eastAsia="en-US"/>
        </w:rPr>
        <w:t>in which</w:t>
      </w:r>
      <w:r w:rsidR="00AE629D" w:rsidRPr="00AC57EA">
        <w:rPr>
          <w:rFonts w:eastAsia="Calibri" w:cs="Arial"/>
          <w:sz w:val="20"/>
          <w:szCs w:val="20"/>
          <w:lang w:val="en-US" w:eastAsia="en-US"/>
        </w:rPr>
        <w:t xml:space="preserve"> she treated V.P.C. </w:t>
      </w:r>
      <w:r w:rsidR="0000301E" w:rsidRPr="00AC57EA">
        <w:rPr>
          <w:rFonts w:eastAsia="Calibri" w:cs="Arial"/>
          <w:sz w:val="20"/>
          <w:szCs w:val="20"/>
          <w:lang w:val="en-US" w:eastAsia="en-US"/>
        </w:rPr>
        <w:t xml:space="preserve">by </w:t>
      </w:r>
      <w:r w:rsidR="00AE629D" w:rsidRPr="00AC57EA">
        <w:rPr>
          <w:rFonts w:eastAsia="Calibri" w:cs="Arial"/>
          <w:sz w:val="20"/>
          <w:szCs w:val="20"/>
          <w:lang w:val="en-US" w:eastAsia="en-US"/>
        </w:rPr>
        <w:t xml:space="preserve">allowing the defense counsel to use words that discredited her, and </w:t>
      </w:r>
      <w:r w:rsidR="0000301E" w:rsidRPr="00AC57EA">
        <w:rPr>
          <w:rFonts w:eastAsia="Calibri" w:cs="Arial"/>
          <w:sz w:val="20"/>
          <w:szCs w:val="20"/>
          <w:lang w:val="en-US" w:eastAsia="en-US"/>
        </w:rPr>
        <w:t>by</w:t>
      </w:r>
      <w:r w:rsidR="00AE629D" w:rsidRPr="00AC57EA">
        <w:rPr>
          <w:rFonts w:eastAsia="Calibri" w:cs="Arial"/>
          <w:sz w:val="20"/>
          <w:szCs w:val="20"/>
          <w:lang w:val="en-US" w:eastAsia="en-US"/>
        </w:rPr>
        <w:t xml:space="preserve"> not allowing her to be present </w:t>
      </w:r>
      <w:r w:rsidR="009438E3" w:rsidRPr="00AC57EA">
        <w:rPr>
          <w:rFonts w:eastAsia="Calibri" w:cs="Arial"/>
          <w:sz w:val="20"/>
          <w:szCs w:val="20"/>
          <w:lang w:val="en-US" w:eastAsia="en-US"/>
        </w:rPr>
        <w:t>when the jury was selected, which affected the impartiality and transparency of the trial. In addition, they indicated that the judge did not allow the prosecution to have the same number of lawyers as she allowed the defense.</w:t>
      </w:r>
    </w:p>
    <w:p w14:paraId="6C55778D" w14:textId="77777777" w:rsidR="00B5625C" w:rsidRPr="00AC57EA" w:rsidRDefault="00B5625C" w:rsidP="00B5625C">
      <w:pPr>
        <w:widowControl/>
        <w:tabs>
          <w:tab w:val="left" w:pos="720"/>
        </w:tabs>
        <w:adjustRightInd/>
        <w:spacing w:line="240" w:lineRule="auto"/>
        <w:jc w:val="left"/>
        <w:textAlignment w:val="auto"/>
        <w:rPr>
          <w:rFonts w:eastAsia="MS Mincho"/>
          <w:b/>
          <w:sz w:val="20"/>
          <w:szCs w:val="20"/>
          <w:lang w:val="en-US" w:eastAsia="en-US"/>
        </w:rPr>
      </w:pPr>
    </w:p>
    <w:p w14:paraId="6059D807" w14:textId="0A40FD59" w:rsidR="009438E3" w:rsidRPr="00AC57EA" w:rsidRDefault="00EC52D7" w:rsidP="004F5B40">
      <w:pPr>
        <w:widowControl/>
        <w:numPr>
          <w:ilvl w:val="0"/>
          <w:numId w:val="2"/>
        </w:numPr>
        <w:tabs>
          <w:tab w:val="left" w:pos="567"/>
          <w:tab w:val="num" w:pos="12305"/>
        </w:tabs>
        <w:adjustRightInd/>
        <w:spacing w:line="240" w:lineRule="auto"/>
        <w:ind w:left="0" w:firstLine="0"/>
        <w:textAlignment w:val="auto"/>
        <w:rPr>
          <w:rFonts w:eastAsia="Calibri" w:cs="Arial"/>
          <w:b/>
          <w:sz w:val="20"/>
          <w:szCs w:val="20"/>
          <w:lang w:val="en-US" w:eastAsia="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State</w:t>
      </w:r>
      <w:r w:rsidR="00B5625C" w:rsidRPr="00AC57EA">
        <w:rPr>
          <w:rFonts w:eastAsia="Calibri" w:cs="Arial"/>
          <w:sz w:val="20"/>
          <w:szCs w:val="20"/>
          <w:lang w:val="en-US" w:eastAsia="en-US"/>
        </w:rPr>
        <w:t xml:space="preserve"> </w:t>
      </w:r>
      <w:r w:rsidR="009438E3" w:rsidRPr="00AC57EA">
        <w:rPr>
          <w:rFonts w:eastAsia="Calibri" w:cs="Arial"/>
          <w:sz w:val="20"/>
          <w:szCs w:val="20"/>
          <w:lang w:val="en-US" w:eastAsia="en-US"/>
        </w:rPr>
        <w:t xml:space="preserve">indicated that it was not responsible for the verdict issued by the citizens who composed </w:t>
      </w:r>
      <w:r w:rsidR="00823E77" w:rsidRPr="00AC57EA">
        <w:rPr>
          <w:rFonts w:eastAsia="Calibri" w:cs="Arial"/>
          <w:sz w:val="20"/>
          <w:szCs w:val="20"/>
          <w:lang w:val="en-US" w:eastAsia="en-US"/>
        </w:rPr>
        <w:t>the Jury Court</w:t>
      </w:r>
      <w:r w:rsidR="009438E3" w:rsidRPr="00AC57EA">
        <w:rPr>
          <w:rFonts w:eastAsia="Calibri" w:cs="Arial"/>
          <w:sz w:val="20"/>
          <w:szCs w:val="20"/>
          <w:lang w:val="en-US" w:eastAsia="en-US"/>
        </w:rPr>
        <w:t xml:space="preserve"> who, after discussing the evidence provided during the plenary stage of the proceedings, did not find anything that proved H.R.A.’s responsibility, based on their sound judgment and firm conviction. It also stressed that no complaint had been filed about the jury selection, and V.P.C.’s lawyer had not filed any </w:t>
      </w:r>
      <w:r w:rsidR="00F34A14" w:rsidRPr="00AC57EA">
        <w:rPr>
          <w:rFonts w:eastAsia="Calibri" w:cs="Arial"/>
          <w:sz w:val="20"/>
          <w:szCs w:val="20"/>
          <w:lang w:val="en-US" w:eastAsia="en-US"/>
        </w:rPr>
        <w:t>challenge</w:t>
      </w:r>
      <w:r w:rsidR="009438E3" w:rsidRPr="00AC57EA">
        <w:rPr>
          <w:rFonts w:eastAsia="Calibri" w:cs="Arial"/>
          <w:sz w:val="20"/>
          <w:szCs w:val="20"/>
          <w:lang w:val="en-US" w:eastAsia="en-US"/>
        </w:rPr>
        <w:t xml:space="preserve"> or </w:t>
      </w:r>
      <w:r w:rsidR="00F34A14" w:rsidRPr="00AC57EA">
        <w:rPr>
          <w:rFonts w:eastAsia="Calibri" w:cs="Arial"/>
          <w:sz w:val="20"/>
          <w:szCs w:val="20"/>
          <w:lang w:val="en-US" w:eastAsia="en-US"/>
        </w:rPr>
        <w:t>veto</w:t>
      </w:r>
      <w:r w:rsidR="009438E3" w:rsidRPr="00AC57EA">
        <w:rPr>
          <w:rFonts w:eastAsia="Calibri" w:cs="Arial"/>
          <w:sz w:val="20"/>
          <w:szCs w:val="20"/>
          <w:lang w:val="en-US" w:eastAsia="en-US"/>
        </w:rPr>
        <w:t>.</w:t>
      </w:r>
    </w:p>
    <w:p w14:paraId="76284CE5" w14:textId="77777777" w:rsidR="00B5625C" w:rsidRPr="00AC57EA" w:rsidRDefault="00B5625C" w:rsidP="00B5625C">
      <w:pPr>
        <w:widowControl/>
        <w:autoSpaceDE w:val="0"/>
        <w:autoSpaceDN w:val="0"/>
        <w:adjustRightInd/>
        <w:spacing w:line="240" w:lineRule="auto"/>
        <w:jc w:val="left"/>
        <w:textAlignment w:val="auto"/>
        <w:rPr>
          <w:rFonts w:eastAsia="Calibri" w:cs="Arial"/>
          <w:sz w:val="20"/>
          <w:szCs w:val="20"/>
          <w:lang w:val="en-US" w:eastAsia="en-US"/>
        </w:rPr>
      </w:pPr>
    </w:p>
    <w:p w14:paraId="0F7E7767" w14:textId="45A0AC05" w:rsidR="009438E3" w:rsidRPr="00AC57EA" w:rsidRDefault="009438E3" w:rsidP="004F5B40">
      <w:pPr>
        <w:widowControl/>
        <w:numPr>
          <w:ilvl w:val="0"/>
          <w:numId w:val="2"/>
        </w:numPr>
        <w:tabs>
          <w:tab w:val="left" w:pos="567"/>
          <w:tab w:val="num" w:pos="12305"/>
        </w:tabs>
        <w:adjustRightInd/>
        <w:spacing w:line="240" w:lineRule="auto"/>
        <w:ind w:left="0" w:firstLine="0"/>
        <w:textAlignment w:val="auto"/>
        <w:rPr>
          <w:rFonts w:eastAsia="Calibri" w:cs="Arial"/>
          <w:b/>
          <w:sz w:val="16"/>
          <w:szCs w:val="20"/>
          <w:lang w:val="en-US" w:eastAsia="en-US"/>
        </w:rPr>
      </w:pPr>
      <w:r w:rsidRPr="00AC57EA">
        <w:rPr>
          <w:rFonts w:eastAsia="Calibri"/>
          <w:iCs/>
          <w:sz w:val="20"/>
          <w:szCs w:val="20"/>
          <w:lang w:val="en-US" w:eastAsia="en-US"/>
        </w:rPr>
        <w:t xml:space="preserve">Regarding the rescheduling of the hearing, the State argued that the suspension of the jury on two occasions was due, </w:t>
      </w:r>
      <w:r w:rsidR="0000301E" w:rsidRPr="00AC57EA">
        <w:rPr>
          <w:rFonts w:eastAsia="Calibri"/>
          <w:iCs/>
          <w:sz w:val="20"/>
          <w:szCs w:val="20"/>
          <w:lang w:val="en-US" w:eastAsia="en-US"/>
        </w:rPr>
        <w:t>in the first case,</w:t>
      </w:r>
      <w:r w:rsidRPr="00AC57EA">
        <w:rPr>
          <w:rFonts w:eastAsia="Calibri"/>
          <w:iCs/>
          <w:sz w:val="20"/>
          <w:szCs w:val="20"/>
          <w:lang w:val="en-US" w:eastAsia="en-US"/>
        </w:rPr>
        <w:t xml:space="preserve"> to prudence and, </w:t>
      </w:r>
      <w:r w:rsidR="0000301E" w:rsidRPr="00AC57EA">
        <w:rPr>
          <w:rFonts w:eastAsia="Calibri"/>
          <w:iCs/>
          <w:sz w:val="20"/>
          <w:szCs w:val="20"/>
          <w:lang w:val="en-US" w:eastAsia="en-US"/>
        </w:rPr>
        <w:t xml:space="preserve">in the </w:t>
      </w:r>
      <w:r w:rsidRPr="00AC57EA">
        <w:rPr>
          <w:rFonts w:eastAsia="Calibri"/>
          <w:iCs/>
          <w:sz w:val="20"/>
          <w:szCs w:val="20"/>
          <w:lang w:val="en-US" w:eastAsia="en-US"/>
        </w:rPr>
        <w:t>second, because it had been agreed by the parties, including</w:t>
      </w:r>
      <w:r w:rsidRPr="00AC57EA">
        <w:rPr>
          <w:rFonts w:eastAsia="Calibri" w:cs="Arial"/>
          <w:sz w:val="20"/>
          <w:szCs w:val="20"/>
          <w:lang w:val="en-US" w:eastAsia="en-US"/>
        </w:rPr>
        <w:t xml:space="preserve"> V.P.C.’s lawyer. The second rescheduling occurred because the defense counsel had presented a medical certificate ordering him to rest </w:t>
      </w:r>
      <w:r w:rsidR="0000301E" w:rsidRPr="00AC57EA">
        <w:rPr>
          <w:rFonts w:eastAsia="Calibri" w:cs="Arial"/>
          <w:sz w:val="20"/>
          <w:szCs w:val="20"/>
          <w:lang w:val="en-US" w:eastAsia="en-US"/>
        </w:rPr>
        <w:t>as</w:t>
      </w:r>
      <w:r w:rsidRPr="00AC57EA">
        <w:rPr>
          <w:rFonts w:eastAsia="Calibri" w:cs="Arial"/>
          <w:sz w:val="20"/>
          <w:szCs w:val="20"/>
          <w:lang w:val="en-US" w:eastAsia="en-US"/>
        </w:rPr>
        <w:t xml:space="preserve"> he was not in a condition to attend the trial; therefore, the judge had decided to suspend </w:t>
      </w:r>
      <w:r w:rsidR="0000301E" w:rsidRPr="00AC57EA">
        <w:rPr>
          <w:rFonts w:eastAsia="Calibri" w:cs="Arial"/>
          <w:sz w:val="20"/>
          <w:szCs w:val="20"/>
          <w:lang w:val="en-US" w:eastAsia="en-US"/>
        </w:rPr>
        <w:t xml:space="preserve">the proceedings </w:t>
      </w:r>
      <w:r w:rsidRPr="00AC57EA">
        <w:rPr>
          <w:rFonts w:eastAsia="Calibri" w:cs="Arial"/>
          <w:sz w:val="20"/>
          <w:szCs w:val="20"/>
          <w:lang w:val="en-US" w:eastAsia="en-US"/>
        </w:rPr>
        <w:t>in order not to affect the right of defense and because it was justified.</w:t>
      </w:r>
    </w:p>
    <w:p w14:paraId="38464DB7" w14:textId="77777777" w:rsidR="00B5625C" w:rsidRPr="00AC57EA" w:rsidRDefault="00B5625C" w:rsidP="00B5625C">
      <w:pPr>
        <w:widowControl/>
        <w:autoSpaceDE w:val="0"/>
        <w:autoSpaceDN w:val="0"/>
        <w:adjustRightInd/>
        <w:spacing w:line="240" w:lineRule="auto"/>
        <w:jc w:val="left"/>
        <w:textAlignment w:val="auto"/>
        <w:rPr>
          <w:rFonts w:eastAsia="Calibri" w:cs="Arial"/>
          <w:b/>
          <w:sz w:val="16"/>
          <w:szCs w:val="20"/>
          <w:lang w:val="en-US" w:eastAsia="en-US"/>
        </w:rPr>
      </w:pPr>
    </w:p>
    <w:p w14:paraId="4D95122B" w14:textId="35BA2309" w:rsidR="009438E3" w:rsidRPr="00AC57EA" w:rsidRDefault="009438E3" w:rsidP="004F5B40">
      <w:pPr>
        <w:widowControl/>
        <w:numPr>
          <w:ilvl w:val="0"/>
          <w:numId w:val="2"/>
        </w:numPr>
        <w:tabs>
          <w:tab w:val="left" w:pos="567"/>
          <w:tab w:val="num" w:pos="12305"/>
        </w:tabs>
        <w:adjustRightInd/>
        <w:spacing w:line="240" w:lineRule="auto"/>
        <w:ind w:left="0" w:firstLine="0"/>
        <w:textAlignment w:val="auto"/>
        <w:rPr>
          <w:rFonts w:eastAsia="Calibri"/>
          <w:iCs/>
          <w:sz w:val="20"/>
          <w:szCs w:val="20"/>
          <w:lang w:val="en-US" w:eastAsia="en-US"/>
        </w:rPr>
      </w:pPr>
      <w:r w:rsidRPr="00AC57EA">
        <w:rPr>
          <w:rFonts w:eastAsia="Calibri"/>
          <w:iCs/>
          <w:sz w:val="20"/>
          <w:szCs w:val="20"/>
          <w:lang w:val="en-US" w:eastAsia="en-US"/>
        </w:rPr>
        <w:t xml:space="preserve">Likewise, regarding the incident of </w:t>
      </w:r>
      <w:r w:rsidR="0000301E" w:rsidRPr="00AC57EA">
        <w:rPr>
          <w:rFonts w:eastAsia="Calibri"/>
          <w:iCs/>
          <w:sz w:val="20"/>
          <w:szCs w:val="20"/>
          <w:lang w:val="en-US" w:eastAsia="en-US"/>
        </w:rPr>
        <w:t xml:space="preserve">the </w:t>
      </w:r>
      <w:r w:rsidRPr="00AC57EA">
        <w:rPr>
          <w:rFonts w:eastAsia="Calibri"/>
          <w:iCs/>
          <w:sz w:val="20"/>
          <w:szCs w:val="20"/>
          <w:lang w:val="en-US" w:eastAsia="en-US"/>
        </w:rPr>
        <w:t xml:space="preserve">possible corruption of the jury, the State indicated that an evidentiary stage had been opened with regard to the incident and the parties were able to participate extensively; the testimony of all those involved was received; the video was analyzed and the case file was inspected in the presence of the parties who were able to present their arguments, and a ruling was made in this regard. In the record of the inspection of the case file, it was indicated that the file did not contain the pink handwritten document handed to the jury by the accused’s defense lawyer, and that the parties involved in the proceedings stated that they had not observed any anomaly or protest during the oral and public stages of the trial; therefore it was decided not to annul the verdict. </w:t>
      </w:r>
    </w:p>
    <w:p w14:paraId="7CBCAEDD" w14:textId="77777777" w:rsidR="00B5625C" w:rsidRPr="00AC57EA" w:rsidRDefault="00B5625C" w:rsidP="00B5625C">
      <w:pPr>
        <w:widowControl/>
        <w:autoSpaceDE w:val="0"/>
        <w:autoSpaceDN w:val="0"/>
        <w:adjustRightInd/>
        <w:spacing w:line="240" w:lineRule="auto"/>
        <w:jc w:val="left"/>
        <w:textAlignment w:val="auto"/>
        <w:rPr>
          <w:rFonts w:eastAsia="Calibri" w:cs="Arial"/>
          <w:b/>
          <w:sz w:val="16"/>
          <w:szCs w:val="20"/>
          <w:lang w:val="en-US" w:eastAsia="en-US"/>
        </w:rPr>
      </w:pPr>
    </w:p>
    <w:p w14:paraId="6D8D5EFA" w14:textId="4EB07CE7" w:rsidR="00B5625C" w:rsidRPr="00AC57EA" w:rsidRDefault="009438E3" w:rsidP="004F5B40">
      <w:pPr>
        <w:widowControl/>
        <w:numPr>
          <w:ilvl w:val="0"/>
          <w:numId w:val="2"/>
        </w:numPr>
        <w:tabs>
          <w:tab w:val="left" w:pos="567"/>
          <w:tab w:val="num" w:pos="12305"/>
        </w:tabs>
        <w:adjustRightInd/>
        <w:spacing w:line="240" w:lineRule="auto"/>
        <w:ind w:left="0" w:firstLine="0"/>
        <w:textAlignment w:val="auto"/>
        <w:rPr>
          <w:rFonts w:eastAsia="Calibri" w:cs="Arial"/>
          <w:b/>
          <w:sz w:val="16"/>
          <w:szCs w:val="20"/>
          <w:lang w:val="en-US" w:eastAsia="en-US"/>
        </w:rPr>
      </w:pPr>
      <w:r w:rsidRPr="00AC57EA">
        <w:rPr>
          <w:rFonts w:eastAsia="Calibri" w:cs="Arial"/>
          <w:sz w:val="20"/>
          <w:szCs w:val="20"/>
          <w:lang w:val="en-US" w:eastAsia="en-US"/>
        </w:rPr>
        <w:t xml:space="preserve">In addition, regarding the supposed political influence referred to by </w:t>
      </w:r>
      <w:r w:rsidR="00171E27" w:rsidRPr="00AC57EA">
        <w:rPr>
          <w:rFonts w:eastAsia="Calibri" w:cs="Arial"/>
          <w:sz w:val="20"/>
          <w:szCs w:val="20"/>
          <w:lang w:val="en-US" w:eastAsia="en-US"/>
        </w:rPr>
        <w:t>the representatives</w:t>
      </w:r>
      <w:r w:rsidR="00B5625C" w:rsidRPr="00AC57EA">
        <w:rPr>
          <w:rFonts w:eastAsia="Calibri" w:cs="Arial"/>
          <w:sz w:val="20"/>
          <w:szCs w:val="20"/>
          <w:lang w:val="en-US" w:eastAsia="en-US"/>
        </w:rPr>
        <w:t xml:space="preserve">, </w:t>
      </w:r>
      <w:r w:rsidR="00EC52D7" w:rsidRPr="00AC57EA">
        <w:rPr>
          <w:rFonts w:eastAsia="Calibri" w:cs="Arial"/>
          <w:sz w:val="20"/>
          <w:szCs w:val="20"/>
          <w:lang w:val="en-US" w:eastAsia="en-US"/>
        </w:rPr>
        <w:t>the State</w:t>
      </w:r>
      <w:r w:rsidR="00B5625C" w:rsidRPr="00AC57EA">
        <w:rPr>
          <w:rFonts w:eastAsia="Calibri" w:cs="Arial"/>
          <w:sz w:val="20"/>
          <w:szCs w:val="20"/>
          <w:lang w:val="en-US" w:eastAsia="en-US"/>
        </w:rPr>
        <w:t xml:space="preserve"> </w:t>
      </w:r>
      <w:r w:rsidRPr="00AC57EA">
        <w:rPr>
          <w:rFonts w:eastAsia="Calibri" w:cs="Arial"/>
          <w:sz w:val="20"/>
          <w:szCs w:val="20"/>
          <w:lang w:val="en-US" w:eastAsia="en-US"/>
        </w:rPr>
        <w:t xml:space="preserve">indicated that this had not been proved, either in the domestic sphere or before </w:t>
      </w:r>
      <w:r w:rsidR="00B7258C" w:rsidRPr="00AC57EA">
        <w:rPr>
          <w:rFonts w:eastAsia="Calibri" w:cs="Arial"/>
          <w:sz w:val="20"/>
          <w:szCs w:val="20"/>
          <w:lang w:val="en-US" w:eastAsia="en-US"/>
        </w:rPr>
        <w:t>the Commission</w:t>
      </w:r>
      <w:r w:rsidR="00114139" w:rsidRPr="00AC57EA">
        <w:rPr>
          <w:rFonts w:eastAsia="Calibri" w:cs="Arial"/>
          <w:sz w:val="20"/>
          <w:szCs w:val="20"/>
          <w:lang w:val="en-US" w:eastAsia="en-US"/>
        </w:rPr>
        <w:t>,</w:t>
      </w:r>
      <w:r w:rsidR="00B5625C" w:rsidRPr="00AC57EA">
        <w:rPr>
          <w:rFonts w:eastAsia="Calibri" w:cs="Arial"/>
          <w:sz w:val="20"/>
          <w:szCs w:val="20"/>
          <w:lang w:val="en-US" w:eastAsia="en-US"/>
        </w:rPr>
        <w:t xml:space="preserve"> </w:t>
      </w:r>
      <w:r w:rsidRPr="00AC57EA">
        <w:rPr>
          <w:rFonts w:eastAsia="Calibri" w:cs="Arial"/>
          <w:sz w:val="20"/>
          <w:szCs w:val="20"/>
          <w:lang w:val="en-US" w:eastAsia="en-US"/>
        </w:rPr>
        <w:t xml:space="preserve">so that it constituted a subjective and unfounded assertion. It also emphasized that </w:t>
      </w:r>
      <w:r w:rsidR="00EC52D7" w:rsidRPr="00AC57EA">
        <w:rPr>
          <w:rFonts w:eastAsia="Calibri" w:cs="Arial"/>
          <w:sz w:val="20"/>
          <w:szCs w:val="20"/>
          <w:lang w:val="en-US" w:eastAsia="en-US"/>
        </w:rPr>
        <w:t>the State of</w:t>
      </w:r>
      <w:r w:rsidR="00B5625C" w:rsidRPr="00AC57EA">
        <w:rPr>
          <w:rFonts w:eastAsia="Calibri" w:cs="Arial"/>
          <w:sz w:val="20"/>
          <w:szCs w:val="20"/>
          <w:lang w:val="en-US" w:eastAsia="en-US"/>
        </w:rPr>
        <w:t xml:space="preserve"> Nicaragua </w:t>
      </w:r>
      <w:r w:rsidRPr="00AC57EA">
        <w:rPr>
          <w:rFonts w:eastAsia="Calibri" w:cs="Arial"/>
          <w:sz w:val="20"/>
          <w:szCs w:val="20"/>
          <w:lang w:val="en-US" w:eastAsia="en-US"/>
        </w:rPr>
        <w:t>is a laic State</w:t>
      </w:r>
      <w:r w:rsidR="00B5625C" w:rsidRPr="00AC57EA">
        <w:rPr>
          <w:rFonts w:eastAsia="Calibri" w:cs="Arial"/>
          <w:sz w:val="20"/>
          <w:szCs w:val="20"/>
          <w:lang w:val="en-US" w:eastAsia="en-US"/>
        </w:rPr>
        <w:t>.</w:t>
      </w:r>
    </w:p>
    <w:p w14:paraId="63817F0D" w14:textId="77777777" w:rsidR="00B5625C" w:rsidRPr="00AC57EA" w:rsidRDefault="00B5625C" w:rsidP="00B5625C">
      <w:pPr>
        <w:widowControl/>
        <w:adjustRightInd/>
        <w:spacing w:line="240" w:lineRule="auto"/>
        <w:textAlignment w:val="auto"/>
        <w:rPr>
          <w:sz w:val="20"/>
          <w:szCs w:val="20"/>
          <w:lang w:val="en-US" w:eastAsia="en-US"/>
        </w:rPr>
      </w:pPr>
    </w:p>
    <w:p w14:paraId="79F3F4A7" w14:textId="4802F2F5" w:rsidR="00B5625C" w:rsidRPr="00AC57EA" w:rsidRDefault="00A92F94" w:rsidP="00B5625C">
      <w:pPr>
        <w:keepNext/>
        <w:keepLines/>
        <w:tabs>
          <w:tab w:val="left" w:pos="1701"/>
        </w:tabs>
        <w:spacing w:line="240" w:lineRule="auto"/>
        <w:ind w:left="1134"/>
        <w:outlineLvl w:val="1"/>
        <w:rPr>
          <w:bCs/>
          <w:i/>
          <w:sz w:val="20"/>
          <w:szCs w:val="20"/>
          <w:lang w:val="en-US"/>
        </w:rPr>
      </w:pPr>
      <w:bookmarkStart w:id="126" w:name="_Toc514172639"/>
      <w:r w:rsidRPr="00AC57EA">
        <w:rPr>
          <w:bCs/>
          <w:i/>
          <w:sz w:val="20"/>
          <w:szCs w:val="20"/>
          <w:lang w:val="en-US"/>
        </w:rPr>
        <w:t>B</w:t>
      </w:r>
      <w:r w:rsidR="00B5625C" w:rsidRPr="00AC57EA">
        <w:rPr>
          <w:bCs/>
          <w:i/>
          <w:sz w:val="20"/>
          <w:szCs w:val="20"/>
          <w:lang w:val="en-US"/>
        </w:rPr>
        <w:t xml:space="preserve">.2 </w:t>
      </w:r>
      <w:r w:rsidR="00B5625C" w:rsidRPr="00AC57EA">
        <w:rPr>
          <w:bCs/>
          <w:i/>
          <w:sz w:val="20"/>
          <w:szCs w:val="20"/>
          <w:lang w:val="en-US"/>
        </w:rPr>
        <w:tab/>
      </w:r>
      <w:r w:rsidR="009E569E" w:rsidRPr="00AC57EA">
        <w:rPr>
          <w:bCs/>
          <w:i/>
          <w:sz w:val="20"/>
          <w:szCs w:val="20"/>
          <w:lang w:val="en-US"/>
        </w:rPr>
        <w:t>Arguments</w:t>
      </w:r>
      <w:r w:rsidR="006F71B8" w:rsidRPr="00AC57EA">
        <w:rPr>
          <w:bCs/>
          <w:i/>
          <w:sz w:val="20"/>
          <w:szCs w:val="20"/>
          <w:lang w:val="en-US"/>
        </w:rPr>
        <w:t xml:space="preserve"> </w:t>
      </w:r>
      <w:r w:rsidR="0025395E" w:rsidRPr="00AC57EA">
        <w:rPr>
          <w:bCs/>
          <w:i/>
          <w:sz w:val="20"/>
          <w:szCs w:val="20"/>
          <w:lang w:val="en-US"/>
        </w:rPr>
        <w:t>of the parties</w:t>
      </w:r>
      <w:r w:rsidR="00171E27" w:rsidRPr="00AC57EA">
        <w:rPr>
          <w:bCs/>
          <w:i/>
          <w:sz w:val="20"/>
          <w:szCs w:val="20"/>
          <w:lang w:val="en-US"/>
        </w:rPr>
        <w:t xml:space="preserve"> and </w:t>
      </w:r>
      <w:r w:rsidR="00B7258C" w:rsidRPr="00AC57EA">
        <w:rPr>
          <w:bCs/>
          <w:i/>
          <w:sz w:val="20"/>
          <w:szCs w:val="20"/>
          <w:lang w:val="en-US"/>
        </w:rPr>
        <w:t>of the Commission</w:t>
      </w:r>
      <w:r w:rsidR="00B5625C" w:rsidRPr="00AC57EA">
        <w:rPr>
          <w:bCs/>
          <w:i/>
          <w:sz w:val="20"/>
          <w:szCs w:val="20"/>
          <w:lang w:val="en-US"/>
        </w:rPr>
        <w:t xml:space="preserve"> </w:t>
      </w:r>
      <w:r w:rsidR="009438E3" w:rsidRPr="00AC57EA">
        <w:rPr>
          <w:bCs/>
          <w:i/>
          <w:sz w:val="20"/>
          <w:szCs w:val="20"/>
          <w:lang w:val="en-US"/>
        </w:rPr>
        <w:t xml:space="preserve">on the </w:t>
      </w:r>
      <w:r w:rsidR="0000301E" w:rsidRPr="00AC57EA">
        <w:rPr>
          <w:bCs/>
          <w:i/>
          <w:sz w:val="20"/>
          <w:szCs w:val="20"/>
          <w:lang w:val="en-US"/>
        </w:rPr>
        <w:t>obligation to justify decisions</w:t>
      </w:r>
      <w:bookmarkEnd w:id="126"/>
    </w:p>
    <w:p w14:paraId="1EFDB031" w14:textId="77777777" w:rsidR="00B5625C" w:rsidRPr="00AC57EA" w:rsidRDefault="00B5625C" w:rsidP="00B5625C">
      <w:pPr>
        <w:widowControl/>
        <w:tabs>
          <w:tab w:val="left" w:pos="720"/>
        </w:tabs>
        <w:adjustRightInd/>
        <w:spacing w:line="240" w:lineRule="auto"/>
        <w:jc w:val="left"/>
        <w:textAlignment w:val="auto"/>
        <w:rPr>
          <w:rFonts w:eastAsia="MS Mincho"/>
          <w:sz w:val="20"/>
          <w:szCs w:val="20"/>
          <w:lang w:val="en-US" w:eastAsia="en-US"/>
        </w:rPr>
      </w:pPr>
    </w:p>
    <w:p w14:paraId="3BD4D5C2" w14:textId="611A03E4" w:rsidR="00056D5F" w:rsidRPr="00AC57EA" w:rsidRDefault="004E6D39" w:rsidP="005B46F8">
      <w:pPr>
        <w:widowControl/>
        <w:numPr>
          <w:ilvl w:val="0"/>
          <w:numId w:val="2"/>
        </w:numPr>
        <w:tabs>
          <w:tab w:val="left" w:pos="567"/>
          <w:tab w:val="num" w:pos="12305"/>
        </w:tabs>
        <w:adjustRightInd/>
        <w:spacing w:line="240" w:lineRule="auto"/>
        <w:ind w:left="0" w:firstLine="0"/>
        <w:textAlignment w:val="auto"/>
        <w:rPr>
          <w:rFonts w:eastAsia="Calibri" w:cs="Arial"/>
          <w:b/>
          <w:sz w:val="16"/>
          <w:szCs w:val="20"/>
          <w:lang w:val="en-US" w:eastAsia="en-US"/>
        </w:rPr>
      </w:pPr>
      <w:r w:rsidRPr="00AC57EA">
        <w:rPr>
          <w:rFonts w:eastAsia="Calibri" w:cs="Arial"/>
          <w:sz w:val="20"/>
          <w:szCs w:val="20"/>
          <w:lang w:val="en-US" w:eastAsia="en-US"/>
        </w:rPr>
        <w:t>Regarding</w:t>
      </w:r>
      <w:r w:rsidR="00B5625C" w:rsidRPr="00AC57EA">
        <w:rPr>
          <w:rFonts w:eastAsia="Calibri" w:cs="Arial"/>
          <w:sz w:val="20"/>
          <w:szCs w:val="20"/>
          <w:lang w:val="en-US" w:eastAsia="en-US"/>
        </w:rPr>
        <w:t xml:space="preserve"> </w:t>
      </w:r>
      <w:r w:rsidR="00056D5F" w:rsidRPr="00AC57EA">
        <w:rPr>
          <w:rFonts w:eastAsia="Calibri" w:cs="Arial"/>
          <w:sz w:val="20"/>
          <w:szCs w:val="20"/>
          <w:lang w:val="en-US" w:eastAsia="en-US"/>
        </w:rPr>
        <w:t>the April 2002 decision on acquittal</w:t>
      </w:r>
      <w:r w:rsidR="00B5625C" w:rsidRPr="00AC57EA">
        <w:rPr>
          <w:rFonts w:eastAsia="Calibri" w:cs="Arial"/>
          <w:sz w:val="20"/>
          <w:szCs w:val="20"/>
          <w:lang w:val="en-US" w:eastAsia="en-US"/>
        </w:rPr>
        <w:t xml:space="preserve">, </w:t>
      </w:r>
      <w:r w:rsidR="00B7258C" w:rsidRPr="00AC57EA">
        <w:rPr>
          <w:rFonts w:eastAsia="Calibri" w:cs="Arial"/>
          <w:sz w:val="20"/>
          <w:szCs w:val="20"/>
          <w:lang w:val="en-US" w:eastAsia="en-US"/>
        </w:rPr>
        <w:t xml:space="preserve">the </w:t>
      </w:r>
      <w:r w:rsidR="00B7258C" w:rsidRPr="00AC57EA">
        <w:rPr>
          <w:rFonts w:eastAsia="Calibri" w:cs="Arial"/>
          <w:b/>
          <w:bCs/>
          <w:i/>
          <w:iCs/>
          <w:sz w:val="20"/>
          <w:szCs w:val="20"/>
          <w:lang w:val="en-US" w:eastAsia="en-US"/>
        </w:rPr>
        <w:t>Commission</w:t>
      </w:r>
      <w:r w:rsidR="00B5625C" w:rsidRPr="00AC57EA">
        <w:rPr>
          <w:rFonts w:eastAsia="Calibri" w:cs="Arial"/>
          <w:b/>
          <w:bCs/>
          <w:i/>
          <w:iCs/>
          <w:sz w:val="20"/>
          <w:szCs w:val="20"/>
          <w:lang w:val="en-US" w:eastAsia="en-US"/>
        </w:rPr>
        <w:t xml:space="preserve"> </w:t>
      </w:r>
      <w:r w:rsidR="00056D5F" w:rsidRPr="00AC57EA">
        <w:rPr>
          <w:rFonts w:eastAsia="Calibri" w:cs="Arial"/>
          <w:sz w:val="20"/>
          <w:szCs w:val="20"/>
          <w:lang w:val="en-US" w:eastAsia="en-US"/>
        </w:rPr>
        <w:t xml:space="preserve">emphasized that no </w:t>
      </w:r>
      <w:r w:rsidR="00EB2199" w:rsidRPr="00AC57EA">
        <w:rPr>
          <w:rFonts w:eastAsia="Calibri" w:cs="Arial"/>
          <w:sz w:val="20"/>
          <w:szCs w:val="20"/>
          <w:lang w:val="en-US" w:eastAsia="en-US"/>
        </w:rPr>
        <w:t>grounds were</w:t>
      </w:r>
      <w:r w:rsidR="00056D5F" w:rsidRPr="00AC57EA">
        <w:rPr>
          <w:rFonts w:eastAsia="Calibri" w:cs="Arial"/>
          <w:sz w:val="20"/>
          <w:szCs w:val="20"/>
          <w:lang w:val="en-US" w:eastAsia="en-US"/>
        </w:rPr>
        <w:t xml:space="preserve"> provided for this and</w:t>
      </w:r>
      <w:r w:rsidR="00EB2199" w:rsidRPr="00AC57EA">
        <w:rPr>
          <w:rFonts w:eastAsia="Calibri" w:cs="Arial"/>
          <w:sz w:val="20"/>
          <w:szCs w:val="20"/>
          <w:lang w:val="en-US" w:eastAsia="en-US"/>
        </w:rPr>
        <w:t xml:space="preserve"> no other element in the case file indicates the reasons whereby </w:t>
      </w:r>
      <w:r w:rsidR="00056D5F" w:rsidRPr="00AC57EA">
        <w:rPr>
          <w:rFonts w:eastAsia="Calibri" w:cs="Arial"/>
          <w:sz w:val="20"/>
          <w:szCs w:val="20"/>
          <w:lang w:val="en-US" w:eastAsia="en-US"/>
        </w:rPr>
        <w:t>the jury reached th</w:t>
      </w:r>
      <w:r w:rsidR="00EB2199" w:rsidRPr="00AC57EA">
        <w:rPr>
          <w:rFonts w:eastAsia="Calibri" w:cs="Arial"/>
          <w:sz w:val="20"/>
          <w:szCs w:val="20"/>
          <w:lang w:val="en-US" w:eastAsia="en-US"/>
        </w:rPr>
        <w:t>at</w:t>
      </w:r>
      <w:r w:rsidR="00056D5F" w:rsidRPr="00AC57EA">
        <w:rPr>
          <w:rFonts w:eastAsia="Calibri" w:cs="Arial"/>
          <w:sz w:val="20"/>
          <w:szCs w:val="20"/>
          <w:lang w:val="en-US" w:eastAsia="en-US"/>
        </w:rPr>
        <w:t xml:space="preserve"> decision. </w:t>
      </w:r>
      <w:r w:rsidR="0000301E" w:rsidRPr="00AC57EA">
        <w:rPr>
          <w:rFonts w:eastAsia="Calibri" w:cs="Arial"/>
          <w:sz w:val="20"/>
          <w:szCs w:val="20"/>
          <w:lang w:val="en-US" w:eastAsia="en-US"/>
        </w:rPr>
        <w:t>The Commission</w:t>
      </w:r>
      <w:r w:rsidR="00056D5F" w:rsidRPr="00AC57EA">
        <w:rPr>
          <w:rFonts w:eastAsia="Calibri" w:cs="Arial"/>
          <w:sz w:val="20"/>
          <w:szCs w:val="20"/>
          <w:lang w:val="en-US" w:eastAsia="en-US"/>
        </w:rPr>
        <w:t xml:space="preserve"> recalled that the obligation to provide </w:t>
      </w:r>
      <w:r w:rsidR="00513081" w:rsidRPr="00AC57EA">
        <w:rPr>
          <w:rFonts w:eastAsia="Calibri" w:cs="Arial"/>
          <w:sz w:val="20"/>
          <w:szCs w:val="20"/>
          <w:lang w:val="en-US" w:eastAsia="en-US"/>
        </w:rPr>
        <w:t>the grounds for decision</w:t>
      </w:r>
      <w:r w:rsidR="00056D5F" w:rsidRPr="00AC57EA">
        <w:rPr>
          <w:rFonts w:eastAsia="Calibri" w:cs="Arial"/>
          <w:sz w:val="20"/>
          <w:szCs w:val="20"/>
          <w:lang w:val="en-US" w:eastAsia="en-US"/>
        </w:rPr>
        <w:t xml:space="preserve">s </w:t>
      </w:r>
      <w:r w:rsidR="00EB2199" w:rsidRPr="00AC57EA">
        <w:rPr>
          <w:rFonts w:eastAsia="Calibri" w:cs="Arial"/>
          <w:sz w:val="20"/>
          <w:szCs w:val="20"/>
          <w:lang w:val="en-US" w:eastAsia="en-US"/>
        </w:rPr>
        <w:t>results from</w:t>
      </w:r>
      <w:r w:rsidR="00056D5F" w:rsidRPr="00AC57EA">
        <w:rPr>
          <w:rFonts w:eastAsia="Calibri" w:cs="Arial"/>
          <w:sz w:val="20"/>
          <w:szCs w:val="20"/>
          <w:lang w:val="en-US" w:eastAsia="en-US"/>
        </w:rPr>
        <w:t xml:space="preserve"> the guarantees of due process, not only as regards the very legitimacy of the decision and the defense of the accused, but also as regards the expectation of access to justice of victims of human rights violations. In addition, it indicated that the obligation to provide the reasons for decisions is a guarantee related to the correct administration of justice, and demonstrates to the parties that they have been heard and, in those cases in which the decision </w:t>
      </w:r>
      <w:r w:rsidR="00056D5F" w:rsidRPr="00AC57EA">
        <w:rPr>
          <w:rFonts w:eastAsia="Calibri" w:cs="Arial"/>
          <w:sz w:val="20"/>
          <w:szCs w:val="20"/>
          <w:lang w:val="en-US" w:eastAsia="en-US"/>
        </w:rPr>
        <w:lastRenderedPageBreak/>
        <w:t>can be appealed, allows them to contest th</w:t>
      </w:r>
      <w:r w:rsidR="00BD56E6" w:rsidRPr="00AC57EA">
        <w:rPr>
          <w:rFonts w:eastAsia="Calibri" w:cs="Arial"/>
          <w:sz w:val="20"/>
          <w:szCs w:val="20"/>
          <w:lang w:val="en-US" w:eastAsia="en-US"/>
        </w:rPr>
        <w:t>e decision and obtain another examination of the matter before a higher court.</w:t>
      </w:r>
    </w:p>
    <w:p w14:paraId="5F1476F1" w14:textId="77777777" w:rsidR="00B5625C" w:rsidRPr="00AC57EA" w:rsidRDefault="00B5625C" w:rsidP="00B5625C">
      <w:pPr>
        <w:widowControl/>
        <w:autoSpaceDE w:val="0"/>
        <w:autoSpaceDN w:val="0"/>
        <w:adjustRightInd/>
        <w:spacing w:line="240" w:lineRule="auto"/>
        <w:jc w:val="left"/>
        <w:textAlignment w:val="auto"/>
        <w:rPr>
          <w:rFonts w:eastAsia="Calibri" w:cs="Arial"/>
          <w:sz w:val="20"/>
          <w:szCs w:val="20"/>
          <w:lang w:val="en-US" w:eastAsia="en-US"/>
        </w:rPr>
      </w:pPr>
    </w:p>
    <w:p w14:paraId="54E421AF" w14:textId="650B9DBF" w:rsidR="00BD56E6" w:rsidRPr="00AC57EA" w:rsidRDefault="00B7258C" w:rsidP="00BD56E6">
      <w:pPr>
        <w:widowControl/>
        <w:numPr>
          <w:ilvl w:val="0"/>
          <w:numId w:val="2"/>
        </w:numPr>
        <w:tabs>
          <w:tab w:val="left" w:pos="567"/>
          <w:tab w:val="num" w:pos="12305"/>
        </w:tabs>
        <w:adjustRightInd/>
        <w:spacing w:line="240" w:lineRule="auto"/>
        <w:ind w:left="0" w:firstLine="0"/>
        <w:textAlignment w:val="auto"/>
        <w:rPr>
          <w:rFonts w:eastAsia="Calibri" w:cs="Arial"/>
          <w:sz w:val="20"/>
          <w:szCs w:val="20"/>
          <w:lang w:val="en-US" w:eastAsia="en-US"/>
        </w:rPr>
      </w:pPr>
      <w:r w:rsidRPr="00AC57EA">
        <w:rPr>
          <w:rFonts w:eastAsia="Calibri" w:cs="Arial"/>
          <w:sz w:val="20"/>
          <w:szCs w:val="20"/>
          <w:lang w:val="en-US" w:eastAsia="en-US"/>
        </w:rPr>
        <w:t>The Commission</w:t>
      </w:r>
      <w:r w:rsidR="00B5625C" w:rsidRPr="00AC57EA">
        <w:rPr>
          <w:rFonts w:eastAsia="Calibri" w:cs="Arial"/>
          <w:sz w:val="20"/>
          <w:szCs w:val="20"/>
          <w:lang w:val="en-US" w:eastAsia="en-US"/>
        </w:rPr>
        <w:t xml:space="preserve"> </w:t>
      </w:r>
      <w:r w:rsidR="00BD56E6" w:rsidRPr="00AC57EA">
        <w:rPr>
          <w:rFonts w:eastAsia="Calibri" w:cs="Arial"/>
          <w:sz w:val="20"/>
          <w:szCs w:val="20"/>
          <w:lang w:val="en-US" w:eastAsia="en-US"/>
        </w:rPr>
        <w:t>specified that “in relation to victims of violence and rape, compliance with this obligation requires that victim</w:t>
      </w:r>
      <w:r w:rsidR="00637816" w:rsidRPr="00AC57EA">
        <w:rPr>
          <w:rFonts w:eastAsia="Calibri" w:cs="Arial"/>
          <w:sz w:val="20"/>
          <w:szCs w:val="20"/>
          <w:lang w:val="en-US" w:eastAsia="en-US"/>
        </w:rPr>
        <w:t>s</w:t>
      </w:r>
      <w:r w:rsidR="00BD56E6" w:rsidRPr="00AC57EA">
        <w:rPr>
          <w:rFonts w:eastAsia="Calibri" w:cs="Arial"/>
          <w:sz w:val="20"/>
          <w:szCs w:val="20"/>
          <w:lang w:val="en-US" w:eastAsia="en-US"/>
        </w:rPr>
        <w:t>, who ha</w:t>
      </w:r>
      <w:r w:rsidR="00637816" w:rsidRPr="00AC57EA">
        <w:rPr>
          <w:rFonts w:eastAsia="Calibri" w:cs="Arial"/>
          <w:sz w:val="20"/>
          <w:szCs w:val="20"/>
          <w:lang w:val="en-US" w:eastAsia="en-US"/>
        </w:rPr>
        <w:t>ve</w:t>
      </w:r>
      <w:r w:rsidR="00BD56E6" w:rsidRPr="00AC57EA">
        <w:rPr>
          <w:rFonts w:eastAsia="Calibri" w:cs="Arial"/>
          <w:sz w:val="20"/>
          <w:szCs w:val="20"/>
          <w:lang w:val="en-US" w:eastAsia="en-US"/>
        </w:rPr>
        <w:t xml:space="preserve"> denounced undergoing an extremely traumatic experience, may obtain a serious and detailed explanation of how their testimony was taken into consideration, and not a brief and/or prejudiced determination that their truth was not considered credible,” </w:t>
      </w:r>
      <w:r w:rsidR="00637816" w:rsidRPr="00AC57EA">
        <w:rPr>
          <w:rFonts w:eastAsia="Calibri" w:cs="Arial"/>
          <w:sz w:val="20"/>
          <w:szCs w:val="20"/>
          <w:lang w:val="en-US" w:eastAsia="en-US"/>
        </w:rPr>
        <w:t xml:space="preserve">and this relates </w:t>
      </w:r>
      <w:r w:rsidR="00BD56E6" w:rsidRPr="00AC57EA">
        <w:rPr>
          <w:rFonts w:eastAsia="Calibri" w:cs="Arial"/>
          <w:sz w:val="20"/>
          <w:szCs w:val="20"/>
          <w:lang w:val="en-US" w:eastAsia="en-US"/>
        </w:rPr>
        <w:t xml:space="preserve">to the way in which the testimony of a victim of sexual violence and rape should be assessed, since it is fundamental evidence in the proceedings. </w:t>
      </w:r>
      <w:r w:rsidR="00637816" w:rsidRPr="00AC57EA">
        <w:rPr>
          <w:rFonts w:eastAsia="Calibri" w:cs="Arial"/>
          <w:sz w:val="20"/>
          <w:szCs w:val="20"/>
          <w:lang w:val="en-US" w:eastAsia="en-US"/>
        </w:rPr>
        <w:t>The Commission</w:t>
      </w:r>
      <w:r w:rsidR="00BD56E6" w:rsidRPr="00AC57EA">
        <w:rPr>
          <w:rFonts w:eastAsia="Calibri" w:cs="Arial"/>
          <w:sz w:val="20"/>
          <w:szCs w:val="20"/>
          <w:lang w:val="en-US" w:eastAsia="en-US"/>
        </w:rPr>
        <w:t xml:space="preserve"> added that, since the case relates to a young child, her testimony should have been assessed from a gender perspective and based on the general principle of her best interests. It also asserted that, even in the case of proceedings conducted </w:t>
      </w:r>
      <w:r w:rsidR="00637816" w:rsidRPr="00AC57EA">
        <w:rPr>
          <w:rFonts w:eastAsia="Calibri" w:cs="Arial"/>
          <w:sz w:val="20"/>
          <w:szCs w:val="20"/>
          <w:lang w:val="en-US" w:eastAsia="en-US"/>
        </w:rPr>
        <w:t>by</w:t>
      </w:r>
      <w:r w:rsidR="00BD56E6" w:rsidRPr="00AC57EA">
        <w:rPr>
          <w:rFonts w:eastAsia="Calibri" w:cs="Arial"/>
          <w:sz w:val="20"/>
          <w:szCs w:val="20"/>
          <w:lang w:val="en-US" w:eastAsia="en-US"/>
        </w:rPr>
        <w:t xml:space="preserve"> jury courts, States must ensure compliance with the obligation that every judicial decision must reveal, </w:t>
      </w:r>
      <w:r w:rsidR="00637816" w:rsidRPr="00AC57EA">
        <w:rPr>
          <w:rFonts w:eastAsia="Calibri" w:cs="Arial"/>
          <w:sz w:val="20"/>
          <w:szCs w:val="20"/>
          <w:lang w:val="en-US" w:eastAsia="en-US"/>
        </w:rPr>
        <w:t>by the</w:t>
      </w:r>
      <w:r w:rsidR="00BD56E6" w:rsidRPr="00AC57EA">
        <w:rPr>
          <w:rFonts w:eastAsia="Calibri" w:cs="Arial"/>
          <w:sz w:val="20"/>
          <w:szCs w:val="20"/>
          <w:lang w:val="en-US" w:eastAsia="en-US"/>
        </w:rPr>
        <w:t xml:space="preserve"> reasoning, </w:t>
      </w:r>
      <w:r w:rsidR="00637816" w:rsidRPr="00AC57EA">
        <w:rPr>
          <w:rFonts w:eastAsia="Calibri" w:cs="Arial"/>
          <w:sz w:val="20"/>
          <w:szCs w:val="20"/>
          <w:lang w:val="en-US" w:eastAsia="en-US"/>
        </w:rPr>
        <w:t>how</w:t>
      </w:r>
      <w:r w:rsidR="00BD56E6" w:rsidRPr="00AC57EA">
        <w:rPr>
          <w:rFonts w:eastAsia="Calibri" w:cs="Arial"/>
          <w:sz w:val="20"/>
          <w:szCs w:val="20"/>
          <w:lang w:val="en-US" w:eastAsia="en-US"/>
        </w:rPr>
        <w:t xml:space="preserve"> the opinion of the child involved in the proceedings has been considered. </w:t>
      </w:r>
      <w:r w:rsidR="006607C4" w:rsidRPr="00AC57EA">
        <w:rPr>
          <w:rFonts w:eastAsia="Calibri" w:cs="Arial"/>
          <w:sz w:val="20"/>
          <w:szCs w:val="20"/>
          <w:lang w:val="en-US" w:eastAsia="en-US"/>
        </w:rPr>
        <w:t>The</w:t>
      </w:r>
      <w:r w:rsidR="00BD56E6" w:rsidRPr="00AC57EA">
        <w:rPr>
          <w:rFonts w:eastAsia="Calibri" w:cs="Arial"/>
          <w:sz w:val="20"/>
          <w:szCs w:val="20"/>
          <w:lang w:val="en-US" w:eastAsia="en-US"/>
        </w:rPr>
        <w:t xml:space="preserve"> State indicated that the decision was adopted based on the domestic laws in force</w:t>
      </w:r>
      <w:r w:rsidR="006607C4" w:rsidRPr="00AC57EA">
        <w:rPr>
          <w:rFonts w:eastAsia="Calibri" w:cs="Arial"/>
          <w:sz w:val="20"/>
          <w:szCs w:val="20"/>
          <w:lang w:val="en-US" w:eastAsia="en-US"/>
        </w:rPr>
        <w:t xml:space="preserve">; however, </w:t>
      </w:r>
      <w:r w:rsidR="00BD56E6" w:rsidRPr="00AC57EA">
        <w:rPr>
          <w:rFonts w:eastAsia="Calibri" w:cs="Arial"/>
          <w:sz w:val="20"/>
          <w:szCs w:val="20"/>
          <w:lang w:val="en-US" w:eastAsia="en-US"/>
        </w:rPr>
        <w:t>the Commission understood that</w:t>
      </w:r>
      <w:r w:rsidR="00637816" w:rsidRPr="00AC57EA">
        <w:rPr>
          <w:rFonts w:eastAsia="Calibri" w:cs="Arial"/>
          <w:sz w:val="20"/>
          <w:szCs w:val="20"/>
          <w:lang w:val="en-US" w:eastAsia="en-US"/>
        </w:rPr>
        <w:t xml:space="preserve"> </w:t>
      </w:r>
      <w:r w:rsidR="006607C4" w:rsidRPr="00AC57EA">
        <w:rPr>
          <w:rFonts w:eastAsia="Calibri" w:cs="Arial"/>
          <w:sz w:val="20"/>
          <w:szCs w:val="20"/>
          <w:lang w:val="en-US" w:eastAsia="en-US"/>
        </w:rPr>
        <w:t>domestic law cannot be</w:t>
      </w:r>
      <w:r w:rsidR="00637816" w:rsidRPr="00AC57EA">
        <w:rPr>
          <w:rFonts w:eastAsia="Calibri" w:cs="Arial"/>
          <w:sz w:val="20"/>
          <w:szCs w:val="20"/>
          <w:lang w:val="en-US" w:eastAsia="en-US"/>
        </w:rPr>
        <w:t xml:space="preserve"> asserted to e</w:t>
      </w:r>
      <w:r w:rsidR="006607C4" w:rsidRPr="00AC57EA">
        <w:rPr>
          <w:rFonts w:eastAsia="Calibri" w:cs="Arial"/>
          <w:sz w:val="20"/>
          <w:szCs w:val="20"/>
          <w:lang w:val="en-US" w:eastAsia="en-US"/>
        </w:rPr>
        <w:t>xempt</w:t>
      </w:r>
      <w:r w:rsidR="00637816" w:rsidRPr="00AC57EA">
        <w:rPr>
          <w:rFonts w:eastAsia="Calibri" w:cs="Arial"/>
          <w:sz w:val="20"/>
          <w:szCs w:val="20"/>
          <w:lang w:val="en-US" w:eastAsia="en-US"/>
        </w:rPr>
        <w:t xml:space="preserve"> the State from</w:t>
      </w:r>
      <w:r w:rsidR="006607C4" w:rsidRPr="00AC57EA">
        <w:rPr>
          <w:rFonts w:eastAsia="Calibri" w:cs="Arial"/>
          <w:sz w:val="20"/>
          <w:szCs w:val="20"/>
          <w:lang w:val="en-US" w:eastAsia="en-US"/>
        </w:rPr>
        <w:t xml:space="preserve"> compl</w:t>
      </w:r>
      <w:r w:rsidR="00637816" w:rsidRPr="00AC57EA">
        <w:rPr>
          <w:rFonts w:eastAsia="Calibri" w:cs="Arial"/>
          <w:sz w:val="20"/>
          <w:szCs w:val="20"/>
          <w:lang w:val="en-US" w:eastAsia="en-US"/>
        </w:rPr>
        <w:t>ying</w:t>
      </w:r>
      <w:r w:rsidR="006607C4" w:rsidRPr="00AC57EA">
        <w:rPr>
          <w:rFonts w:eastAsia="Calibri" w:cs="Arial"/>
          <w:sz w:val="20"/>
          <w:szCs w:val="20"/>
          <w:lang w:val="en-US" w:eastAsia="en-US"/>
        </w:rPr>
        <w:t xml:space="preserve"> with</w:t>
      </w:r>
      <w:r w:rsidR="00637816" w:rsidRPr="00AC57EA">
        <w:rPr>
          <w:rFonts w:eastAsia="Calibri" w:cs="Arial"/>
          <w:sz w:val="20"/>
          <w:szCs w:val="20"/>
          <w:lang w:val="en-US" w:eastAsia="en-US"/>
        </w:rPr>
        <w:t xml:space="preserve"> its</w:t>
      </w:r>
      <w:r w:rsidR="006607C4" w:rsidRPr="00AC57EA">
        <w:rPr>
          <w:rFonts w:eastAsia="Calibri" w:cs="Arial"/>
          <w:sz w:val="20"/>
          <w:szCs w:val="20"/>
          <w:lang w:val="en-US" w:eastAsia="en-US"/>
        </w:rPr>
        <w:t xml:space="preserve"> international obligations.</w:t>
      </w:r>
    </w:p>
    <w:p w14:paraId="0DC0E35D" w14:textId="492B2B86" w:rsidR="00B5625C" w:rsidRPr="00AC57EA" w:rsidRDefault="00B5625C" w:rsidP="00B5625C">
      <w:pPr>
        <w:widowControl/>
        <w:tabs>
          <w:tab w:val="left" w:pos="567"/>
        </w:tabs>
        <w:autoSpaceDE w:val="0"/>
        <w:autoSpaceDN w:val="0"/>
        <w:spacing w:line="240" w:lineRule="auto"/>
        <w:textAlignment w:val="auto"/>
        <w:rPr>
          <w:rFonts w:eastAsia="Calibri" w:cs="Arial"/>
          <w:sz w:val="20"/>
          <w:szCs w:val="20"/>
          <w:lang w:val="en-US" w:eastAsia="en-US"/>
        </w:rPr>
      </w:pPr>
    </w:p>
    <w:p w14:paraId="5E1C318D" w14:textId="4BCBD8B2" w:rsidR="006607C4" w:rsidRPr="00AC57EA" w:rsidRDefault="00B7258C" w:rsidP="005B46F8">
      <w:pPr>
        <w:widowControl/>
        <w:numPr>
          <w:ilvl w:val="0"/>
          <w:numId w:val="2"/>
        </w:numPr>
        <w:tabs>
          <w:tab w:val="left" w:pos="567"/>
          <w:tab w:val="num" w:pos="12305"/>
        </w:tabs>
        <w:adjustRightInd/>
        <w:spacing w:line="240" w:lineRule="auto"/>
        <w:ind w:left="0" w:firstLine="0"/>
        <w:textAlignment w:val="auto"/>
        <w:rPr>
          <w:rFonts w:eastAsia="Calibri" w:cs="Arial"/>
          <w:sz w:val="20"/>
          <w:szCs w:val="20"/>
          <w:lang w:val="en-US" w:eastAsia="en-US"/>
        </w:rPr>
      </w:pPr>
      <w:r w:rsidRPr="00AC57EA">
        <w:rPr>
          <w:rFonts w:eastAsia="Calibri" w:cs="Arial"/>
          <w:sz w:val="20"/>
          <w:szCs w:val="20"/>
          <w:lang w:val="en-US" w:eastAsia="en-US"/>
        </w:rPr>
        <w:t>The Commission</w:t>
      </w:r>
      <w:r w:rsidR="00B5625C" w:rsidRPr="00AC57EA">
        <w:rPr>
          <w:rFonts w:eastAsia="Calibri" w:cs="Arial"/>
          <w:sz w:val="20"/>
          <w:szCs w:val="20"/>
          <w:lang w:val="en-US" w:eastAsia="en-US"/>
        </w:rPr>
        <w:t xml:space="preserve"> not</w:t>
      </w:r>
      <w:r w:rsidR="006607C4" w:rsidRPr="00AC57EA">
        <w:rPr>
          <w:rFonts w:eastAsia="Calibri" w:cs="Arial"/>
          <w:sz w:val="20"/>
          <w:szCs w:val="20"/>
          <w:lang w:val="en-US" w:eastAsia="en-US"/>
        </w:rPr>
        <w:t xml:space="preserve">ed that, following the acquittal, V.P.C.’s representative filed different remedies contesting the flaws and irregularities in the proceedings. Based on the available information, the Commission observed that these remedies were not effective because they did not offer V.R.P. and her mother the possibility of having their arguments analyzed appropriately </w:t>
      </w:r>
      <w:r w:rsidR="00637816" w:rsidRPr="00AC57EA">
        <w:rPr>
          <w:rFonts w:eastAsia="Calibri" w:cs="Arial"/>
          <w:sz w:val="20"/>
          <w:szCs w:val="20"/>
          <w:lang w:val="en-US" w:eastAsia="en-US"/>
        </w:rPr>
        <w:t>or</w:t>
      </w:r>
      <w:r w:rsidR="006607C4" w:rsidRPr="00AC57EA">
        <w:rPr>
          <w:rFonts w:eastAsia="Calibri" w:cs="Arial"/>
          <w:sz w:val="20"/>
          <w:szCs w:val="20"/>
          <w:lang w:val="en-US" w:eastAsia="en-US"/>
        </w:rPr>
        <w:t xml:space="preserve"> </w:t>
      </w:r>
      <w:r w:rsidR="00637816" w:rsidRPr="00AC57EA">
        <w:rPr>
          <w:rFonts w:eastAsia="Calibri" w:cs="Arial"/>
          <w:sz w:val="20"/>
          <w:szCs w:val="20"/>
          <w:lang w:val="en-US" w:eastAsia="en-US"/>
        </w:rPr>
        <w:t xml:space="preserve">ensure that </w:t>
      </w:r>
      <w:r w:rsidR="006607C4" w:rsidRPr="00AC57EA">
        <w:rPr>
          <w:rFonts w:eastAsia="Calibri" w:cs="Arial"/>
          <w:sz w:val="20"/>
          <w:szCs w:val="20"/>
          <w:lang w:val="en-US" w:eastAsia="en-US"/>
        </w:rPr>
        <w:t xml:space="preserve">the necessary corrective measures </w:t>
      </w:r>
      <w:r w:rsidR="00637816" w:rsidRPr="00AC57EA">
        <w:rPr>
          <w:rFonts w:eastAsia="Calibri" w:cs="Arial"/>
          <w:sz w:val="20"/>
          <w:szCs w:val="20"/>
          <w:lang w:val="en-US" w:eastAsia="en-US"/>
        </w:rPr>
        <w:t>would</w:t>
      </w:r>
      <w:r w:rsidR="006607C4" w:rsidRPr="00AC57EA">
        <w:rPr>
          <w:rFonts w:eastAsia="Calibri" w:cs="Arial"/>
          <w:sz w:val="20"/>
          <w:szCs w:val="20"/>
          <w:lang w:val="en-US" w:eastAsia="en-US"/>
        </w:rPr>
        <w:t xml:space="preserve"> be </w:t>
      </w:r>
      <w:r w:rsidR="00637816" w:rsidRPr="00AC57EA">
        <w:rPr>
          <w:rFonts w:eastAsia="Calibri" w:cs="Arial"/>
          <w:sz w:val="20"/>
          <w:szCs w:val="20"/>
          <w:lang w:val="en-US" w:eastAsia="en-US"/>
        </w:rPr>
        <w:t>taken</w:t>
      </w:r>
      <w:r w:rsidR="006607C4" w:rsidRPr="00AC57EA">
        <w:rPr>
          <w:rFonts w:eastAsia="Calibri" w:cs="Arial"/>
          <w:sz w:val="20"/>
          <w:szCs w:val="20"/>
          <w:lang w:val="en-US" w:eastAsia="en-US"/>
        </w:rPr>
        <w:t xml:space="preserve"> in the investigation.</w:t>
      </w:r>
    </w:p>
    <w:p w14:paraId="7AD6B8CD" w14:textId="77777777" w:rsidR="00B5625C" w:rsidRPr="00AC57EA" w:rsidRDefault="00B5625C" w:rsidP="00B5625C">
      <w:pPr>
        <w:widowControl/>
        <w:autoSpaceDE w:val="0"/>
        <w:autoSpaceDN w:val="0"/>
        <w:adjustRightInd/>
        <w:spacing w:line="240" w:lineRule="auto"/>
        <w:jc w:val="left"/>
        <w:textAlignment w:val="auto"/>
        <w:rPr>
          <w:rFonts w:eastAsia="Calibri" w:cs="Arial"/>
          <w:sz w:val="20"/>
          <w:szCs w:val="20"/>
          <w:lang w:val="en-US" w:eastAsia="en-US"/>
        </w:rPr>
      </w:pPr>
    </w:p>
    <w:p w14:paraId="59EEB8F2" w14:textId="07620E3B" w:rsidR="006607C4" w:rsidRPr="00AC57EA" w:rsidRDefault="00171E27" w:rsidP="005B46F8">
      <w:pPr>
        <w:widowControl/>
        <w:numPr>
          <w:ilvl w:val="0"/>
          <w:numId w:val="2"/>
        </w:numPr>
        <w:tabs>
          <w:tab w:val="left" w:pos="567"/>
          <w:tab w:val="num" w:pos="12305"/>
        </w:tabs>
        <w:adjustRightInd/>
        <w:spacing w:line="240" w:lineRule="auto"/>
        <w:ind w:left="0" w:firstLine="0"/>
        <w:textAlignment w:val="auto"/>
        <w:rPr>
          <w:rFonts w:eastAsia="Calibri" w:cs="Arial"/>
          <w:sz w:val="20"/>
          <w:szCs w:val="20"/>
          <w:lang w:val="en-US" w:eastAsia="en-US"/>
        </w:rPr>
      </w:pPr>
      <w:r w:rsidRPr="00AC57EA">
        <w:rPr>
          <w:rFonts w:eastAsia="Calibri" w:cs="Arial"/>
          <w:sz w:val="20"/>
          <w:szCs w:val="20"/>
          <w:lang w:val="en-US" w:eastAsia="en-US"/>
        </w:rPr>
        <w:t xml:space="preserve">The </w:t>
      </w:r>
      <w:r w:rsidRPr="00AC57EA">
        <w:rPr>
          <w:rFonts w:eastAsia="Calibri" w:cs="Arial"/>
          <w:b/>
          <w:bCs/>
          <w:i/>
          <w:iCs/>
          <w:sz w:val="20"/>
          <w:szCs w:val="20"/>
          <w:lang w:val="en-US" w:eastAsia="en-US"/>
        </w:rPr>
        <w:t>representatives</w:t>
      </w:r>
      <w:r w:rsidR="00B5625C" w:rsidRPr="00AC57EA">
        <w:rPr>
          <w:rFonts w:eastAsia="Calibri" w:cs="Arial"/>
          <w:sz w:val="20"/>
          <w:szCs w:val="20"/>
          <w:lang w:val="en-US" w:eastAsia="en-US"/>
        </w:rPr>
        <w:t xml:space="preserve"> </w:t>
      </w:r>
      <w:r w:rsidR="006607C4" w:rsidRPr="00AC57EA">
        <w:rPr>
          <w:rFonts w:eastAsia="Calibri" w:cs="Arial"/>
          <w:sz w:val="20"/>
          <w:szCs w:val="20"/>
          <w:lang w:val="en-US" w:eastAsia="en-US"/>
        </w:rPr>
        <w:t xml:space="preserve">referred to this Court’s case law which has indicated that the </w:t>
      </w:r>
      <w:r w:rsidR="0000301E" w:rsidRPr="00AC57EA">
        <w:rPr>
          <w:rFonts w:eastAsia="Calibri" w:cs="Arial"/>
          <w:sz w:val="20"/>
          <w:szCs w:val="20"/>
          <w:lang w:val="en-US" w:eastAsia="en-US"/>
        </w:rPr>
        <w:t>obligation to justify decisions</w:t>
      </w:r>
      <w:r w:rsidR="006607C4" w:rsidRPr="00AC57EA">
        <w:rPr>
          <w:rFonts w:eastAsia="Calibri" w:cs="Arial"/>
          <w:sz w:val="20"/>
          <w:szCs w:val="20"/>
          <w:lang w:val="en-US" w:eastAsia="en-US"/>
        </w:rPr>
        <w:t xml:space="preserve"> is one of the “due guarantees” included in Article 8(1) to safeguard the right to due process. The representatives added that the victim was unable to know the </w:t>
      </w:r>
      <w:r w:rsidR="00637816" w:rsidRPr="00AC57EA">
        <w:rPr>
          <w:rFonts w:eastAsia="Calibri" w:cs="Arial"/>
          <w:sz w:val="20"/>
          <w:szCs w:val="20"/>
          <w:lang w:val="en-US" w:eastAsia="en-US"/>
        </w:rPr>
        <w:t>grounds</w:t>
      </w:r>
      <w:r w:rsidR="006607C4" w:rsidRPr="00AC57EA">
        <w:rPr>
          <w:rFonts w:eastAsia="Calibri" w:cs="Arial"/>
          <w:sz w:val="20"/>
          <w:szCs w:val="20"/>
          <w:lang w:val="en-US" w:eastAsia="en-US"/>
        </w:rPr>
        <w:t xml:space="preserve"> on which the verdict of innocence was based. They argued that, in this case, 15 years after the verdict that acquitted the presumed victim’s aggressor, it has not been possible to obtain an explanation of the facts, reasons, norms and evidence on which the jury based itself to take the decision </w:t>
      </w:r>
      <w:r w:rsidR="00637816" w:rsidRPr="00AC57EA">
        <w:rPr>
          <w:rFonts w:eastAsia="Calibri" w:cs="Arial"/>
          <w:sz w:val="20"/>
          <w:szCs w:val="20"/>
          <w:lang w:val="en-US" w:eastAsia="en-US"/>
        </w:rPr>
        <w:t>– with</w:t>
      </w:r>
      <w:r w:rsidR="006607C4" w:rsidRPr="00AC57EA">
        <w:rPr>
          <w:rFonts w:eastAsia="Calibri" w:cs="Arial"/>
          <w:sz w:val="20"/>
          <w:szCs w:val="20"/>
          <w:lang w:val="en-US" w:eastAsia="en-US"/>
        </w:rPr>
        <w:t>in 15 minutes</w:t>
      </w:r>
      <w:r w:rsidR="00637816" w:rsidRPr="00AC57EA">
        <w:rPr>
          <w:rFonts w:eastAsia="Calibri" w:cs="Arial"/>
          <w:sz w:val="20"/>
          <w:szCs w:val="20"/>
          <w:lang w:val="en-US" w:eastAsia="en-US"/>
        </w:rPr>
        <w:t xml:space="preserve"> – that </w:t>
      </w:r>
      <w:r w:rsidR="00BC5FE8" w:rsidRPr="00AC57EA">
        <w:rPr>
          <w:rFonts w:eastAsia="Calibri" w:cs="Arial"/>
          <w:sz w:val="20"/>
          <w:szCs w:val="20"/>
          <w:lang w:val="en-US" w:eastAsia="en-US"/>
        </w:rPr>
        <w:t>did not</w:t>
      </w:r>
      <w:r w:rsidR="00637816" w:rsidRPr="00AC57EA">
        <w:rPr>
          <w:rFonts w:eastAsia="Calibri" w:cs="Arial"/>
          <w:sz w:val="20"/>
          <w:szCs w:val="20"/>
          <w:lang w:val="en-US" w:eastAsia="en-US"/>
        </w:rPr>
        <w:t xml:space="preserve"> accord credibility to</w:t>
      </w:r>
      <w:r w:rsidR="006607C4" w:rsidRPr="00AC57EA">
        <w:rPr>
          <w:rFonts w:eastAsia="Calibri" w:cs="Arial"/>
          <w:sz w:val="20"/>
          <w:szCs w:val="20"/>
          <w:lang w:val="en-US" w:eastAsia="en-US"/>
        </w:rPr>
        <w:t xml:space="preserve"> the “clear and coherent” account by V.R.P</w:t>
      </w:r>
      <w:r w:rsidR="00637816" w:rsidRPr="00AC57EA">
        <w:rPr>
          <w:rFonts w:eastAsia="Calibri" w:cs="Arial"/>
          <w:sz w:val="20"/>
          <w:szCs w:val="20"/>
          <w:lang w:val="en-US" w:eastAsia="en-US"/>
        </w:rPr>
        <w:t>.</w:t>
      </w:r>
      <w:r w:rsidR="006607C4" w:rsidRPr="00AC57EA">
        <w:rPr>
          <w:rFonts w:eastAsia="Calibri" w:cs="Arial"/>
          <w:sz w:val="20"/>
          <w:szCs w:val="20"/>
          <w:lang w:val="en-US" w:eastAsia="en-US"/>
        </w:rPr>
        <w:t xml:space="preserve"> of </w:t>
      </w:r>
      <w:r w:rsidR="00637816" w:rsidRPr="00AC57EA">
        <w:rPr>
          <w:rFonts w:eastAsia="Calibri" w:cs="Arial"/>
          <w:sz w:val="20"/>
          <w:szCs w:val="20"/>
          <w:lang w:val="en-US" w:eastAsia="en-US"/>
        </w:rPr>
        <w:t>her father’s</w:t>
      </w:r>
      <w:r w:rsidR="006607C4" w:rsidRPr="00AC57EA">
        <w:rPr>
          <w:rFonts w:eastAsia="Calibri" w:cs="Arial"/>
          <w:sz w:val="20"/>
          <w:szCs w:val="20"/>
          <w:lang w:val="en-US" w:eastAsia="en-US"/>
        </w:rPr>
        <w:t xml:space="preserve"> guilt. They indicated that, in addition, it had not been possible to know whether the arguments submitted by the prosecutor had been taken into consideration, whether the jury had analyzed the evidence or whether, to the contrary, it was the contents of the sheet of </w:t>
      </w:r>
      <w:r w:rsidR="00BC5FE8" w:rsidRPr="00AC57EA">
        <w:rPr>
          <w:rFonts w:eastAsia="Calibri" w:cs="Arial"/>
          <w:sz w:val="20"/>
          <w:szCs w:val="20"/>
          <w:lang w:val="en-US" w:eastAsia="en-US"/>
        </w:rPr>
        <w:t xml:space="preserve">pink </w:t>
      </w:r>
      <w:r w:rsidR="006607C4" w:rsidRPr="00AC57EA">
        <w:rPr>
          <w:rFonts w:eastAsia="Calibri" w:cs="Arial"/>
          <w:sz w:val="20"/>
          <w:szCs w:val="20"/>
          <w:lang w:val="en-US" w:eastAsia="en-US"/>
        </w:rPr>
        <w:t>paper they received from one of the defense counsel with the instructions to read it in private that influenced their decision, o</w:t>
      </w:r>
      <w:r w:rsidR="00BC5FE8" w:rsidRPr="00AC57EA">
        <w:rPr>
          <w:rFonts w:eastAsia="Calibri" w:cs="Arial"/>
          <w:sz w:val="20"/>
          <w:szCs w:val="20"/>
          <w:lang w:val="en-US" w:eastAsia="en-US"/>
        </w:rPr>
        <w:t>r</w:t>
      </w:r>
      <w:r w:rsidR="006607C4" w:rsidRPr="00AC57EA">
        <w:rPr>
          <w:rFonts w:eastAsia="Calibri" w:cs="Arial"/>
          <w:sz w:val="20"/>
          <w:szCs w:val="20"/>
          <w:lang w:val="en-US" w:eastAsia="en-US"/>
        </w:rPr>
        <w:t xml:space="preserve"> whether </w:t>
      </w:r>
      <w:r w:rsidR="003E3D1B" w:rsidRPr="00AC57EA">
        <w:rPr>
          <w:rFonts w:eastAsia="Calibri" w:cs="Arial"/>
          <w:sz w:val="20"/>
          <w:szCs w:val="20"/>
          <w:lang w:val="en-US" w:eastAsia="en-US"/>
        </w:rPr>
        <w:t xml:space="preserve">it was truly and effectively the prevailing political influence on the administration of justice in the country that was revealed in this case. They concluded that a </w:t>
      </w:r>
      <w:r w:rsidR="00BC5FE8" w:rsidRPr="00AC57EA">
        <w:rPr>
          <w:rFonts w:eastAsia="Calibri" w:cs="Arial"/>
          <w:sz w:val="20"/>
          <w:szCs w:val="20"/>
          <w:lang w:val="en-US" w:eastAsia="en-US"/>
        </w:rPr>
        <w:t>simple</w:t>
      </w:r>
      <w:r w:rsidR="003E3D1B" w:rsidRPr="00AC57EA">
        <w:rPr>
          <w:rFonts w:eastAsia="Calibri" w:cs="Arial"/>
          <w:sz w:val="20"/>
          <w:szCs w:val="20"/>
          <w:lang w:val="en-US" w:eastAsia="en-US"/>
        </w:rPr>
        <w:t xml:space="preserve"> reading of the verdict, </w:t>
      </w:r>
      <w:r w:rsidR="00BC5FE8" w:rsidRPr="00AC57EA">
        <w:rPr>
          <w:rFonts w:eastAsia="Calibri" w:cs="Arial"/>
          <w:sz w:val="20"/>
          <w:szCs w:val="20"/>
          <w:lang w:val="en-US" w:eastAsia="en-US"/>
        </w:rPr>
        <w:t>contained</w:t>
      </w:r>
      <w:r w:rsidR="003E3D1B" w:rsidRPr="00AC57EA">
        <w:rPr>
          <w:rFonts w:eastAsia="Calibri" w:cs="Arial"/>
          <w:sz w:val="20"/>
          <w:szCs w:val="20"/>
          <w:lang w:val="en-US" w:eastAsia="en-US"/>
        </w:rPr>
        <w:t xml:space="preserve"> on half a page of paper, led to the conclusion that it was a decision that lack</w:t>
      </w:r>
      <w:r w:rsidR="00BC5FE8" w:rsidRPr="00AC57EA">
        <w:rPr>
          <w:rFonts w:eastAsia="Calibri" w:cs="Arial"/>
          <w:sz w:val="20"/>
          <w:szCs w:val="20"/>
          <w:lang w:val="en-US" w:eastAsia="en-US"/>
        </w:rPr>
        <w:t>ed</w:t>
      </w:r>
      <w:r w:rsidR="003E3D1B" w:rsidRPr="00AC57EA">
        <w:rPr>
          <w:rFonts w:eastAsia="Calibri" w:cs="Arial"/>
          <w:sz w:val="20"/>
          <w:szCs w:val="20"/>
          <w:lang w:val="en-US" w:eastAsia="en-US"/>
        </w:rPr>
        <w:t xml:space="preserve"> any </w:t>
      </w:r>
      <w:r w:rsidR="00BC5FE8" w:rsidRPr="00AC57EA">
        <w:rPr>
          <w:rFonts w:eastAsia="Calibri" w:cs="Arial"/>
          <w:sz w:val="20"/>
          <w:szCs w:val="20"/>
          <w:lang w:val="en-US" w:eastAsia="en-US"/>
        </w:rPr>
        <w:t>grounds, that was</w:t>
      </w:r>
      <w:r w:rsidR="003E3D1B" w:rsidRPr="00AC57EA">
        <w:rPr>
          <w:rFonts w:eastAsia="Calibri" w:cs="Arial"/>
          <w:sz w:val="20"/>
          <w:szCs w:val="20"/>
          <w:lang w:val="en-US" w:eastAsia="en-US"/>
        </w:rPr>
        <w:t xml:space="preserve"> “plainly arbitrary,” </w:t>
      </w:r>
      <w:r w:rsidR="00BC5FE8" w:rsidRPr="00AC57EA">
        <w:rPr>
          <w:rFonts w:eastAsia="Calibri" w:cs="Arial"/>
          <w:sz w:val="20"/>
          <w:szCs w:val="20"/>
          <w:lang w:val="en-US" w:eastAsia="en-US"/>
        </w:rPr>
        <w:t xml:space="preserve">and </w:t>
      </w:r>
      <w:r w:rsidR="003E3D1B" w:rsidRPr="00AC57EA">
        <w:rPr>
          <w:rFonts w:eastAsia="Calibri" w:cs="Arial"/>
          <w:sz w:val="20"/>
          <w:szCs w:val="20"/>
          <w:lang w:val="en-US" w:eastAsia="en-US"/>
        </w:rPr>
        <w:t>that failed to comply with the standards established by the Court.</w:t>
      </w:r>
    </w:p>
    <w:p w14:paraId="3429783D" w14:textId="77777777" w:rsidR="00B5625C" w:rsidRPr="00AC57EA" w:rsidRDefault="00B5625C" w:rsidP="00B5625C">
      <w:pPr>
        <w:widowControl/>
        <w:autoSpaceDE w:val="0"/>
        <w:autoSpaceDN w:val="0"/>
        <w:adjustRightInd/>
        <w:spacing w:line="240" w:lineRule="auto"/>
        <w:jc w:val="left"/>
        <w:textAlignment w:val="auto"/>
        <w:rPr>
          <w:rFonts w:eastAsia="Calibri" w:cs="Arial"/>
          <w:sz w:val="20"/>
          <w:szCs w:val="20"/>
          <w:lang w:val="en-US" w:eastAsia="en-US"/>
        </w:rPr>
      </w:pPr>
    </w:p>
    <w:p w14:paraId="56DA5942" w14:textId="2CEB78CE" w:rsidR="003E3D1B" w:rsidRPr="00AC57EA" w:rsidRDefault="003E3D1B" w:rsidP="005B46F8">
      <w:pPr>
        <w:widowControl/>
        <w:numPr>
          <w:ilvl w:val="0"/>
          <w:numId w:val="2"/>
        </w:numPr>
        <w:tabs>
          <w:tab w:val="left" w:pos="567"/>
          <w:tab w:val="num" w:pos="12305"/>
        </w:tabs>
        <w:adjustRightInd/>
        <w:spacing w:line="240" w:lineRule="auto"/>
        <w:ind w:left="0" w:firstLine="0"/>
        <w:textAlignment w:val="auto"/>
        <w:rPr>
          <w:rFonts w:eastAsia="Calibri" w:cs="Arial"/>
          <w:b/>
          <w:sz w:val="16"/>
          <w:szCs w:val="20"/>
          <w:lang w:val="en-US" w:eastAsia="en-US"/>
        </w:rPr>
      </w:pPr>
      <w:r w:rsidRPr="00AC57EA">
        <w:rPr>
          <w:rFonts w:eastAsia="Calibri" w:cs="Arial"/>
          <w:sz w:val="20"/>
          <w:szCs w:val="20"/>
          <w:lang w:val="en-US" w:eastAsia="en-US"/>
        </w:rPr>
        <w:t>Added to the above</w:t>
      </w:r>
      <w:r w:rsidR="00B5625C" w:rsidRPr="00AC57EA">
        <w:rPr>
          <w:rFonts w:eastAsia="Calibri" w:cs="Arial"/>
          <w:sz w:val="20"/>
          <w:szCs w:val="20"/>
          <w:lang w:val="en-US" w:eastAsia="en-US"/>
        </w:rPr>
        <w:t xml:space="preserve">, </w:t>
      </w:r>
      <w:r w:rsidR="00171E27" w:rsidRPr="00AC57EA">
        <w:rPr>
          <w:rFonts w:eastAsia="Calibri" w:cs="Arial"/>
          <w:sz w:val="20"/>
          <w:szCs w:val="20"/>
          <w:lang w:val="en-US" w:eastAsia="en-US"/>
        </w:rPr>
        <w:t>the representatives</w:t>
      </w:r>
      <w:r w:rsidRPr="00AC57EA">
        <w:rPr>
          <w:rFonts w:eastAsia="Calibri" w:cs="Arial"/>
          <w:sz w:val="20"/>
          <w:szCs w:val="20"/>
          <w:lang w:val="en-US" w:eastAsia="en-US"/>
        </w:rPr>
        <w:t xml:space="preserve"> considered that not only was it impossible to know the reasons for the </w:t>
      </w:r>
      <w:r w:rsidR="00BC5FE8" w:rsidRPr="00AC57EA">
        <w:rPr>
          <w:rFonts w:eastAsia="Calibri" w:cs="Arial"/>
          <w:sz w:val="20"/>
          <w:szCs w:val="20"/>
          <w:lang w:val="en-US" w:eastAsia="en-US"/>
        </w:rPr>
        <w:t xml:space="preserve">“not guilty” </w:t>
      </w:r>
      <w:r w:rsidRPr="00AC57EA">
        <w:rPr>
          <w:rFonts w:eastAsia="Calibri" w:cs="Arial"/>
          <w:sz w:val="20"/>
          <w:szCs w:val="20"/>
          <w:lang w:val="en-US" w:eastAsia="en-US"/>
        </w:rPr>
        <w:t xml:space="preserve">verdict but, in addition, the victims were not provided with a remedy that would have allowed them to seek an effective reconsideration of the case. </w:t>
      </w:r>
      <w:r w:rsidR="00BC5FE8" w:rsidRPr="00AC57EA">
        <w:rPr>
          <w:rFonts w:eastAsia="Calibri" w:cs="Arial"/>
          <w:sz w:val="20"/>
          <w:szCs w:val="20"/>
          <w:lang w:val="en-US" w:eastAsia="en-US"/>
        </w:rPr>
        <w:t>Moreover, t</w:t>
      </w:r>
      <w:r w:rsidRPr="00AC57EA">
        <w:rPr>
          <w:rFonts w:eastAsia="Calibri" w:cs="Arial"/>
          <w:sz w:val="20"/>
          <w:szCs w:val="20"/>
          <w:lang w:val="en-US" w:eastAsia="en-US"/>
        </w:rPr>
        <w:t xml:space="preserve">he State was unable to guarantee the punishment of the perpetrator of the trauma of sexual abuse, or the investigation and punishment of those who acted with negligence or irregularity during the proceedings, </w:t>
      </w:r>
      <w:r w:rsidR="00BC5FE8" w:rsidRPr="00AC57EA">
        <w:rPr>
          <w:rFonts w:eastAsia="Calibri" w:cs="Arial"/>
          <w:sz w:val="20"/>
          <w:szCs w:val="20"/>
          <w:lang w:val="en-US" w:eastAsia="en-US"/>
        </w:rPr>
        <w:t>and</w:t>
      </w:r>
      <w:r w:rsidRPr="00AC57EA">
        <w:rPr>
          <w:rFonts w:eastAsia="Calibri" w:cs="Arial"/>
          <w:sz w:val="20"/>
          <w:szCs w:val="20"/>
          <w:lang w:val="en-US" w:eastAsia="en-US"/>
        </w:rPr>
        <w:t xml:space="preserve"> those who contributed to the</w:t>
      </w:r>
      <w:r w:rsidR="00BC5FE8" w:rsidRPr="00AC57EA">
        <w:rPr>
          <w:rFonts w:eastAsia="Calibri" w:cs="Arial"/>
          <w:sz w:val="20"/>
          <w:szCs w:val="20"/>
          <w:lang w:val="en-US" w:eastAsia="en-US"/>
        </w:rPr>
        <w:t xml:space="preserve"> child’s</w:t>
      </w:r>
      <w:r w:rsidRPr="00AC57EA">
        <w:rPr>
          <w:rFonts w:eastAsia="Calibri" w:cs="Arial"/>
          <w:sz w:val="20"/>
          <w:szCs w:val="20"/>
          <w:lang w:val="en-US" w:eastAsia="en-US"/>
        </w:rPr>
        <w:t xml:space="preserve"> revictimization.</w:t>
      </w:r>
    </w:p>
    <w:p w14:paraId="4E83BF94" w14:textId="77777777" w:rsidR="00B5625C" w:rsidRPr="00AC57EA" w:rsidRDefault="00B5625C" w:rsidP="00B5625C">
      <w:pPr>
        <w:widowControl/>
        <w:autoSpaceDE w:val="0"/>
        <w:autoSpaceDN w:val="0"/>
        <w:adjustRightInd/>
        <w:spacing w:line="240" w:lineRule="auto"/>
        <w:jc w:val="left"/>
        <w:textAlignment w:val="auto"/>
        <w:rPr>
          <w:rFonts w:eastAsia="Calibri" w:cs="Arial"/>
          <w:sz w:val="20"/>
          <w:szCs w:val="20"/>
          <w:lang w:val="en-US" w:eastAsia="en-US"/>
        </w:rPr>
      </w:pPr>
    </w:p>
    <w:p w14:paraId="468B1363" w14:textId="6D8E528D" w:rsidR="003E3D1B" w:rsidRPr="00AC57EA" w:rsidRDefault="00EC52D7" w:rsidP="00D865D2">
      <w:pPr>
        <w:widowControl/>
        <w:numPr>
          <w:ilvl w:val="0"/>
          <w:numId w:val="2"/>
        </w:numPr>
        <w:tabs>
          <w:tab w:val="left" w:pos="567"/>
          <w:tab w:val="num" w:pos="12305"/>
        </w:tabs>
        <w:adjustRightInd/>
        <w:spacing w:line="240" w:lineRule="auto"/>
        <w:ind w:left="0" w:firstLine="0"/>
        <w:textAlignment w:val="auto"/>
        <w:rPr>
          <w:rFonts w:eastAsia="Calibri" w:cs="Arial"/>
          <w:sz w:val="20"/>
          <w:szCs w:val="20"/>
          <w:lang w:val="en-US" w:eastAsia="en-US"/>
        </w:rPr>
      </w:pPr>
      <w:r w:rsidRPr="00AC57EA">
        <w:rPr>
          <w:rFonts w:eastAsia="Calibri"/>
          <w:sz w:val="20"/>
          <w:szCs w:val="20"/>
          <w:lang w:val="en-US" w:eastAsia="en-US"/>
        </w:rPr>
        <w:t xml:space="preserve">The </w:t>
      </w:r>
      <w:r w:rsidRPr="00AC57EA">
        <w:rPr>
          <w:rFonts w:eastAsia="Calibri"/>
          <w:b/>
          <w:bCs/>
          <w:i/>
          <w:iCs/>
          <w:sz w:val="20"/>
          <w:szCs w:val="20"/>
          <w:lang w:val="en-US" w:eastAsia="en-US"/>
        </w:rPr>
        <w:t>State</w:t>
      </w:r>
      <w:r w:rsidR="00B5625C" w:rsidRPr="00AC57EA">
        <w:rPr>
          <w:rFonts w:eastAsia="Calibri"/>
          <w:sz w:val="20"/>
          <w:szCs w:val="20"/>
          <w:lang w:val="en-US" w:eastAsia="en-US"/>
        </w:rPr>
        <w:t xml:space="preserve"> </w:t>
      </w:r>
      <w:r w:rsidR="003E3D1B" w:rsidRPr="00AC57EA">
        <w:rPr>
          <w:rFonts w:eastAsia="Calibri"/>
          <w:sz w:val="20"/>
          <w:szCs w:val="20"/>
          <w:lang w:val="en-US" w:eastAsia="en-US"/>
        </w:rPr>
        <w:t xml:space="preserve">indicated that, in Nicaragua, the jury system is not an exceptional mechanism </w:t>
      </w:r>
      <w:r w:rsidR="00BC5FE8" w:rsidRPr="00AC57EA">
        <w:rPr>
          <w:rFonts w:eastAsia="Calibri"/>
          <w:sz w:val="20"/>
          <w:szCs w:val="20"/>
          <w:lang w:val="en-US" w:eastAsia="en-US"/>
        </w:rPr>
        <w:t>under</w:t>
      </w:r>
      <w:r w:rsidR="003E3D1B" w:rsidRPr="00AC57EA">
        <w:rPr>
          <w:rFonts w:eastAsia="Calibri"/>
          <w:sz w:val="20"/>
          <w:szCs w:val="20"/>
          <w:lang w:val="en-US" w:eastAsia="en-US"/>
        </w:rPr>
        <w:t xml:space="preserve"> its domestic law; rather, it exists in many countries of the world, and the jury is a judge of the facts and never of the law. It added that, at the time of the facts, Nicaragua’s domestic law</w:t>
      </w:r>
      <w:r w:rsidR="00BC5FE8" w:rsidRPr="00AC57EA">
        <w:rPr>
          <w:rFonts w:eastAsia="Calibri"/>
          <w:sz w:val="20"/>
          <w:szCs w:val="20"/>
          <w:lang w:val="en-US" w:eastAsia="en-US"/>
        </w:rPr>
        <w:t xml:space="preserve"> – ar</w:t>
      </w:r>
      <w:r w:rsidR="003E3D1B" w:rsidRPr="00AC57EA">
        <w:rPr>
          <w:rFonts w:eastAsia="Calibri" w:cs="Arial"/>
          <w:sz w:val="20"/>
          <w:szCs w:val="20"/>
          <w:lang w:val="en-US" w:eastAsia="en-US"/>
        </w:rPr>
        <w:t xml:space="preserve">ticle 22 </w:t>
      </w:r>
      <w:r w:rsidR="00BC5FE8" w:rsidRPr="00AC57EA">
        <w:rPr>
          <w:rFonts w:eastAsia="Calibri" w:cs="Arial"/>
          <w:sz w:val="20"/>
          <w:szCs w:val="20"/>
          <w:lang w:val="en-US" w:eastAsia="en-US"/>
        </w:rPr>
        <w:t>of the</w:t>
      </w:r>
      <w:r w:rsidR="003E3D1B" w:rsidRPr="00AC57EA">
        <w:rPr>
          <w:rFonts w:eastAsia="Calibri" w:cs="Arial"/>
          <w:sz w:val="20"/>
          <w:szCs w:val="20"/>
          <w:lang w:val="en-US" w:eastAsia="en-US"/>
        </w:rPr>
        <w:t xml:space="preserve"> Code of Criminal Procedure </w:t>
      </w:r>
      <w:r w:rsidR="00BC5FE8" w:rsidRPr="00AC57EA">
        <w:rPr>
          <w:rFonts w:eastAsia="Calibri" w:cs="Arial"/>
          <w:sz w:val="20"/>
          <w:szCs w:val="20"/>
          <w:lang w:val="en-US" w:eastAsia="en-US"/>
        </w:rPr>
        <w:t>– es</w:t>
      </w:r>
      <w:r w:rsidR="003E3D1B" w:rsidRPr="00AC57EA">
        <w:rPr>
          <w:rFonts w:eastAsia="Calibri" w:cs="Arial"/>
          <w:sz w:val="20"/>
          <w:szCs w:val="20"/>
          <w:lang w:val="en-US" w:eastAsia="en-US"/>
        </w:rPr>
        <w:t xml:space="preserve">tablished that “ordinary offenses that warrant </w:t>
      </w:r>
      <w:r w:rsidR="00C802AA" w:rsidRPr="00AC57EA">
        <w:rPr>
          <w:rFonts w:eastAsia="Calibri" w:cs="Arial"/>
          <w:sz w:val="20"/>
          <w:szCs w:val="20"/>
          <w:lang w:val="en-US" w:eastAsia="en-US"/>
        </w:rPr>
        <w:t xml:space="preserve">more severe </w:t>
      </w:r>
      <w:r w:rsidR="003E3D1B" w:rsidRPr="00AC57EA">
        <w:rPr>
          <w:rFonts w:eastAsia="Calibri" w:cs="Arial"/>
          <w:sz w:val="20"/>
          <w:szCs w:val="20"/>
          <w:lang w:val="en-US" w:eastAsia="en-US"/>
        </w:rPr>
        <w:t>punishment</w:t>
      </w:r>
      <w:r w:rsidR="00C802AA" w:rsidRPr="00AC57EA">
        <w:rPr>
          <w:rFonts w:eastAsia="Calibri" w:cs="Arial"/>
          <w:sz w:val="20"/>
          <w:szCs w:val="20"/>
          <w:lang w:val="en-US" w:eastAsia="en-US"/>
        </w:rPr>
        <w:t xml:space="preserve"> than merely corrective measures, shall be submitted to the consideration of the jury court, which shall issue its verdict based on firm conviction, ruling on the responsibility </w:t>
      </w:r>
      <w:r w:rsidR="00C802AA" w:rsidRPr="00AC57EA">
        <w:rPr>
          <w:rFonts w:eastAsia="Calibri" w:cs="Arial"/>
          <w:sz w:val="20"/>
          <w:szCs w:val="20"/>
          <w:lang w:val="en-US" w:eastAsia="en-US"/>
        </w:rPr>
        <w:lastRenderedPageBreak/>
        <w:t xml:space="preserve">of the accused, declaring him innocent or guilty. Based on this verdict, the district judge shall issue a judgment acquitting him or imposing the punishment.” It also indicated that the jury court was “exempted from providing the grounds for its decision, which was taken based on sound logic and firm conviction.” The law did not impose on the juror any type of rule that should be applied in the assessment of the different probative elements, and the conviction reached by the juror was not subject to any kind of pre-established formality. It added that, owing to the legal framework for the operation of the jury court, the members should not be asked for the reasons why they reached the conviction to condemn or acquit a person subject to a criminal proceedings. It underscored that the Commission’s observation that the April 2002 decision should have been reasoned led to confusion because what was issued at that time was a jury court verdict, </w:t>
      </w:r>
      <w:r w:rsidR="00BC5FE8" w:rsidRPr="00AC57EA">
        <w:rPr>
          <w:rFonts w:eastAsia="Calibri" w:cs="Arial"/>
          <w:sz w:val="20"/>
          <w:szCs w:val="20"/>
          <w:lang w:val="en-US" w:eastAsia="en-US"/>
        </w:rPr>
        <w:t>declaring the</w:t>
      </w:r>
      <w:r w:rsidR="00C802AA" w:rsidRPr="00AC57EA">
        <w:rPr>
          <w:rFonts w:eastAsia="Calibri" w:cs="Arial"/>
          <w:sz w:val="20"/>
          <w:szCs w:val="20"/>
          <w:lang w:val="en-US" w:eastAsia="en-US"/>
        </w:rPr>
        <w:t xml:space="preserve"> innocence of H.R.A., and not an interlocutory judgment. Verdicts d</w:t>
      </w:r>
      <w:r w:rsidR="00BC5FE8" w:rsidRPr="00AC57EA">
        <w:rPr>
          <w:rFonts w:eastAsia="Calibri" w:cs="Arial"/>
          <w:sz w:val="20"/>
          <w:szCs w:val="20"/>
          <w:lang w:val="en-US" w:eastAsia="en-US"/>
        </w:rPr>
        <w:t>id</w:t>
      </w:r>
      <w:r w:rsidR="00C802AA" w:rsidRPr="00AC57EA">
        <w:rPr>
          <w:rFonts w:eastAsia="Calibri" w:cs="Arial"/>
          <w:sz w:val="20"/>
          <w:szCs w:val="20"/>
          <w:lang w:val="en-US" w:eastAsia="en-US"/>
        </w:rPr>
        <w:t xml:space="preserve"> not require reasoning. Therefore, the State indicated that the jury did not have either the obligation or the duty to provide the reasons or the grounds </w:t>
      </w:r>
      <w:r w:rsidR="00BC5FE8" w:rsidRPr="00AC57EA">
        <w:rPr>
          <w:rFonts w:eastAsia="Calibri" w:cs="Arial"/>
          <w:sz w:val="20"/>
          <w:szCs w:val="20"/>
          <w:lang w:val="en-US" w:eastAsia="en-US"/>
        </w:rPr>
        <w:t>for</w:t>
      </w:r>
      <w:r w:rsidR="00C802AA" w:rsidRPr="00AC57EA">
        <w:rPr>
          <w:rFonts w:eastAsia="Calibri" w:cs="Arial"/>
          <w:sz w:val="20"/>
          <w:szCs w:val="20"/>
          <w:lang w:val="en-US" w:eastAsia="en-US"/>
        </w:rPr>
        <w:t xml:space="preserve"> its decision, because </w:t>
      </w:r>
      <w:r w:rsidR="00BC5FE8" w:rsidRPr="00AC57EA">
        <w:rPr>
          <w:rFonts w:eastAsia="Calibri" w:cs="Arial"/>
          <w:sz w:val="20"/>
          <w:szCs w:val="20"/>
          <w:lang w:val="en-US" w:eastAsia="en-US"/>
        </w:rPr>
        <w:t xml:space="preserve">the </w:t>
      </w:r>
      <w:r w:rsidR="001A2D9F" w:rsidRPr="00AC57EA">
        <w:rPr>
          <w:rFonts w:eastAsia="Calibri" w:cs="Arial"/>
          <w:sz w:val="20"/>
          <w:szCs w:val="20"/>
          <w:lang w:val="en-US" w:eastAsia="en-US"/>
        </w:rPr>
        <w:t xml:space="preserve">truth of the proceedings </w:t>
      </w:r>
      <w:r w:rsidR="00BC5FE8" w:rsidRPr="00AC57EA">
        <w:rPr>
          <w:rFonts w:eastAsia="Calibri" w:cs="Arial"/>
          <w:sz w:val="20"/>
          <w:szCs w:val="20"/>
          <w:lang w:val="en-US" w:eastAsia="en-US"/>
        </w:rPr>
        <w:t>was</w:t>
      </w:r>
      <w:r w:rsidR="001A2D9F" w:rsidRPr="00AC57EA">
        <w:rPr>
          <w:rFonts w:eastAsia="Calibri" w:cs="Arial"/>
          <w:sz w:val="20"/>
          <w:szCs w:val="20"/>
          <w:lang w:val="en-US" w:eastAsia="en-US"/>
        </w:rPr>
        <w:t xml:space="preserve"> determined based on </w:t>
      </w:r>
      <w:r w:rsidR="00BC5FE8" w:rsidRPr="00AC57EA">
        <w:rPr>
          <w:rFonts w:eastAsia="Calibri" w:cs="Arial"/>
          <w:sz w:val="20"/>
          <w:szCs w:val="20"/>
          <w:lang w:val="en-US" w:eastAsia="en-US"/>
        </w:rPr>
        <w:t xml:space="preserve">the </w:t>
      </w:r>
      <w:r w:rsidR="001A2D9F" w:rsidRPr="00AC57EA">
        <w:rPr>
          <w:rFonts w:eastAsia="Calibri" w:cs="Arial"/>
          <w:sz w:val="20"/>
          <w:szCs w:val="20"/>
          <w:lang w:val="en-US" w:eastAsia="en-US"/>
        </w:rPr>
        <w:t xml:space="preserve">moral conviction, conscience and free will of the peoples’ jury. Lastly, the State clarified that, according to article 309 </w:t>
      </w:r>
      <w:r w:rsidR="00BC5FE8" w:rsidRPr="00AC57EA">
        <w:rPr>
          <w:rFonts w:eastAsia="Calibri" w:cs="Arial"/>
          <w:sz w:val="20"/>
          <w:szCs w:val="20"/>
          <w:lang w:val="en-US" w:eastAsia="en-US"/>
        </w:rPr>
        <w:t>of the</w:t>
      </w:r>
      <w:r w:rsidR="001A2D9F" w:rsidRPr="00AC57EA">
        <w:rPr>
          <w:rFonts w:eastAsia="Calibri" w:cs="Arial"/>
          <w:sz w:val="20"/>
          <w:szCs w:val="20"/>
          <w:lang w:val="en-US" w:eastAsia="en-US"/>
        </w:rPr>
        <w:t xml:space="preserve"> Code of Criminal Procedure at the time, the verdict was written according to a precise pre-established formula.</w:t>
      </w:r>
    </w:p>
    <w:p w14:paraId="1583A0AA" w14:textId="77777777" w:rsidR="00B5625C" w:rsidRPr="00AC57EA" w:rsidRDefault="00B5625C" w:rsidP="00B5625C">
      <w:pPr>
        <w:widowControl/>
        <w:adjustRightInd/>
        <w:spacing w:line="240" w:lineRule="auto"/>
        <w:textAlignment w:val="auto"/>
        <w:rPr>
          <w:sz w:val="20"/>
          <w:szCs w:val="20"/>
          <w:lang w:val="en-US" w:eastAsia="en-US"/>
        </w:rPr>
      </w:pPr>
    </w:p>
    <w:p w14:paraId="75B74A4F" w14:textId="382A3CB7" w:rsidR="00B5625C" w:rsidRPr="00AC57EA" w:rsidRDefault="00A92F94" w:rsidP="00A92F94">
      <w:pPr>
        <w:keepNext/>
        <w:keepLines/>
        <w:tabs>
          <w:tab w:val="left" w:pos="1701"/>
        </w:tabs>
        <w:spacing w:line="240" w:lineRule="auto"/>
        <w:ind w:left="1134"/>
        <w:outlineLvl w:val="1"/>
        <w:rPr>
          <w:bCs/>
          <w:i/>
          <w:sz w:val="20"/>
          <w:szCs w:val="20"/>
          <w:lang w:val="en-US"/>
        </w:rPr>
      </w:pPr>
      <w:bookmarkStart w:id="127" w:name="_Toc514172640"/>
      <w:r w:rsidRPr="00AC57EA">
        <w:rPr>
          <w:bCs/>
          <w:i/>
          <w:sz w:val="20"/>
          <w:szCs w:val="20"/>
          <w:lang w:val="en-US"/>
        </w:rPr>
        <w:t>B</w:t>
      </w:r>
      <w:r w:rsidR="00B5625C" w:rsidRPr="00AC57EA">
        <w:rPr>
          <w:bCs/>
          <w:i/>
          <w:sz w:val="20"/>
          <w:szCs w:val="20"/>
          <w:lang w:val="en-US"/>
        </w:rPr>
        <w:t>.</w:t>
      </w:r>
      <w:r w:rsidR="0032081D" w:rsidRPr="00AC57EA">
        <w:rPr>
          <w:bCs/>
          <w:i/>
          <w:sz w:val="20"/>
          <w:szCs w:val="20"/>
          <w:lang w:val="en-US"/>
        </w:rPr>
        <w:t>3</w:t>
      </w:r>
      <w:r w:rsidR="00B5625C" w:rsidRPr="00AC57EA">
        <w:rPr>
          <w:bCs/>
          <w:i/>
          <w:sz w:val="20"/>
          <w:szCs w:val="20"/>
          <w:lang w:val="en-US"/>
        </w:rPr>
        <w:tab/>
      </w:r>
      <w:r w:rsidR="002223C8" w:rsidRPr="00AC57EA">
        <w:rPr>
          <w:bCs/>
          <w:i/>
          <w:sz w:val="20"/>
          <w:szCs w:val="20"/>
          <w:lang w:val="en-US"/>
        </w:rPr>
        <w:t>Considerations</w:t>
      </w:r>
      <w:r w:rsidR="00B7258C" w:rsidRPr="00AC57EA">
        <w:rPr>
          <w:bCs/>
          <w:i/>
          <w:sz w:val="20"/>
          <w:szCs w:val="20"/>
          <w:lang w:val="en-US"/>
        </w:rPr>
        <w:t xml:space="preserve"> of the Court</w:t>
      </w:r>
      <w:bookmarkEnd w:id="127"/>
    </w:p>
    <w:p w14:paraId="13AAAD84" w14:textId="77777777" w:rsidR="00B5625C" w:rsidRPr="00AC57EA" w:rsidRDefault="00B5625C" w:rsidP="00B5625C">
      <w:pPr>
        <w:widowControl/>
        <w:adjustRightInd/>
        <w:spacing w:line="240" w:lineRule="auto"/>
        <w:textAlignment w:val="auto"/>
        <w:rPr>
          <w:sz w:val="20"/>
          <w:szCs w:val="20"/>
          <w:lang w:val="en-US" w:eastAsia="en-US"/>
        </w:rPr>
      </w:pPr>
    </w:p>
    <w:p w14:paraId="15CF5B53" w14:textId="7EAB788A" w:rsidR="007814C0" w:rsidRPr="00AC57EA" w:rsidRDefault="001A2D9F" w:rsidP="006C3F09">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The dispute that the Court will </w:t>
      </w:r>
      <w:r w:rsidR="004C65C5" w:rsidRPr="00AC57EA">
        <w:rPr>
          <w:sz w:val="20"/>
          <w:szCs w:val="20"/>
          <w:lang w:val="en-US" w:eastAsia="en-US"/>
        </w:rPr>
        <w:t>address</w:t>
      </w:r>
      <w:r w:rsidRPr="00AC57EA">
        <w:rPr>
          <w:sz w:val="20"/>
          <w:szCs w:val="20"/>
          <w:lang w:val="en-US" w:eastAsia="en-US"/>
        </w:rPr>
        <w:t xml:space="preserve"> in this section relates to the </w:t>
      </w:r>
      <w:r w:rsidR="009E569E" w:rsidRPr="00AC57EA">
        <w:rPr>
          <w:sz w:val="20"/>
          <w:szCs w:val="20"/>
          <w:lang w:val="en-US" w:eastAsia="en-US"/>
        </w:rPr>
        <w:t>arguments</w:t>
      </w:r>
      <w:r w:rsidR="007814C0" w:rsidRPr="00AC57EA">
        <w:rPr>
          <w:sz w:val="20"/>
          <w:szCs w:val="20"/>
          <w:lang w:val="en-US" w:eastAsia="en-US"/>
        </w:rPr>
        <w:t xml:space="preserve"> </w:t>
      </w:r>
      <w:r w:rsidRPr="00AC57EA">
        <w:rPr>
          <w:sz w:val="20"/>
          <w:szCs w:val="20"/>
          <w:lang w:val="en-US" w:eastAsia="en-US"/>
        </w:rPr>
        <w:t>concerning impartiality and the duty to provide the reasoning for rulings, mainly as regards the actions of</w:t>
      </w:r>
      <w:r w:rsidR="007814C0" w:rsidRPr="00AC57EA">
        <w:rPr>
          <w:sz w:val="20"/>
          <w:szCs w:val="20"/>
          <w:lang w:val="en-US" w:eastAsia="en-US"/>
        </w:rPr>
        <w:t xml:space="preserve"> </w:t>
      </w:r>
      <w:r w:rsidR="00823E77" w:rsidRPr="00AC57EA">
        <w:rPr>
          <w:sz w:val="20"/>
          <w:szCs w:val="20"/>
          <w:lang w:val="en-US" w:eastAsia="en-US"/>
        </w:rPr>
        <w:t>the Jury Court</w:t>
      </w:r>
      <w:r w:rsidR="007814C0" w:rsidRPr="00AC57EA">
        <w:rPr>
          <w:sz w:val="20"/>
          <w:szCs w:val="20"/>
          <w:lang w:val="en-US" w:eastAsia="en-US"/>
        </w:rPr>
        <w:t xml:space="preserve">, </w:t>
      </w:r>
      <w:r w:rsidR="006C3F09" w:rsidRPr="00AC57EA">
        <w:rPr>
          <w:sz w:val="20"/>
          <w:szCs w:val="20"/>
          <w:lang w:val="en-US" w:eastAsia="en-US"/>
        </w:rPr>
        <w:t>which was the body responsible for hearing the plenary stage and imparting justice in this case. This leads the Court to refer to the issue of the applicability of the guarantees of due process to the model of trial by jury in force in Nicaragua at the time of the facts</w:t>
      </w:r>
      <w:r w:rsidR="007814C0" w:rsidRPr="00AC57EA">
        <w:rPr>
          <w:sz w:val="20"/>
          <w:szCs w:val="20"/>
          <w:lang w:val="en-US" w:eastAsia="en-US"/>
        </w:rPr>
        <w:t xml:space="preserve"> (</w:t>
      </w:r>
      <w:r w:rsidR="007814C0" w:rsidRPr="00AC57EA">
        <w:rPr>
          <w:i/>
          <w:sz w:val="20"/>
          <w:szCs w:val="20"/>
          <w:lang w:val="en-US" w:eastAsia="en-US"/>
        </w:rPr>
        <w:t>infra</w:t>
      </w:r>
      <w:r w:rsidR="007814C0" w:rsidRPr="00AC57EA">
        <w:rPr>
          <w:sz w:val="20"/>
          <w:szCs w:val="20"/>
          <w:lang w:val="en-US" w:eastAsia="en-US"/>
        </w:rPr>
        <w:t xml:space="preserve"> </w:t>
      </w:r>
      <w:r w:rsidR="00171E27" w:rsidRPr="00AC57EA">
        <w:rPr>
          <w:sz w:val="20"/>
          <w:szCs w:val="20"/>
          <w:lang w:val="en-US" w:eastAsia="en-US"/>
        </w:rPr>
        <w:t>paras.</w:t>
      </w:r>
      <w:r w:rsidR="007814C0" w:rsidRPr="00AC57EA">
        <w:rPr>
          <w:sz w:val="20"/>
          <w:szCs w:val="20"/>
          <w:lang w:val="en-US" w:eastAsia="en-US"/>
        </w:rPr>
        <w:t xml:space="preserve"> </w:t>
      </w:r>
      <w:r w:rsidR="003D231B" w:rsidRPr="00AC57EA">
        <w:rPr>
          <w:sz w:val="20"/>
          <w:szCs w:val="20"/>
          <w:lang w:val="en-US" w:eastAsia="en-US"/>
        </w:rPr>
        <w:t xml:space="preserve">227 </w:t>
      </w:r>
      <w:r w:rsidR="006C3F09" w:rsidRPr="00AC57EA">
        <w:rPr>
          <w:sz w:val="20"/>
          <w:szCs w:val="20"/>
          <w:lang w:val="en-US" w:eastAsia="en-US"/>
        </w:rPr>
        <w:t>to</w:t>
      </w:r>
      <w:r w:rsidR="003D231B" w:rsidRPr="00AC57EA">
        <w:rPr>
          <w:sz w:val="20"/>
          <w:szCs w:val="20"/>
          <w:lang w:val="en-US" w:eastAsia="en-US"/>
        </w:rPr>
        <w:t xml:space="preserve"> 235</w:t>
      </w:r>
      <w:r w:rsidR="007814C0" w:rsidRPr="00AC57EA">
        <w:rPr>
          <w:sz w:val="20"/>
          <w:szCs w:val="20"/>
          <w:lang w:val="en-US" w:eastAsia="en-US"/>
        </w:rPr>
        <w:t>)</w:t>
      </w:r>
      <w:r w:rsidR="00EA2CA7" w:rsidRPr="00AC57EA">
        <w:rPr>
          <w:sz w:val="20"/>
          <w:szCs w:val="20"/>
          <w:lang w:val="en-US" w:eastAsia="en-US"/>
        </w:rPr>
        <w:t xml:space="preserve">, </w:t>
      </w:r>
      <w:r w:rsidR="006C3F09" w:rsidRPr="00AC57EA">
        <w:rPr>
          <w:sz w:val="20"/>
          <w:szCs w:val="20"/>
          <w:lang w:val="en-US" w:eastAsia="en-US"/>
        </w:rPr>
        <w:t>and then to analyze this specific case.</w:t>
      </w:r>
    </w:p>
    <w:p w14:paraId="4EEF45BC" w14:textId="77777777" w:rsidR="007814C0" w:rsidRPr="00AC57EA" w:rsidRDefault="007814C0" w:rsidP="00B5625C">
      <w:pPr>
        <w:widowControl/>
        <w:adjustRightInd/>
        <w:spacing w:line="240" w:lineRule="auto"/>
        <w:textAlignment w:val="auto"/>
        <w:rPr>
          <w:sz w:val="20"/>
          <w:szCs w:val="20"/>
          <w:lang w:val="en-US" w:eastAsia="en-US"/>
        </w:rPr>
      </w:pPr>
    </w:p>
    <w:p w14:paraId="4C531B2E" w14:textId="30B09893" w:rsidR="00B5625C" w:rsidRPr="00AC57EA" w:rsidRDefault="00B7258C" w:rsidP="006C3F09">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 Court</w:t>
      </w:r>
      <w:r w:rsidR="00B5625C" w:rsidRPr="00AC57EA">
        <w:rPr>
          <w:sz w:val="20"/>
          <w:szCs w:val="20"/>
          <w:lang w:val="en-US" w:eastAsia="en-US"/>
        </w:rPr>
        <w:t xml:space="preserve"> ha</w:t>
      </w:r>
      <w:r w:rsidR="006C3F09" w:rsidRPr="00AC57EA">
        <w:rPr>
          <w:sz w:val="20"/>
          <w:szCs w:val="20"/>
          <w:lang w:val="en-US" w:eastAsia="en-US"/>
        </w:rPr>
        <w:t xml:space="preserve">s defined due process of law as the series of requirements that should be observed in procedural instances to ensure that the individual may defend his rights appropriately when any type of </w:t>
      </w:r>
      <w:r w:rsidR="004C65C5" w:rsidRPr="00AC57EA">
        <w:rPr>
          <w:sz w:val="20"/>
          <w:szCs w:val="20"/>
          <w:lang w:val="en-US" w:eastAsia="en-US"/>
        </w:rPr>
        <w:t xml:space="preserve">state </w:t>
      </w:r>
      <w:r w:rsidR="006C3F09" w:rsidRPr="00AC57EA">
        <w:rPr>
          <w:sz w:val="20"/>
          <w:szCs w:val="20"/>
          <w:lang w:val="en-US" w:eastAsia="en-US"/>
        </w:rPr>
        <w:t>act may have harmed them.</w:t>
      </w:r>
      <w:r w:rsidR="00B5625C" w:rsidRPr="00AC57EA">
        <w:rPr>
          <w:sz w:val="20"/>
          <w:szCs w:val="20"/>
          <w:vertAlign w:val="superscript"/>
          <w:lang w:val="en-US" w:eastAsia="en-US"/>
        </w:rPr>
        <w:footnoteReference w:id="281"/>
      </w:r>
      <w:r w:rsidR="006C3F09" w:rsidRPr="00AC57EA">
        <w:rPr>
          <w:sz w:val="20"/>
          <w:szCs w:val="20"/>
          <w:lang w:val="en-US" w:eastAsia="en-US"/>
        </w:rPr>
        <w:t xml:space="preserve"> </w:t>
      </w:r>
      <w:r w:rsidR="00B5625C" w:rsidRPr="00AC57EA">
        <w:rPr>
          <w:sz w:val="20"/>
          <w:szCs w:val="20"/>
          <w:lang w:val="en-US" w:eastAsia="en-US"/>
        </w:rPr>
        <w:t xml:space="preserve"> </w:t>
      </w:r>
      <w:r w:rsidR="006C3F09" w:rsidRPr="00AC57EA">
        <w:rPr>
          <w:sz w:val="20"/>
          <w:szCs w:val="20"/>
          <w:lang w:val="en-US" w:eastAsia="en-US"/>
        </w:rPr>
        <w:t xml:space="preserve">Thus, </w:t>
      </w:r>
      <w:r w:rsidRPr="00AC57EA">
        <w:rPr>
          <w:sz w:val="20"/>
          <w:szCs w:val="20"/>
          <w:lang w:val="en-US" w:eastAsia="en-US"/>
        </w:rPr>
        <w:t>Article</w:t>
      </w:r>
      <w:r w:rsidR="00B5625C" w:rsidRPr="00AC57EA">
        <w:rPr>
          <w:sz w:val="20"/>
          <w:szCs w:val="20"/>
          <w:lang w:val="en-US" w:eastAsia="en-US"/>
        </w:rPr>
        <w:t xml:space="preserve"> 8 </w:t>
      </w:r>
      <w:r w:rsidR="006C3F09" w:rsidRPr="00AC57EA">
        <w:rPr>
          <w:sz w:val="20"/>
          <w:szCs w:val="20"/>
          <w:lang w:val="en-US" w:eastAsia="en-US"/>
        </w:rPr>
        <w:t xml:space="preserve">of the Convention includes a system of guarantees that condition the exercise of the State’s </w:t>
      </w:r>
      <w:r w:rsidR="00B5625C" w:rsidRPr="00AC57EA">
        <w:rPr>
          <w:i/>
          <w:sz w:val="20"/>
          <w:szCs w:val="20"/>
          <w:lang w:val="en-US" w:eastAsia="en-US"/>
        </w:rPr>
        <w:t>ius puniendi</w:t>
      </w:r>
      <w:r w:rsidR="00EC52D7" w:rsidRPr="00AC57EA">
        <w:rPr>
          <w:i/>
          <w:sz w:val="20"/>
          <w:szCs w:val="20"/>
          <w:lang w:val="en-US" w:eastAsia="en-US"/>
        </w:rPr>
        <w:t xml:space="preserve"> </w:t>
      </w:r>
      <w:r w:rsidR="00171E27" w:rsidRPr="00AC57EA">
        <w:rPr>
          <w:rFonts w:eastAsia="Calibri" w:cs="Verdana"/>
          <w:snapToGrid w:val="0"/>
          <w:sz w:val="20"/>
          <w:szCs w:val="20"/>
          <w:lang w:val="en-US" w:eastAsia="es-ES"/>
        </w:rPr>
        <w:t xml:space="preserve">and </w:t>
      </w:r>
      <w:r w:rsidR="006C3F09" w:rsidRPr="00AC57EA">
        <w:rPr>
          <w:rFonts w:eastAsia="Calibri" w:cs="Verdana"/>
          <w:snapToGrid w:val="0"/>
          <w:sz w:val="20"/>
          <w:szCs w:val="20"/>
          <w:lang w:val="en-US" w:eastAsia="es-ES"/>
        </w:rPr>
        <w:t>seek to ensure that the accused is not subjected to arbitrary dec</w:t>
      </w:r>
      <w:r w:rsidR="00532F39" w:rsidRPr="00AC57EA">
        <w:rPr>
          <w:rFonts w:eastAsia="Calibri" w:cs="Verdana"/>
          <w:snapToGrid w:val="0"/>
          <w:sz w:val="20"/>
          <w:szCs w:val="20"/>
          <w:lang w:val="en-US" w:eastAsia="es-ES"/>
        </w:rPr>
        <w:t>i</w:t>
      </w:r>
      <w:r w:rsidR="006C3F09" w:rsidRPr="00AC57EA">
        <w:rPr>
          <w:rFonts w:eastAsia="Calibri" w:cs="Verdana"/>
          <w:snapToGrid w:val="0"/>
          <w:sz w:val="20"/>
          <w:szCs w:val="20"/>
          <w:lang w:val="en-US" w:eastAsia="es-ES"/>
        </w:rPr>
        <w:t>sions, because “due guarantees”</w:t>
      </w:r>
      <w:r w:rsidR="004C65C5" w:rsidRPr="00AC57EA">
        <w:rPr>
          <w:rFonts w:eastAsia="Calibri" w:cs="Verdana"/>
          <w:snapToGrid w:val="0"/>
          <w:sz w:val="20"/>
          <w:szCs w:val="20"/>
          <w:lang w:val="en-US" w:eastAsia="es-ES"/>
        </w:rPr>
        <w:t xml:space="preserve"> must be observed</w:t>
      </w:r>
      <w:r w:rsidR="006C3F09" w:rsidRPr="00AC57EA">
        <w:rPr>
          <w:rFonts w:eastAsia="Calibri" w:cs="Verdana"/>
          <w:snapToGrid w:val="0"/>
          <w:sz w:val="20"/>
          <w:szCs w:val="20"/>
          <w:lang w:val="en-US" w:eastAsia="es-ES"/>
        </w:rPr>
        <w:t xml:space="preserve"> that ensure the right to due process, whatever the proceedings concerned.</w:t>
      </w:r>
      <w:r w:rsidR="00B5625C" w:rsidRPr="00AC57EA">
        <w:rPr>
          <w:sz w:val="20"/>
          <w:szCs w:val="20"/>
          <w:vertAlign w:val="superscript"/>
          <w:lang w:val="en-US" w:eastAsia="en-US"/>
        </w:rPr>
        <w:footnoteReference w:id="282"/>
      </w:r>
    </w:p>
    <w:p w14:paraId="2B46A468" w14:textId="77777777" w:rsidR="00B5625C" w:rsidRPr="00AC57EA" w:rsidRDefault="00B5625C" w:rsidP="00B5625C">
      <w:pPr>
        <w:widowControl/>
        <w:adjustRightInd/>
        <w:spacing w:line="240" w:lineRule="auto"/>
        <w:textAlignment w:val="auto"/>
        <w:rPr>
          <w:sz w:val="20"/>
          <w:szCs w:val="20"/>
          <w:lang w:val="en-US" w:eastAsia="en-US"/>
        </w:rPr>
      </w:pPr>
    </w:p>
    <w:p w14:paraId="501DE473" w14:textId="434177AA" w:rsidR="00B5625C" w:rsidRPr="00AC57EA" w:rsidRDefault="00532F39" w:rsidP="00532F39">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In this case, the person deemed to be the </w:t>
      </w:r>
      <w:r w:rsidR="00EC52D7" w:rsidRPr="00AC57EA">
        <w:rPr>
          <w:sz w:val="20"/>
          <w:szCs w:val="20"/>
          <w:lang w:val="en-US" w:eastAsia="en-US"/>
        </w:rPr>
        <w:t>presumed victim</w:t>
      </w:r>
      <w:r w:rsidRPr="00AC57EA">
        <w:rPr>
          <w:sz w:val="20"/>
          <w:szCs w:val="20"/>
          <w:lang w:val="en-US" w:eastAsia="en-US"/>
        </w:rPr>
        <w:t xml:space="preserve"> of </w:t>
      </w:r>
      <w:r w:rsidR="004C65C5" w:rsidRPr="00AC57EA">
        <w:rPr>
          <w:sz w:val="20"/>
          <w:szCs w:val="20"/>
          <w:lang w:val="en-US" w:eastAsia="en-US"/>
        </w:rPr>
        <w:t xml:space="preserve">the violation of </w:t>
      </w:r>
      <w:r w:rsidRPr="00AC57EA">
        <w:rPr>
          <w:sz w:val="20"/>
          <w:szCs w:val="20"/>
          <w:lang w:val="en-US" w:eastAsia="en-US"/>
        </w:rPr>
        <w:t xml:space="preserve">these guarantees is not the person accused of the offense, the original beneficiary of the whole enlightened apparatus that sought to put a limit to the State’s punitive powers, but rather the victim of the offense and her mother. The Court recalls that the “due guarantees” </w:t>
      </w:r>
      <w:r w:rsidR="00171E27" w:rsidRPr="00AC57EA">
        <w:rPr>
          <w:sz w:val="20"/>
          <w:szCs w:val="20"/>
          <w:lang w:val="en-US" w:eastAsia="en-US"/>
        </w:rPr>
        <w:t>of Article</w:t>
      </w:r>
      <w:r w:rsidR="00B5625C" w:rsidRPr="00AC57EA">
        <w:rPr>
          <w:sz w:val="20"/>
          <w:szCs w:val="20"/>
          <w:lang w:val="en-US" w:eastAsia="en-US"/>
        </w:rPr>
        <w:t xml:space="preserve"> </w:t>
      </w:r>
      <w:r w:rsidR="00171E27" w:rsidRPr="00AC57EA">
        <w:rPr>
          <w:sz w:val="20"/>
          <w:szCs w:val="20"/>
          <w:lang w:val="en-US" w:eastAsia="en-US"/>
        </w:rPr>
        <w:t>8(1)</w:t>
      </w:r>
      <w:r w:rsidR="00B7258C" w:rsidRPr="00AC57EA">
        <w:rPr>
          <w:sz w:val="20"/>
          <w:szCs w:val="20"/>
          <w:lang w:val="en-US" w:eastAsia="en-US"/>
        </w:rPr>
        <w:t xml:space="preserve"> of the Convention</w:t>
      </w:r>
      <w:r w:rsidR="00B5625C" w:rsidRPr="00AC57EA">
        <w:rPr>
          <w:sz w:val="20"/>
          <w:szCs w:val="20"/>
          <w:lang w:val="en-US" w:eastAsia="en-US"/>
        </w:rPr>
        <w:t xml:space="preserve"> </w:t>
      </w:r>
      <w:r w:rsidRPr="00AC57EA">
        <w:rPr>
          <w:sz w:val="20"/>
          <w:szCs w:val="20"/>
          <w:lang w:val="en-US" w:eastAsia="en-US"/>
        </w:rPr>
        <w:t xml:space="preserve">protect the right to due process of the accused and, in cases such as this one, they also safeguard the right of </w:t>
      </w:r>
      <w:r w:rsidR="002A5974" w:rsidRPr="00AC57EA">
        <w:rPr>
          <w:sz w:val="20"/>
          <w:lang w:val="en-US" w:eastAsia="en-US"/>
        </w:rPr>
        <w:t>access to justice</w:t>
      </w:r>
      <w:r w:rsidR="00B5625C" w:rsidRPr="00AC57EA">
        <w:rPr>
          <w:sz w:val="20"/>
          <w:lang w:val="en-US" w:eastAsia="en-US"/>
        </w:rPr>
        <w:t xml:space="preserve"> </w:t>
      </w:r>
      <w:r w:rsidRPr="00AC57EA">
        <w:rPr>
          <w:sz w:val="20"/>
          <w:lang w:val="en-US" w:eastAsia="en-US"/>
        </w:rPr>
        <w:t>of the victim of an offense or their next of kin, and the right to know the truth of the family.</w:t>
      </w:r>
      <w:r w:rsidR="00B5625C" w:rsidRPr="00AC57EA">
        <w:rPr>
          <w:sz w:val="20"/>
          <w:vertAlign w:val="superscript"/>
          <w:lang w:val="en-US" w:eastAsia="en-US"/>
        </w:rPr>
        <w:footnoteReference w:id="283"/>
      </w:r>
    </w:p>
    <w:p w14:paraId="25D1F23C" w14:textId="77777777" w:rsidR="00B5625C" w:rsidRPr="00AC57EA" w:rsidRDefault="00B5625C" w:rsidP="00B5625C">
      <w:pPr>
        <w:widowControl/>
        <w:adjustRightInd/>
        <w:spacing w:line="240" w:lineRule="auto"/>
        <w:textAlignment w:val="auto"/>
        <w:rPr>
          <w:sz w:val="20"/>
          <w:szCs w:val="20"/>
          <w:lang w:val="en-US" w:eastAsia="en-US"/>
        </w:rPr>
      </w:pPr>
    </w:p>
    <w:p w14:paraId="0246B534" w14:textId="456A2E30" w:rsidR="00B5625C" w:rsidRPr="00AC57EA" w:rsidRDefault="00532F39" w:rsidP="00841EAC">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I</w:t>
      </w:r>
      <w:r w:rsidR="00B5625C" w:rsidRPr="00AC57EA">
        <w:rPr>
          <w:sz w:val="20"/>
          <w:szCs w:val="20"/>
          <w:lang w:val="en-US" w:eastAsia="en-US"/>
        </w:rPr>
        <w:t>n princip</w:t>
      </w:r>
      <w:r w:rsidRPr="00AC57EA">
        <w:rPr>
          <w:sz w:val="20"/>
          <w:szCs w:val="20"/>
          <w:lang w:val="en-US" w:eastAsia="en-US"/>
        </w:rPr>
        <w:t>le, there is nothing to exclude the judicial guarantees established in</w:t>
      </w:r>
      <w:r w:rsidR="00B5625C" w:rsidRPr="00AC57EA">
        <w:rPr>
          <w:sz w:val="20"/>
          <w:szCs w:val="20"/>
          <w:lang w:val="en-US" w:eastAsia="en-US"/>
        </w:rPr>
        <w:t xml:space="preserve"> </w:t>
      </w:r>
      <w:r w:rsidR="00B7258C" w:rsidRPr="00AC57EA">
        <w:rPr>
          <w:sz w:val="20"/>
          <w:szCs w:val="20"/>
          <w:lang w:val="en-US" w:eastAsia="en-US"/>
        </w:rPr>
        <w:t>the American Convention</w:t>
      </w:r>
      <w:r w:rsidR="00B5625C" w:rsidRPr="00AC57EA">
        <w:rPr>
          <w:sz w:val="20"/>
          <w:szCs w:val="20"/>
          <w:lang w:val="en-US" w:eastAsia="en-US"/>
        </w:rPr>
        <w:t xml:space="preserve"> </w:t>
      </w:r>
      <w:r w:rsidRPr="00AC57EA">
        <w:rPr>
          <w:sz w:val="20"/>
          <w:szCs w:val="20"/>
          <w:lang w:val="en-US" w:eastAsia="en-US"/>
        </w:rPr>
        <w:t>from being ap</w:t>
      </w:r>
      <w:r w:rsidR="00BD5CE0" w:rsidRPr="00AC57EA">
        <w:rPr>
          <w:sz w:val="20"/>
          <w:szCs w:val="20"/>
          <w:lang w:val="en-US" w:eastAsia="en-US"/>
        </w:rPr>
        <w:t>p</w:t>
      </w:r>
      <w:r w:rsidRPr="00AC57EA">
        <w:rPr>
          <w:sz w:val="20"/>
          <w:szCs w:val="20"/>
          <w:lang w:val="en-US" w:eastAsia="en-US"/>
        </w:rPr>
        <w:t xml:space="preserve">licable to the system of trial by jury, because </w:t>
      </w:r>
      <w:r w:rsidR="00BD5CE0" w:rsidRPr="00AC57EA">
        <w:rPr>
          <w:sz w:val="20"/>
          <w:szCs w:val="20"/>
          <w:lang w:val="en-US" w:eastAsia="en-US"/>
        </w:rPr>
        <w:t>th</w:t>
      </w:r>
      <w:r w:rsidR="004C65C5" w:rsidRPr="00AC57EA">
        <w:rPr>
          <w:sz w:val="20"/>
          <w:szCs w:val="20"/>
          <w:lang w:val="en-US" w:eastAsia="en-US"/>
        </w:rPr>
        <w:t>os</w:t>
      </w:r>
      <w:r w:rsidR="00BD5CE0" w:rsidRPr="00AC57EA">
        <w:rPr>
          <w:sz w:val="20"/>
          <w:szCs w:val="20"/>
          <w:lang w:val="en-US" w:eastAsia="en-US"/>
        </w:rPr>
        <w:t>e</w:t>
      </w:r>
      <w:r w:rsidR="004C65C5" w:rsidRPr="00AC57EA">
        <w:rPr>
          <w:sz w:val="20"/>
          <w:szCs w:val="20"/>
          <w:lang w:val="en-US" w:eastAsia="en-US"/>
        </w:rPr>
        <w:t xml:space="preserve"> who</w:t>
      </w:r>
      <w:r w:rsidR="00BD5CE0" w:rsidRPr="00AC57EA">
        <w:rPr>
          <w:sz w:val="20"/>
          <w:szCs w:val="20"/>
          <w:lang w:val="en-US" w:eastAsia="en-US"/>
        </w:rPr>
        <w:t xml:space="preserve"> drafte</w:t>
      </w:r>
      <w:r w:rsidR="004C65C5" w:rsidRPr="00AC57EA">
        <w:rPr>
          <w:sz w:val="20"/>
          <w:szCs w:val="20"/>
          <w:lang w:val="en-US" w:eastAsia="en-US"/>
        </w:rPr>
        <w:t xml:space="preserve">d the </w:t>
      </w:r>
      <w:r w:rsidR="004C65C5" w:rsidRPr="00AC57EA">
        <w:rPr>
          <w:sz w:val="20"/>
          <w:szCs w:val="20"/>
          <w:lang w:val="en-US" w:eastAsia="en-US"/>
        </w:rPr>
        <w:lastRenderedPageBreak/>
        <w:t>Convention</w:t>
      </w:r>
      <w:r w:rsidR="00BD5CE0" w:rsidRPr="00AC57EA">
        <w:rPr>
          <w:sz w:val="20"/>
          <w:szCs w:val="20"/>
          <w:lang w:val="en-US" w:eastAsia="en-US"/>
        </w:rPr>
        <w:t xml:space="preserve"> were not thinking of a specific criminal procedural system. Indeed, the Court has already affirmed that:</w:t>
      </w:r>
    </w:p>
    <w:p w14:paraId="6DA2315A" w14:textId="77777777" w:rsidR="00B5625C" w:rsidRPr="00AC57EA" w:rsidRDefault="00B5625C" w:rsidP="00B5625C">
      <w:pPr>
        <w:widowControl/>
        <w:adjustRightInd/>
        <w:spacing w:line="240" w:lineRule="auto"/>
        <w:textAlignment w:val="auto"/>
        <w:rPr>
          <w:sz w:val="20"/>
          <w:szCs w:val="20"/>
          <w:lang w:val="en-US" w:eastAsia="en-US"/>
        </w:rPr>
      </w:pPr>
    </w:p>
    <w:p w14:paraId="42B37121" w14:textId="635063C0" w:rsidR="00B5625C" w:rsidRPr="00AC57EA" w:rsidRDefault="00BD5CE0" w:rsidP="00BD5CE0">
      <w:pPr>
        <w:widowControl/>
        <w:adjustRightInd/>
        <w:spacing w:line="240" w:lineRule="auto"/>
        <w:ind w:left="567" w:right="582"/>
        <w:textAlignment w:val="auto"/>
        <w:rPr>
          <w:sz w:val="16"/>
          <w:szCs w:val="16"/>
          <w:lang w:val="en-US" w:eastAsia="en-US"/>
        </w:rPr>
      </w:pPr>
      <w:r w:rsidRPr="00AC57EA">
        <w:rPr>
          <w:rFonts w:cs="Arial"/>
          <w:sz w:val="16"/>
          <w:szCs w:val="16"/>
          <w:lang w:val="en-US"/>
        </w:rPr>
        <w:t>The Convention does not endorse any specific criminal procedural system. It gives the States the liberty to determine which one they prefer, as long as they respect the guarantees established in the Convention itself, and in domestic law, other applicable international treaties, customary law, and the peremptory provisions of international law</w:t>
      </w:r>
      <w:r w:rsidRPr="00AC57EA">
        <w:rPr>
          <w:sz w:val="16"/>
          <w:szCs w:val="16"/>
          <w:lang w:val="en-US" w:eastAsia="en-US"/>
        </w:rPr>
        <w:t>.</w:t>
      </w:r>
      <w:r w:rsidR="00B5625C" w:rsidRPr="00AC57EA">
        <w:rPr>
          <w:sz w:val="16"/>
          <w:szCs w:val="16"/>
          <w:vertAlign w:val="superscript"/>
          <w:lang w:val="en-US" w:eastAsia="en-US"/>
        </w:rPr>
        <w:footnoteReference w:id="284"/>
      </w:r>
    </w:p>
    <w:p w14:paraId="1E0FB337" w14:textId="77777777" w:rsidR="00BD5CE0" w:rsidRPr="00AC57EA" w:rsidRDefault="00BD5CE0" w:rsidP="00BD5CE0">
      <w:pPr>
        <w:widowControl/>
        <w:adjustRightInd/>
        <w:spacing w:line="240" w:lineRule="auto"/>
        <w:ind w:left="567" w:right="582"/>
        <w:textAlignment w:val="auto"/>
        <w:rPr>
          <w:sz w:val="16"/>
          <w:szCs w:val="16"/>
          <w:lang w:val="en-US" w:eastAsia="en-US"/>
        </w:rPr>
      </w:pPr>
    </w:p>
    <w:p w14:paraId="7907CAD1" w14:textId="201F206F" w:rsidR="00B5625C" w:rsidRPr="00AC57EA" w:rsidRDefault="00BD5CE0" w:rsidP="00841EAC">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 organs of the European regional system and the universal system have ruled similarly. For example, in the</w:t>
      </w:r>
      <w:r w:rsidR="00B5625C" w:rsidRPr="00AC57EA">
        <w:rPr>
          <w:sz w:val="20"/>
          <w:szCs w:val="20"/>
          <w:lang w:val="en-US" w:eastAsia="en-US"/>
        </w:rPr>
        <w:t xml:space="preserve"> </w:t>
      </w:r>
      <w:r w:rsidR="00FD5E2A" w:rsidRPr="00AC57EA">
        <w:rPr>
          <w:i/>
          <w:sz w:val="20"/>
          <w:szCs w:val="20"/>
          <w:lang w:val="en-US" w:eastAsia="en-US"/>
        </w:rPr>
        <w:t>C</w:t>
      </w:r>
      <w:r w:rsidR="00B5625C" w:rsidRPr="00AC57EA">
        <w:rPr>
          <w:i/>
          <w:sz w:val="20"/>
          <w:szCs w:val="20"/>
          <w:lang w:val="en-US" w:eastAsia="en-US"/>
        </w:rPr>
        <w:t>as</w:t>
      </w:r>
      <w:r w:rsidRPr="00AC57EA">
        <w:rPr>
          <w:i/>
          <w:sz w:val="20"/>
          <w:szCs w:val="20"/>
          <w:lang w:val="en-US" w:eastAsia="en-US"/>
        </w:rPr>
        <w:t>e of</w:t>
      </w:r>
      <w:r w:rsidR="00B5625C" w:rsidRPr="00AC57EA">
        <w:rPr>
          <w:sz w:val="20"/>
          <w:szCs w:val="20"/>
          <w:lang w:val="en-US" w:eastAsia="en-US"/>
        </w:rPr>
        <w:t xml:space="preserve"> </w:t>
      </w:r>
      <w:r w:rsidR="00B5625C" w:rsidRPr="00AC57EA">
        <w:rPr>
          <w:i/>
          <w:sz w:val="20"/>
          <w:szCs w:val="20"/>
          <w:lang w:val="en-US" w:eastAsia="en-US"/>
        </w:rPr>
        <w:t xml:space="preserve">Taxquet </w:t>
      </w:r>
      <w:r w:rsidRPr="00AC57EA">
        <w:rPr>
          <w:i/>
          <w:sz w:val="20"/>
          <w:szCs w:val="20"/>
          <w:lang w:val="en-US" w:eastAsia="en-US"/>
        </w:rPr>
        <w:t>v.</w:t>
      </w:r>
      <w:r w:rsidR="002A01B7" w:rsidRPr="00AC57EA">
        <w:rPr>
          <w:i/>
          <w:sz w:val="20"/>
          <w:szCs w:val="20"/>
          <w:lang w:val="en-US" w:eastAsia="en-US"/>
        </w:rPr>
        <w:t xml:space="preserve"> </w:t>
      </w:r>
      <w:r w:rsidRPr="00AC57EA">
        <w:rPr>
          <w:i/>
          <w:sz w:val="20"/>
          <w:szCs w:val="20"/>
          <w:lang w:val="en-US" w:eastAsia="en-US"/>
        </w:rPr>
        <w:t xml:space="preserve">Belgium, </w:t>
      </w:r>
      <w:r w:rsidRPr="00AC57EA">
        <w:rPr>
          <w:iCs/>
          <w:sz w:val="20"/>
          <w:szCs w:val="20"/>
          <w:lang w:val="en-US" w:eastAsia="en-US"/>
        </w:rPr>
        <w:t xml:space="preserve">the European Court of Human Rights </w:t>
      </w:r>
      <w:r w:rsidR="004C37D3" w:rsidRPr="00AC57EA">
        <w:rPr>
          <w:iCs/>
          <w:sz w:val="20"/>
          <w:szCs w:val="20"/>
          <w:lang w:val="en-US" w:eastAsia="en-US"/>
        </w:rPr>
        <w:t>note</w:t>
      </w:r>
      <w:r w:rsidR="004C65C5" w:rsidRPr="00AC57EA">
        <w:rPr>
          <w:iCs/>
          <w:sz w:val="20"/>
          <w:szCs w:val="20"/>
          <w:lang w:val="en-US" w:eastAsia="en-US"/>
        </w:rPr>
        <w:t>d</w:t>
      </w:r>
      <w:r w:rsidR="004C37D3" w:rsidRPr="00AC57EA">
        <w:rPr>
          <w:iCs/>
          <w:sz w:val="20"/>
          <w:szCs w:val="20"/>
          <w:lang w:val="en-US" w:eastAsia="en-US"/>
        </w:rPr>
        <w:t xml:space="preserve"> that</w:t>
      </w:r>
      <w:r w:rsidRPr="00AC57EA">
        <w:rPr>
          <w:iCs/>
          <w:sz w:val="20"/>
          <w:szCs w:val="20"/>
          <w:lang w:val="en-US" w:eastAsia="en-US"/>
        </w:rPr>
        <w:t>:</w:t>
      </w:r>
    </w:p>
    <w:p w14:paraId="3AFC9DE0" w14:textId="77777777" w:rsidR="00B5625C" w:rsidRPr="00AC57EA" w:rsidRDefault="00B5625C" w:rsidP="00B5625C">
      <w:pPr>
        <w:widowControl/>
        <w:adjustRightInd/>
        <w:spacing w:line="240" w:lineRule="auto"/>
        <w:textAlignment w:val="auto"/>
        <w:rPr>
          <w:sz w:val="20"/>
          <w:szCs w:val="20"/>
          <w:lang w:val="en-US" w:eastAsia="en-US"/>
        </w:rPr>
      </w:pPr>
    </w:p>
    <w:p w14:paraId="08416E39" w14:textId="784B4F74" w:rsidR="00B5625C" w:rsidRPr="00AC57EA" w:rsidRDefault="00B5625C" w:rsidP="004C37D3">
      <w:pPr>
        <w:widowControl/>
        <w:adjustRightInd/>
        <w:spacing w:line="240" w:lineRule="auto"/>
        <w:ind w:left="567" w:right="582"/>
        <w:textAlignment w:val="auto"/>
        <w:rPr>
          <w:sz w:val="16"/>
          <w:szCs w:val="16"/>
          <w:lang w:val="en-US" w:eastAsia="en-US"/>
        </w:rPr>
      </w:pPr>
      <w:r w:rsidRPr="00AC57EA">
        <w:rPr>
          <w:sz w:val="16"/>
          <w:szCs w:val="16"/>
          <w:lang w:val="en-US" w:eastAsia="en-US"/>
        </w:rPr>
        <w:t xml:space="preserve">[…] </w:t>
      </w:r>
      <w:r w:rsidR="004C37D3" w:rsidRPr="00AC57EA">
        <w:rPr>
          <w:rFonts w:cs="Arial"/>
          <w:sz w:val="16"/>
          <w:szCs w:val="16"/>
          <w:lang w:val="en-US"/>
        </w:rPr>
        <w:t xml:space="preserve">several Council of Europe member States have a lay jury system, guided by the legitimate desire to involve citizens in the administration of justice, particularly in relation to the most serious offences. </w:t>
      </w:r>
      <w:r w:rsidR="004C65C5" w:rsidRPr="00AC57EA">
        <w:rPr>
          <w:rFonts w:cs="Arial"/>
          <w:sz w:val="16"/>
          <w:szCs w:val="16"/>
          <w:lang w:val="en-US"/>
        </w:rPr>
        <w:t>[…]</w:t>
      </w:r>
      <w:r w:rsidR="004C37D3" w:rsidRPr="00AC57EA">
        <w:rPr>
          <w:rFonts w:cs="Arial"/>
          <w:sz w:val="16"/>
          <w:szCs w:val="16"/>
          <w:lang w:val="en-US"/>
        </w:rPr>
        <w:t xml:space="preserve"> This is just one example among others of the variety of legal systems existing in Europe </w:t>
      </w:r>
      <w:r w:rsidR="004C37D3" w:rsidRPr="00AC57EA">
        <w:rPr>
          <w:sz w:val="16"/>
          <w:szCs w:val="16"/>
          <w:lang w:val="en-US" w:eastAsia="en-US"/>
        </w:rPr>
        <w:t>[…]</w:t>
      </w:r>
      <w:r w:rsidR="004C37D3" w:rsidRPr="00AC57EA">
        <w:rPr>
          <w:rFonts w:cs="Arial"/>
          <w:sz w:val="16"/>
          <w:szCs w:val="16"/>
          <w:lang w:val="en-US"/>
        </w:rPr>
        <w:t>, and it is not the Court’s task to standardise them.</w:t>
      </w:r>
      <w:r w:rsidR="004C37D3" w:rsidRPr="00AC57EA">
        <w:rPr>
          <w:sz w:val="16"/>
          <w:szCs w:val="16"/>
          <w:lang w:val="en-US" w:eastAsia="en-US"/>
        </w:rPr>
        <w:t xml:space="preserve"> </w:t>
      </w:r>
      <w:r w:rsidR="004C37D3" w:rsidRPr="00AC57EA">
        <w:rPr>
          <w:rFonts w:cs="Arial"/>
          <w:sz w:val="16"/>
          <w:szCs w:val="16"/>
          <w:lang w:val="en-US"/>
        </w:rPr>
        <w:t>A State’s choice of a particular criminal justice system is in principle outside the scope of the supervision carried out by the Court at European level, provided that the system chosen does not contravene the principles set forth in the Convention.</w:t>
      </w:r>
      <w:r w:rsidRPr="00AC57EA">
        <w:rPr>
          <w:sz w:val="16"/>
          <w:szCs w:val="16"/>
          <w:vertAlign w:val="superscript"/>
          <w:lang w:val="en-US" w:eastAsia="en-US"/>
        </w:rPr>
        <w:footnoteReference w:id="285"/>
      </w:r>
    </w:p>
    <w:p w14:paraId="512E3DFF" w14:textId="77777777" w:rsidR="00B5625C" w:rsidRPr="00AC57EA" w:rsidRDefault="00B5625C" w:rsidP="00B5625C">
      <w:pPr>
        <w:widowControl/>
        <w:adjustRightInd/>
        <w:spacing w:line="240" w:lineRule="auto"/>
        <w:ind w:left="708" w:right="758"/>
        <w:textAlignment w:val="auto"/>
        <w:rPr>
          <w:sz w:val="16"/>
          <w:szCs w:val="16"/>
          <w:lang w:val="en-US" w:eastAsia="en-US"/>
        </w:rPr>
      </w:pPr>
    </w:p>
    <w:p w14:paraId="760D4FCD" w14:textId="57BDD6D2" w:rsidR="00B5625C" w:rsidRPr="00AC57EA" w:rsidRDefault="004C37D3" w:rsidP="004C37D3">
      <w:pPr>
        <w:widowControl/>
        <w:adjustRightInd/>
        <w:spacing w:line="240" w:lineRule="auto"/>
        <w:ind w:left="567" w:right="582"/>
        <w:textAlignment w:val="auto"/>
        <w:rPr>
          <w:rFonts w:ascii="Arial" w:hAnsi="Arial" w:cs="Arial"/>
          <w:sz w:val="30"/>
          <w:szCs w:val="30"/>
          <w:lang w:val="en-US"/>
        </w:rPr>
      </w:pPr>
      <w:r w:rsidRPr="00AC57EA">
        <w:rPr>
          <w:rFonts w:cs="Arial"/>
          <w:sz w:val="16"/>
          <w:szCs w:val="16"/>
          <w:lang w:val="en-US"/>
        </w:rPr>
        <w:t>The Contracting States enjoy considerable freedom in the choice of the means calculated to ensure that their judicial systems are in compliance with the requirements of Article 6. The Court’s task is to consider whether the method adopted to that end has led in a given case to results which are compatible with the Convention, while also taking into account the specific circumstances, the nature and the complexity of the case. In short, it must ascertain whether the proceedings as a whole were fair.</w:t>
      </w:r>
      <w:r w:rsidR="00B5625C" w:rsidRPr="00AC57EA">
        <w:rPr>
          <w:sz w:val="16"/>
          <w:szCs w:val="16"/>
          <w:vertAlign w:val="superscript"/>
          <w:lang w:val="en-US" w:eastAsia="en-US"/>
        </w:rPr>
        <w:footnoteReference w:id="286"/>
      </w:r>
    </w:p>
    <w:p w14:paraId="77BB6873" w14:textId="77777777" w:rsidR="00B5625C" w:rsidRPr="00AC57EA" w:rsidRDefault="00B5625C" w:rsidP="00B5625C">
      <w:pPr>
        <w:widowControl/>
        <w:adjustRightInd/>
        <w:spacing w:line="240" w:lineRule="auto"/>
        <w:textAlignment w:val="auto"/>
        <w:rPr>
          <w:sz w:val="20"/>
          <w:szCs w:val="20"/>
          <w:lang w:val="en-US" w:eastAsia="en-US"/>
        </w:rPr>
      </w:pPr>
    </w:p>
    <w:p w14:paraId="67BA077B" w14:textId="3B5CBF5B" w:rsidR="00B5625C" w:rsidRPr="00AC57EA" w:rsidRDefault="004C37D3" w:rsidP="00D865D2">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Meanwhile, the Human Rights Committee has indicated that:</w:t>
      </w:r>
    </w:p>
    <w:p w14:paraId="7025C73E" w14:textId="77777777" w:rsidR="004C37D3" w:rsidRPr="00AC57EA" w:rsidRDefault="004C37D3" w:rsidP="004C37D3">
      <w:pPr>
        <w:widowControl/>
        <w:tabs>
          <w:tab w:val="left" w:pos="567"/>
        </w:tabs>
        <w:adjustRightInd/>
        <w:spacing w:line="240" w:lineRule="auto"/>
        <w:textAlignment w:val="auto"/>
        <w:rPr>
          <w:sz w:val="20"/>
          <w:szCs w:val="20"/>
          <w:lang w:val="en-US" w:eastAsia="en-US"/>
        </w:rPr>
      </w:pPr>
    </w:p>
    <w:p w14:paraId="53D9359B" w14:textId="5691198C" w:rsidR="009F5090" w:rsidRPr="00AC57EA" w:rsidRDefault="00B5625C" w:rsidP="009F5090">
      <w:pPr>
        <w:widowControl/>
        <w:adjustRightInd/>
        <w:spacing w:line="240" w:lineRule="auto"/>
        <w:ind w:left="567" w:right="582"/>
        <w:textAlignment w:val="auto"/>
        <w:rPr>
          <w:sz w:val="16"/>
          <w:szCs w:val="16"/>
          <w:lang w:val="en-US" w:eastAsia="en-US"/>
        </w:rPr>
      </w:pPr>
      <w:r w:rsidRPr="00AC57EA">
        <w:rPr>
          <w:sz w:val="16"/>
          <w:szCs w:val="16"/>
          <w:lang w:val="en-US" w:eastAsia="en-US"/>
        </w:rPr>
        <w:t xml:space="preserve">[…] </w:t>
      </w:r>
      <w:r w:rsidR="009F5090" w:rsidRPr="00AC57EA">
        <w:rPr>
          <w:sz w:val="16"/>
          <w:szCs w:val="16"/>
          <w:lang w:val="en-US"/>
        </w:rPr>
        <w:t>the Covenant does not confer the right to trial by jury in either civil or criminal proceedings, rather the touchstone is that all judicial proceedings, with or without a jury, comport with the guarantees of fair trial</w:t>
      </w:r>
      <w:r w:rsidR="009F5090" w:rsidRPr="00AC57EA">
        <w:rPr>
          <w:sz w:val="16"/>
          <w:szCs w:val="16"/>
          <w:lang w:val="en-US" w:eastAsia="en-US"/>
        </w:rPr>
        <w:t>.</w:t>
      </w:r>
      <w:r w:rsidRPr="00AC57EA">
        <w:rPr>
          <w:sz w:val="16"/>
          <w:szCs w:val="16"/>
          <w:vertAlign w:val="superscript"/>
          <w:lang w:val="en-US" w:eastAsia="en-US"/>
        </w:rPr>
        <w:footnoteReference w:id="287"/>
      </w:r>
    </w:p>
    <w:p w14:paraId="1E0EEED5" w14:textId="77777777" w:rsidR="00B5625C" w:rsidRPr="00AC57EA" w:rsidRDefault="00B5625C" w:rsidP="00B5625C">
      <w:pPr>
        <w:widowControl/>
        <w:adjustRightInd/>
        <w:spacing w:line="240" w:lineRule="auto"/>
        <w:textAlignment w:val="auto"/>
        <w:rPr>
          <w:sz w:val="20"/>
          <w:szCs w:val="20"/>
          <w:lang w:val="en-US" w:eastAsia="en-US"/>
        </w:rPr>
      </w:pPr>
    </w:p>
    <w:p w14:paraId="0F6B4017" w14:textId="5EB24567" w:rsidR="009F5090" w:rsidRPr="00AC57EA" w:rsidRDefault="00B7258C" w:rsidP="00841EAC">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 Court</w:t>
      </w:r>
      <w:r w:rsidR="00B5625C" w:rsidRPr="00AC57EA">
        <w:rPr>
          <w:sz w:val="20"/>
          <w:szCs w:val="20"/>
          <w:lang w:val="en-US" w:eastAsia="en-US"/>
        </w:rPr>
        <w:t xml:space="preserve"> </w:t>
      </w:r>
      <w:r w:rsidR="009F5090" w:rsidRPr="00AC57EA">
        <w:rPr>
          <w:sz w:val="20"/>
          <w:szCs w:val="20"/>
          <w:lang w:val="en-US" w:eastAsia="en-US"/>
        </w:rPr>
        <w:t>notes that various States Parties to the Convention have adopted the institution of the jury as a form of court in their criminal procedural systems</w:t>
      </w:r>
      <w:r w:rsidR="00337260" w:rsidRPr="00AC57EA">
        <w:rPr>
          <w:sz w:val="20"/>
          <w:szCs w:val="20"/>
          <w:lang w:val="en-US" w:eastAsia="en-US"/>
        </w:rPr>
        <w:t>;</w:t>
      </w:r>
      <w:r w:rsidR="009F5090" w:rsidRPr="00AC57EA">
        <w:rPr>
          <w:sz w:val="20"/>
          <w:szCs w:val="20"/>
          <w:lang w:val="en-US" w:eastAsia="en-US"/>
        </w:rPr>
        <w:t xml:space="preserve"> a model that, today, continues to extend throughout the region. The origins and reasons for this can be traced</w:t>
      </w:r>
      <w:r w:rsidR="00337260" w:rsidRPr="00AC57EA">
        <w:rPr>
          <w:sz w:val="20"/>
          <w:szCs w:val="20"/>
          <w:lang w:val="en-US" w:eastAsia="en-US"/>
        </w:rPr>
        <w:t xml:space="preserve"> back</w:t>
      </w:r>
      <w:r w:rsidR="009F5090" w:rsidRPr="00AC57EA">
        <w:rPr>
          <w:sz w:val="20"/>
          <w:szCs w:val="20"/>
          <w:lang w:val="en-US" w:eastAsia="en-US"/>
        </w:rPr>
        <w:t xml:space="preserve"> </w:t>
      </w:r>
      <w:r w:rsidR="00337260" w:rsidRPr="00AC57EA">
        <w:rPr>
          <w:sz w:val="20"/>
          <w:szCs w:val="20"/>
          <w:lang w:val="en-US" w:eastAsia="en-US"/>
        </w:rPr>
        <w:t>to</w:t>
      </w:r>
      <w:r w:rsidR="009F5090" w:rsidRPr="00AC57EA">
        <w:rPr>
          <w:sz w:val="20"/>
          <w:szCs w:val="20"/>
          <w:lang w:val="en-US" w:eastAsia="en-US"/>
        </w:rPr>
        <w:t xml:space="preserve"> the historical, social and cultural development of the legal systems </w:t>
      </w:r>
      <w:r w:rsidR="00337260" w:rsidRPr="00AC57EA">
        <w:rPr>
          <w:sz w:val="20"/>
          <w:szCs w:val="20"/>
          <w:lang w:val="en-US" w:eastAsia="en-US"/>
        </w:rPr>
        <w:t>of</w:t>
      </w:r>
      <w:r w:rsidR="009F5090" w:rsidRPr="00AC57EA">
        <w:rPr>
          <w:sz w:val="20"/>
          <w:szCs w:val="20"/>
          <w:lang w:val="en-US" w:eastAsia="en-US"/>
        </w:rPr>
        <w:t xml:space="preserve"> the countries of the region, as well as </w:t>
      </w:r>
      <w:r w:rsidR="00337260" w:rsidRPr="00AC57EA">
        <w:rPr>
          <w:sz w:val="20"/>
          <w:szCs w:val="20"/>
          <w:lang w:val="en-US" w:eastAsia="en-US"/>
        </w:rPr>
        <w:t>to</w:t>
      </w:r>
      <w:r w:rsidR="009F5090" w:rsidRPr="00AC57EA">
        <w:rPr>
          <w:sz w:val="20"/>
          <w:szCs w:val="20"/>
          <w:lang w:val="en-US" w:eastAsia="en-US"/>
        </w:rPr>
        <w:t xml:space="preserve"> the value assigned to lay participation in the administration of justice as a judicial policy option. Trial by jury has also been conceived as a way of inspiring society with confidence in the judicial system, as a way </w:t>
      </w:r>
      <w:r w:rsidR="00337260" w:rsidRPr="00AC57EA">
        <w:rPr>
          <w:sz w:val="20"/>
          <w:szCs w:val="20"/>
          <w:lang w:val="en-US" w:eastAsia="en-US"/>
        </w:rPr>
        <w:t>to</w:t>
      </w:r>
      <w:r w:rsidR="009F5090" w:rsidRPr="00AC57EA">
        <w:rPr>
          <w:sz w:val="20"/>
          <w:szCs w:val="20"/>
          <w:lang w:val="en-US" w:eastAsia="en-US"/>
        </w:rPr>
        <w:t xml:space="preserve"> democratiz</w:t>
      </w:r>
      <w:r w:rsidR="00337260" w:rsidRPr="00AC57EA">
        <w:rPr>
          <w:sz w:val="20"/>
          <w:szCs w:val="20"/>
          <w:lang w:val="en-US" w:eastAsia="en-US"/>
        </w:rPr>
        <w:t>e</w:t>
      </w:r>
      <w:r w:rsidR="009F5090" w:rsidRPr="00AC57EA">
        <w:rPr>
          <w:sz w:val="20"/>
          <w:szCs w:val="20"/>
          <w:lang w:val="en-US" w:eastAsia="en-US"/>
        </w:rPr>
        <w:t xml:space="preserve"> and bring the imparting of justice closer to the </w:t>
      </w:r>
      <w:r w:rsidR="00337260" w:rsidRPr="00AC57EA">
        <w:rPr>
          <w:sz w:val="20"/>
          <w:szCs w:val="20"/>
          <w:lang w:val="en-US" w:eastAsia="en-US"/>
        </w:rPr>
        <w:t>people</w:t>
      </w:r>
      <w:r w:rsidR="009F5090" w:rsidRPr="00AC57EA">
        <w:rPr>
          <w:sz w:val="20"/>
          <w:szCs w:val="20"/>
          <w:lang w:val="en-US" w:eastAsia="en-US"/>
        </w:rPr>
        <w:t>, according it a fundamental role in offenses that relate to public order</w:t>
      </w:r>
    </w:p>
    <w:p w14:paraId="4EEEFD12" w14:textId="77777777" w:rsidR="00B5625C" w:rsidRPr="00AC57EA" w:rsidRDefault="00B5625C" w:rsidP="00B5625C">
      <w:pPr>
        <w:widowControl/>
        <w:adjustRightInd/>
        <w:spacing w:line="240" w:lineRule="auto"/>
        <w:textAlignment w:val="auto"/>
        <w:rPr>
          <w:sz w:val="20"/>
          <w:szCs w:val="20"/>
          <w:lang w:val="en-US" w:eastAsia="en-US"/>
        </w:rPr>
      </w:pPr>
    </w:p>
    <w:p w14:paraId="1B380BDF" w14:textId="55BA0944" w:rsidR="00D865D2" w:rsidRPr="00AC57EA" w:rsidRDefault="009F5090" w:rsidP="00841EAC">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Of the</w:t>
      </w:r>
      <w:r w:rsidR="00B5625C" w:rsidRPr="00AC57EA">
        <w:rPr>
          <w:sz w:val="20"/>
          <w:szCs w:val="20"/>
          <w:lang w:val="en-US" w:eastAsia="en-US"/>
        </w:rPr>
        <w:t xml:space="preserve"> 35 </w:t>
      </w:r>
      <w:r w:rsidRPr="00AC57EA">
        <w:rPr>
          <w:sz w:val="20"/>
          <w:szCs w:val="20"/>
          <w:lang w:val="en-US" w:eastAsia="en-US"/>
        </w:rPr>
        <w:t>member countries of the Organization of American States</w:t>
      </w:r>
      <w:r w:rsidR="007526D4" w:rsidRPr="00AC57EA">
        <w:rPr>
          <w:sz w:val="20"/>
          <w:szCs w:val="20"/>
          <w:lang w:val="en-US" w:eastAsia="en-US"/>
        </w:rPr>
        <w:t xml:space="preserve"> (</w:t>
      </w:r>
      <w:r w:rsidR="00B7258C" w:rsidRPr="00AC57EA">
        <w:rPr>
          <w:sz w:val="20"/>
          <w:szCs w:val="20"/>
          <w:lang w:val="en-US" w:eastAsia="en-US"/>
        </w:rPr>
        <w:t>hereinafter</w:t>
      </w:r>
      <w:r w:rsidR="007526D4" w:rsidRPr="00AC57EA">
        <w:rPr>
          <w:sz w:val="20"/>
          <w:szCs w:val="20"/>
          <w:lang w:val="en-US" w:eastAsia="en-US"/>
        </w:rPr>
        <w:t xml:space="preserve"> “</w:t>
      </w:r>
      <w:r w:rsidR="00D865D2" w:rsidRPr="00AC57EA">
        <w:rPr>
          <w:sz w:val="20"/>
          <w:szCs w:val="20"/>
          <w:lang w:val="en-US" w:eastAsia="en-US"/>
        </w:rPr>
        <w:t>the OAS</w:t>
      </w:r>
      <w:r w:rsidR="007526D4" w:rsidRPr="00AC57EA">
        <w:rPr>
          <w:sz w:val="20"/>
          <w:szCs w:val="20"/>
          <w:lang w:val="en-US" w:eastAsia="en-US"/>
        </w:rPr>
        <w:t>”)</w:t>
      </w:r>
      <w:r w:rsidR="00B5625C" w:rsidRPr="00AC57EA">
        <w:rPr>
          <w:sz w:val="20"/>
          <w:szCs w:val="20"/>
          <w:lang w:val="en-US" w:eastAsia="en-US"/>
        </w:rPr>
        <w:t xml:space="preserve">, 21 </w:t>
      </w:r>
      <w:r w:rsidR="00D865D2" w:rsidRPr="00AC57EA">
        <w:rPr>
          <w:sz w:val="20"/>
          <w:szCs w:val="20"/>
          <w:lang w:val="en-US" w:eastAsia="en-US"/>
        </w:rPr>
        <w:t>State</w:t>
      </w:r>
      <w:r w:rsidR="00B5625C" w:rsidRPr="00AC57EA">
        <w:rPr>
          <w:sz w:val="20"/>
          <w:szCs w:val="20"/>
          <w:lang w:val="en-US" w:eastAsia="en-US"/>
        </w:rPr>
        <w:t>s</w:t>
      </w:r>
      <w:r w:rsidR="00B5625C" w:rsidRPr="00AC57EA">
        <w:rPr>
          <w:sz w:val="20"/>
          <w:szCs w:val="20"/>
          <w:vertAlign w:val="superscript"/>
          <w:lang w:val="en-US" w:eastAsia="en-US"/>
        </w:rPr>
        <w:footnoteReference w:id="288"/>
      </w:r>
      <w:r w:rsidR="00B5625C" w:rsidRPr="00AC57EA">
        <w:rPr>
          <w:sz w:val="20"/>
          <w:szCs w:val="20"/>
          <w:lang w:val="en-US" w:eastAsia="en-US"/>
        </w:rPr>
        <w:t xml:space="preserve"> </w:t>
      </w:r>
      <w:r w:rsidR="00D865D2" w:rsidRPr="00AC57EA">
        <w:rPr>
          <w:sz w:val="20"/>
          <w:szCs w:val="20"/>
          <w:lang w:val="en-US" w:eastAsia="en-US"/>
        </w:rPr>
        <w:t>have established trial by jury, and the classic model</w:t>
      </w:r>
      <w:r w:rsidR="00B5625C" w:rsidRPr="00AC57EA">
        <w:rPr>
          <w:sz w:val="20"/>
          <w:szCs w:val="20"/>
          <w:vertAlign w:val="superscript"/>
          <w:lang w:val="en-US" w:eastAsia="en-US"/>
        </w:rPr>
        <w:footnoteReference w:id="289"/>
      </w:r>
      <w:r w:rsidR="00B5625C" w:rsidRPr="00AC57EA">
        <w:rPr>
          <w:sz w:val="20"/>
          <w:szCs w:val="20"/>
          <w:lang w:val="en-US" w:eastAsia="en-US"/>
        </w:rPr>
        <w:t xml:space="preserve"> </w:t>
      </w:r>
      <w:r w:rsidR="00D865D2" w:rsidRPr="00AC57EA">
        <w:rPr>
          <w:sz w:val="20"/>
          <w:szCs w:val="20"/>
          <w:lang w:val="en-US" w:eastAsia="en-US"/>
        </w:rPr>
        <w:t xml:space="preserve">is the one that is most used in </w:t>
      </w:r>
      <w:r w:rsidR="00D865D2" w:rsidRPr="00AC57EA">
        <w:rPr>
          <w:sz w:val="20"/>
          <w:szCs w:val="20"/>
          <w:lang w:val="en-US" w:eastAsia="en-US"/>
        </w:rPr>
        <w:lastRenderedPageBreak/>
        <w:t xml:space="preserve">the region. The Nicaraguan Constitution establishes the need to ensure the peoples’ participation in the judicial system, delegating to the legislator the way in which this mandate is put in practice. Following the adoption of the </w:t>
      </w:r>
      <w:r w:rsidR="00337260" w:rsidRPr="00AC57EA">
        <w:rPr>
          <w:sz w:val="20"/>
          <w:szCs w:val="20"/>
          <w:lang w:val="en-US" w:eastAsia="en-US"/>
        </w:rPr>
        <w:t xml:space="preserve">1879 </w:t>
      </w:r>
      <w:r w:rsidR="00D865D2" w:rsidRPr="00AC57EA">
        <w:rPr>
          <w:sz w:val="20"/>
          <w:szCs w:val="20"/>
          <w:lang w:val="en-US" w:eastAsia="en-US"/>
        </w:rPr>
        <w:t>Code of Criminal Procedure</w:t>
      </w:r>
      <w:r w:rsidR="00337260" w:rsidRPr="00AC57EA">
        <w:rPr>
          <w:sz w:val="20"/>
          <w:szCs w:val="20"/>
          <w:lang w:val="en-US" w:eastAsia="en-US"/>
        </w:rPr>
        <w:t>,</w:t>
      </w:r>
      <w:r w:rsidR="00D865D2" w:rsidRPr="00AC57EA">
        <w:rPr>
          <w:sz w:val="20"/>
          <w:szCs w:val="20"/>
          <w:lang w:val="en-US" w:eastAsia="en-US"/>
        </w:rPr>
        <w:t xml:space="preserve"> the peoples’ participation has been channeled by the system of trial by jury in criminal proceedings.</w:t>
      </w:r>
    </w:p>
    <w:p w14:paraId="6BC8DDFA" w14:textId="77777777" w:rsidR="00B5625C" w:rsidRPr="00AC57EA" w:rsidRDefault="00B5625C" w:rsidP="00B5625C">
      <w:pPr>
        <w:widowControl/>
        <w:adjustRightInd/>
        <w:spacing w:line="240" w:lineRule="auto"/>
        <w:textAlignment w:val="auto"/>
        <w:rPr>
          <w:sz w:val="20"/>
          <w:szCs w:val="20"/>
          <w:lang w:val="en-US" w:eastAsia="en-US"/>
        </w:rPr>
      </w:pPr>
    </w:p>
    <w:p w14:paraId="13F8B4C9" w14:textId="32EF4C8A" w:rsidR="00B5625C" w:rsidRPr="00AC57EA" w:rsidRDefault="00D865D2" w:rsidP="00D865D2">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 criminal trial mode</w:t>
      </w:r>
      <w:r w:rsidR="00B5625C" w:rsidRPr="00AC57EA">
        <w:rPr>
          <w:sz w:val="20"/>
          <w:szCs w:val="20"/>
          <w:lang w:val="en-US" w:eastAsia="en-US"/>
        </w:rPr>
        <w:t>l</w:t>
      </w:r>
      <w:r w:rsidRPr="00AC57EA">
        <w:rPr>
          <w:sz w:val="20"/>
          <w:szCs w:val="20"/>
          <w:lang w:val="en-US" w:eastAsia="en-US"/>
        </w:rPr>
        <w:t xml:space="preserve"> adopted by a State is not innocuous, because it will have a direct impact on the organic design and the architecture of the system of judicial guarantees. For example, the system for the a</w:t>
      </w:r>
      <w:r w:rsidR="00A55E54" w:rsidRPr="00AC57EA">
        <w:rPr>
          <w:sz w:val="20"/>
          <w:szCs w:val="20"/>
          <w:lang w:val="en-US" w:eastAsia="en-US"/>
        </w:rPr>
        <w:t>ssessment of the evidence</w:t>
      </w:r>
      <w:r w:rsidR="00B5625C" w:rsidRPr="00AC57EA">
        <w:rPr>
          <w:sz w:val="20"/>
          <w:szCs w:val="20"/>
          <w:lang w:val="en-US" w:eastAsia="en-US"/>
        </w:rPr>
        <w:t xml:space="preserve"> </w:t>
      </w:r>
      <w:r w:rsidRPr="00AC57EA">
        <w:rPr>
          <w:sz w:val="20"/>
          <w:szCs w:val="20"/>
          <w:lang w:val="en-US" w:eastAsia="en-US"/>
        </w:rPr>
        <w:t>will evidently shape the framework</w:t>
      </w:r>
      <w:r w:rsidR="00B5625C" w:rsidRPr="00AC57EA">
        <w:rPr>
          <w:sz w:val="20"/>
          <w:szCs w:val="20"/>
          <w:lang w:val="en-US" w:eastAsia="en-US"/>
        </w:rPr>
        <w:t xml:space="preserve"> </w:t>
      </w:r>
      <w:r w:rsidRPr="00AC57EA">
        <w:rPr>
          <w:sz w:val="20"/>
          <w:szCs w:val="20"/>
          <w:lang w:val="en-US" w:eastAsia="en-US"/>
        </w:rPr>
        <w:t xml:space="preserve">of evidentiary substantiation and, ultimately, the requirement of reasoning, or the way in which the reasoning of the decision is expressed. However, as already mentioned, </w:t>
      </w:r>
      <w:r w:rsidR="00B7258C" w:rsidRPr="00AC57EA">
        <w:rPr>
          <w:sz w:val="20"/>
          <w:szCs w:val="20"/>
          <w:lang w:val="en-US" w:eastAsia="en-US"/>
        </w:rPr>
        <w:t>the American Convention</w:t>
      </w:r>
      <w:r w:rsidR="00B7508C" w:rsidRPr="00AC57EA">
        <w:rPr>
          <w:sz w:val="20"/>
          <w:szCs w:val="20"/>
          <w:lang w:val="en-US" w:eastAsia="en-US"/>
        </w:rPr>
        <w:t xml:space="preserve"> </w:t>
      </w:r>
      <w:r w:rsidRPr="00AC57EA">
        <w:rPr>
          <w:sz w:val="20"/>
          <w:szCs w:val="20"/>
          <w:lang w:val="en-US" w:eastAsia="en-US"/>
        </w:rPr>
        <w:t xml:space="preserve">does not establish a </w:t>
      </w:r>
      <w:r w:rsidR="00796B33" w:rsidRPr="00AC57EA">
        <w:rPr>
          <w:sz w:val="20"/>
          <w:szCs w:val="20"/>
          <w:lang w:val="en-US" w:eastAsia="en-US"/>
        </w:rPr>
        <w:t xml:space="preserve">specific model for criminal trials </w:t>
      </w:r>
      <w:r w:rsidR="00B7508C" w:rsidRPr="00AC57EA">
        <w:rPr>
          <w:sz w:val="20"/>
          <w:szCs w:val="20"/>
          <w:lang w:val="en-US" w:eastAsia="en-US"/>
        </w:rPr>
        <w:t>(</w:t>
      </w:r>
      <w:r w:rsidR="00B7508C" w:rsidRPr="00AC57EA">
        <w:rPr>
          <w:i/>
          <w:sz w:val="20"/>
          <w:szCs w:val="20"/>
          <w:lang w:val="en-US" w:eastAsia="en-US"/>
        </w:rPr>
        <w:t>supra</w:t>
      </w:r>
      <w:r w:rsidR="00B7508C" w:rsidRPr="00AC57EA">
        <w:rPr>
          <w:sz w:val="20"/>
          <w:szCs w:val="20"/>
          <w:lang w:val="en-US" w:eastAsia="en-US"/>
        </w:rPr>
        <w:t xml:space="preserve"> </w:t>
      </w:r>
      <w:r w:rsidR="00171E27" w:rsidRPr="00AC57EA">
        <w:rPr>
          <w:sz w:val="20"/>
          <w:szCs w:val="20"/>
          <w:lang w:val="en-US" w:eastAsia="en-US"/>
        </w:rPr>
        <w:t>para.</w:t>
      </w:r>
      <w:r w:rsidR="00B7508C" w:rsidRPr="00AC57EA">
        <w:rPr>
          <w:sz w:val="20"/>
          <w:szCs w:val="20"/>
          <w:lang w:val="en-US" w:eastAsia="en-US"/>
        </w:rPr>
        <w:t xml:space="preserve"> </w:t>
      </w:r>
      <w:r w:rsidR="003D231B" w:rsidRPr="00AC57EA">
        <w:rPr>
          <w:sz w:val="20"/>
          <w:szCs w:val="20"/>
          <w:lang w:val="en-US" w:eastAsia="en-US"/>
        </w:rPr>
        <w:t>219</w:t>
      </w:r>
      <w:r w:rsidR="00B7508C" w:rsidRPr="00AC57EA">
        <w:rPr>
          <w:sz w:val="20"/>
          <w:szCs w:val="20"/>
          <w:lang w:val="en-US" w:eastAsia="en-US"/>
        </w:rPr>
        <w:t>).</w:t>
      </w:r>
    </w:p>
    <w:p w14:paraId="473C4B53" w14:textId="77777777" w:rsidR="00B5625C" w:rsidRPr="00AC57EA" w:rsidRDefault="00B5625C" w:rsidP="00B5625C">
      <w:pPr>
        <w:widowControl/>
        <w:tabs>
          <w:tab w:val="left" w:pos="284"/>
        </w:tabs>
        <w:adjustRightInd/>
        <w:spacing w:line="240" w:lineRule="auto"/>
        <w:textAlignment w:val="auto"/>
        <w:rPr>
          <w:rFonts w:eastAsia="Calibri"/>
          <w:kern w:val="1"/>
          <w:sz w:val="20"/>
          <w:lang w:val="en-US" w:eastAsia="en-US"/>
        </w:rPr>
      </w:pPr>
    </w:p>
    <w:p w14:paraId="6F2293DA" w14:textId="26F67F8C" w:rsidR="00B5625C" w:rsidRPr="00AC57EA" w:rsidRDefault="00534D22" w:rsidP="00534D22">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 preceding</w:t>
      </w:r>
      <w:r w:rsidR="00B5625C" w:rsidRPr="00AC57EA">
        <w:rPr>
          <w:sz w:val="20"/>
          <w:szCs w:val="20"/>
          <w:lang w:val="en-US" w:eastAsia="en-US"/>
        </w:rPr>
        <w:t xml:space="preserve"> </w:t>
      </w:r>
      <w:r w:rsidRPr="00AC57EA">
        <w:rPr>
          <w:sz w:val="20"/>
          <w:szCs w:val="20"/>
          <w:lang w:val="en-US" w:eastAsia="en-US"/>
        </w:rPr>
        <w:t xml:space="preserve">assertion does not mean that trial by jury systems are subject to the discretion of state policy or that domestic law has preeminence over the requirements of the Convention, but rather that the design of </w:t>
      </w:r>
      <w:r w:rsidR="00337260" w:rsidRPr="00AC57EA">
        <w:rPr>
          <w:sz w:val="20"/>
          <w:szCs w:val="20"/>
          <w:lang w:val="en-US" w:eastAsia="en-US"/>
        </w:rPr>
        <w:t xml:space="preserve">the </w:t>
      </w:r>
      <w:r w:rsidRPr="00AC57EA">
        <w:rPr>
          <w:sz w:val="20"/>
          <w:szCs w:val="20"/>
          <w:lang w:val="en-US" w:eastAsia="en-US"/>
        </w:rPr>
        <w:t>procedural system should respond to the guarantee</w:t>
      </w:r>
      <w:r w:rsidR="00337260" w:rsidRPr="00AC57EA">
        <w:rPr>
          <w:sz w:val="20"/>
          <w:szCs w:val="20"/>
          <w:lang w:val="en-US" w:eastAsia="en-US"/>
        </w:rPr>
        <w:t>s</w:t>
      </w:r>
      <w:r w:rsidRPr="00AC57EA">
        <w:rPr>
          <w:sz w:val="20"/>
          <w:szCs w:val="20"/>
          <w:lang w:val="en-US" w:eastAsia="en-US"/>
        </w:rPr>
        <w:t xml:space="preserve"> required by the American Convention. It is in this regard that the Court must exercise control of conventionality to examine whether the proceedings, as designed and implemented by the State</w:t>
      </w:r>
      <w:r w:rsidR="00337260" w:rsidRPr="00AC57EA">
        <w:rPr>
          <w:sz w:val="20"/>
          <w:szCs w:val="20"/>
          <w:lang w:val="en-US" w:eastAsia="en-US"/>
        </w:rPr>
        <w:t>,</w:t>
      </w:r>
      <w:r w:rsidRPr="00AC57EA">
        <w:rPr>
          <w:sz w:val="20"/>
          <w:szCs w:val="20"/>
          <w:lang w:val="en-US" w:eastAsia="en-US"/>
        </w:rPr>
        <w:t xml:space="preserve"> are adapted to the standards established in </w:t>
      </w:r>
      <w:r w:rsidR="00B7258C" w:rsidRPr="00AC57EA">
        <w:rPr>
          <w:sz w:val="20"/>
          <w:szCs w:val="20"/>
          <w:lang w:val="en-US" w:eastAsia="en-US"/>
        </w:rPr>
        <w:t>Article</w:t>
      </w:r>
      <w:r w:rsidR="00B5625C" w:rsidRPr="00AC57EA">
        <w:rPr>
          <w:sz w:val="20"/>
          <w:szCs w:val="20"/>
          <w:lang w:val="en-US" w:eastAsia="en-US"/>
        </w:rPr>
        <w:t xml:space="preserve"> 8.</w:t>
      </w:r>
    </w:p>
    <w:p w14:paraId="1C8F1732" w14:textId="77777777" w:rsidR="00B5625C" w:rsidRPr="00AC57EA" w:rsidRDefault="00B5625C" w:rsidP="00B5625C">
      <w:pPr>
        <w:widowControl/>
        <w:adjustRightInd/>
        <w:spacing w:line="240" w:lineRule="auto"/>
        <w:textAlignment w:val="auto"/>
        <w:rPr>
          <w:sz w:val="20"/>
          <w:szCs w:val="20"/>
          <w:lang w:val="en-US" w:eastAsia="en-US"/>
        </w:rPr>
      </w:pPr>
    </w:p>
    <w:p w14:paraId="5CEA5E62" w14:textId="057662F7" w:rsidR="00534D22" w:rsidRPr="00AC57EA" w:rsidRDefault="00534D22" w:rsidP="00534D22">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In sum, in each case, the Court must assess “the circumstances of </w:t>
      </w:r>
      <w:r w:rsidR="00C7746C" w:rsidRPr="00AC57EA">
        <w:rPr>
          <w:sz w:val="20"/>
          <w:szCs w:val="20"/>
          <w:lang w:val="en-US" w:eastAsia="en-US"/>
        </w:rPr>
        <w:t>a particular case or</w:t>
      </w:r>
      <w:r w:rsidRPr="00AC57EA">
        <w:rPr>
          <w:sz w:val="20"/>
          <w:szCs w:val="20"/>
          <w:lang w:val="en-US" w:eastAsia="en-US"/>
        </w:rPr>
        <w:t xml:space="preserve"> proceeding</w:t>
      </w:r>
      <w:r w:rsidR="00C7746C" w:rsidRPr="00AC57EA">
        <w:rPr>
          <w:sz w:val="20"/>
          <w:szCs w:val="20"/>
          <w:lang w:val="en-US" w:eastAsia="en-US"/>
        </w:rPr>
        <w:t xml:space="preserve"> – its</w:t>
      </w:r>
      <w:r w:rsidRPr="00AC57EA">
        <w:rPr>
          <w:sz w:val="20"/>
          <w:szCs w:val="20"/>
          <w:lang w:val="en-US" w:eastAsia="en-US"/>
        </w:rPr>
        <w:t xml:space="preserve"> significance, </w:t>
      </w:r>
      <w:r w:rsidR="00C7746C" w:rsidRPr="00AC57EA">
        <w:rPr>
          <w:sz w:val="20"/>
          <w:szCs w:val="20"/>
          <w:lang w:val="en-US" w:eastAsia="en-US"/>
        </w:rPr>
        <w:t>its legal character</w:t>
      </w:r>
      <w:r w:rsidRPr="00AC57EA">
        <w:rPr>
          <w:sz w:val="20"/>
          <w:szCs w:val="20"/>
          <w:lang w:val="en-US" w:eastAsia="en-US"/>
        </w:rPr>
        <w:t xml:space="preserve"> and </w:t>
      </w:r>
      <w:r w:rsidR="00C7746C" w:rsidRPr="00AC57EA">
        <w:rPr>
          <w:sz w:val="20"/>
          <w:szCs w:val="20"/>
          <w:lang w:val="en-US" w:eastAsia="en-US"/>
        </w:rPr>
        <w:t>its context</w:t>
      </w:r>
      <w:r w:rsidRPr="00AC57EA">
        <w:rPr>
          <w:sz w:val="20"/>
          <w:szCs w:val="20"/>
          <w:lang w:val="en-US" w:eastAsia="en-US"/>
        </w:rPr>
        <w:t xml:space="preserve"> in a particular legal system,</w:t>
      </w:r>
      <w:r w:rsidR="00B5625C" w:rsidRPr="00AC57EA">
        <w:rPr>
          <w:sz w:val="20"/>
          <w:szCs w:val="20"/>
          <w:lang w:val="en-US" w:eastAsia="en-US"/>
        </w:rPr>
        <w:t>”</w:t>
      </w:r>
      <w:r w:rsidR="00B5625C" w:rsidRPr="00AC57EA">
        <w:rPr>
          <w:sz w:val="20"/>
          <w:szCs w:val="20"/>
          <w:vertAlign w:val="superscript"/>
          <w:lang w:val="en-US" w:eastAsia="en-US"/>
        </w:rPr>
        <w:footnoteReference w:id="290"/>
      </w:r>
      <w:r w:rsidRPr="00AC57EA">
        <w:rPr>
          <w:sz w:val="20"/>
          <w:szCs w:val="20"/>
          <w:lang w:val="en-US" w:eastAsia="en-US"/>
        </w:rPr>
        <w:t xml:space="preserve"> </w:t>
      </w:r>
      <w:r w:rsidR="008A3052" w:rsidRPr="00AC57EA">
        <w:rPr>
          <w:sz w:val="20"/>
          <w:szCs w:val="20"/>
          <w:lang w:val="en-US" w:eastAsia="en-US"/>
        </w:rPr>
        <w:t xml:space="preserve">in order </w:t>
      </w:r>
      <w:r w:rsidRPr="00AC57EA">
        <w:rPr>
          <w:sz w:val="20"/>
          <w:szCs w:val="20"/>
          <w:lang w:val="en-US" w:eastAsia="en-US"/>
        </w:rPr>
        <w:t xml:space="preserve">to determine the </w:t>
      </w:r>
      <w:r w:rsidR="00D43778" w:rsidRPr="00AC57EA">
        <w:rPr>
          <w:sz w:val="20"/>
          <w:szCs w:val="20"/>
          <w:lang w:val="en-US" w:eastAsia="en-US"/>
        </w:rPr>
        <w:t xml:space="preserve">impact </w:t>
      </w:r>
      <w:r w:rsidRPr="00AC57EA">
        <w:rPr>
          <w:sz w:val="20"/>
          <w:szCs w:val="20"/>
          <w:lang w:val="en-US" w:eastAsia="en-US"/>
        </w:rPr>
        <w:t xml:space="preserve">and scope of the </w:t>
      </w:r>
      <w:r w:rsidR="00D43778" w:rsidRPr="00AC57EA">
        <w:rPr>
          <w:sz w:val="20"/>
          <w:szCs w:val="20"/>
          <w:lang w:val="en-US" w:eastAsia="en-US"/>
        </w:rPr>
        <w:t>required</w:t>
      </w:r>
      <w:r w:rsidRPr="00AC57EA">
        <w:rPr>
          <w:sz w:val="20"/>
          <w:szCs w:val="20"/>
          <w:lang w:val="en-US" w:eastAsia="en-US"/>
        </w:rPr>
        <w:t xml:space="preserve"> guarantees</w:t>
      </w:r>
      <w:r w:rsidR="00D43778" w:rsidRPr="00AC57EA">
        <w:rPr>
          <w:sz w:val="20"/>
          <w:szCs w:val="20"/>
          <w:lang w:val="en-US" w:eastAsia="en-US"/>
        </w:rPr>
        <w:t xml:space="preserve"> and their conformity with the American Convention. </w:t>
      </w:r>
      <w:r w:rsidR="008A3052" w:rsidRPr="00AC57EA">
        <w:rPr>
          <w:sz w:val="20"/>
          <w:szCs w:val="20"/>
          <w:lang w:val="en-US" w:eastAsia="en-US"/>
        </w:rPr>
        <w:t>Within this framework</w:t>
      </w:r>
      <w:r w:rsidR="00D43778" w:rsidRPr="00AC57EA">
        <w:rPr>
          <w:sz w:val="20"/>
          <w:szCs w:val="20"/>
          <w:lang w:val="en-US" w:eastAsia="en-US"/>
        </w:rPr>
        <w:t xml:space="preserve">, the Court will </w:t>
      </w:r>
      <w:r w:rsidR="00C7746C" w:rsidRPr="00AC57EA">
        <w:rPr>
          <w:sz w:val="20"/>
          <w:szCs w:val="20"/>
          <w:lang w:val="en-US" w:eastAsia="en-US"/>
        </w:rPr>
        <w:t>describ</w:t>
      </w:r>
      <w:r w:rsidR="00D43778" w:rsidRPr="00AC57EA">
        <w:rPr>
          <w:sz w:val="20"/>
          <w:szCs w:val="20"/>
          <w:lang w:val="en-US" w:eastAsia="en-US"/>
        </w:rPr>
        <w:t>e</w:t>
      </w:r>
      <w:r w:rsidR="00C7746C" w:rsidRPr="00AC57EA">
        <w:rPr>
          <w:sz w:val="20"/>
          <w:szCs w:val="20"/>
          <w:lang w:val="en-US" w:eastAsia="en-US"/>
        </w:rPr>
        <w:t xml:space="preserve"> the development of</w:t>
      </w:r>
      <w:r w:rsidR="00D43778" w:rsidRPr="00AC57EA">
        <w:rPr>
          <w:sz w:val="20"/>
          <w:szCs w:val="20"/>
          <w:lang w:val="en-US" w:eastAsia="en-US"/>
        </w:rPr>
        <w:t xml:space="preserve"> the </w:t>
      </w:r>
      <w:r w:rsidR="00C7746C" w:rsidRPr="00AC57EA">
        <w:rPr>
          <w:sz w:val="20"/>
          <w:szCs w:val="20"/>
          <w:lang w:val="en-US" w:eastAsia="en-US"/>
        </w:rPr>
        <w:t xml:space="preserve">plenary stage of the </w:t>
      </w:r>
      <w:r w:rsidR="00D43778" w:rsidRPr="00AC57EA">
        <w:rPr>
          <w:sz w:val="20"/>
          <w:szCs w:val="20"/>
          <w:lang w:val="en-US" w:eastAsia="en-US"/>
        </w:rPr>
        <w:t xml:space="preserve">criminal proceedings </w:t>
      </w:r>
      <w:r w:rsidR="00C7746C" w:rsidRPr="00AC57EA">
        <w:rPr>
          <w:sz w:val="20"/>
          <w:szCs w:val="20"/>
          <w:lang w:val="en-US" w:eastAsia="en-US"/>
        </w:rPr>
        <w:t xml:space="preserve">in </w:t>
      </w:r>
      <w:r w:rsidR="00D43778" w:rsidRPr="00AC57EA">
        <w:rPr>
          <w:sz w:val="20"/>
          <w:szCs w:val="20"/>
          <w:lang w:val="en-US" w:eastAsia="en-US"/>
        </w:rPr>
        <w:t>Nicaragua at the time of the facts, and will then examine the alleged lack of impartiality and the jury’s failure to provide the reasoning for its verdict.</w:t>
      </w:r>
    </w:p>
    <w:p w14:paraId="2C76A5D6" w14:textId="77777777" w:rsidR="00B5625C" w:rsidRPr="00AC57EA" w:rsidRDefault="00B5625C" w:rsidP="00B5625C">
      <w:pPr>
        <w:widowControl/>
        <w:adjustRightInd/>
        <w:spacing w:line="240" w:lineRule="auto"/>
        <w:textAlignment w:val="auto"/>
        <w:rPr>
          <w:sz w:val="20"/>
          <w:szCs w:val="20"/>
          <w:lang w:val="en-US" w:eastAsia="en-US"/>
        </w:rPr>
      </w:pPr>
    </w:p>
    <w:p w14:paraId="5EC4BE75" w14:textId="3D9103A4" w:rsidR="00B5625C" w:rsidRPr="00AC57EA" w:rsidRDefault="00A92F94" w:rsidP="00A92F94">
      <w:pPr>
        <w:pStyle w:val="Ttulo3"/>
        <w:rPr>
          <w:b w:val="0"/>
          <w:i/>
          <w:lang w:val="en-US"/>
        </w:rPr>
      </w:pPr>
      <w:bookmarkStart w:id="128" w:name="_Toc514172641"/>
      <w:r w:rsidRPr="00AC57EA">
        <w:rPr>
          <w:b w:val="0"/>
          <w:i/>
          <w:lang w:val="en-US"/>
        </w:rPr>
        <w:t>B.3.a</w:t>
      </w:r>
      <w:r w:rsidR="00B5625C" w:rsidRPr="00AC57EA">
        <w:rPr>
          <w:b w:val="0"/>
          <w:i/>
          <w:lang w:val="en-US"/>
        </w:rPr>
        <w:tab/>
      </w:r>
      <w:r w:rsidR="00C7746C" w:rsidRPr="00AC57EA">
        <w:rPr>
          <w:b w:val="0"/>
          <w:i/>
          <w:lang w:val="en-US"/>
        </w:rPr>
        <w:t>Nicaraguan criminal procedure legislation on juries</w:t>
      </w:r>
      <w:r w:rsidR="00D43778" w:rsidRPr="00AC57EA">
        <w:rPr>
          <w:b w:val="0"/>
          <w:i/>
          <w:lang w:val="en-US"/>
        </w:rPr>
        <w:t xml:space="preserve"> at the time of the facts</w:t>
      </w:r>
      <w:bookmarkEnd w:id="128"/>
    </w:p>
    <w:p w14:paraId="3CCB85CA" w14:textId="77777777" w:rsidR="00B5625C" w:rsidRPr="00AC57EA" w:rsidRDefault="00B5625C" w:rsidP="00B5625C">
      <w:pPr>
        <w:widowControl/>
        <w:adjustRightInd/>
        <w:spacing w:line="240" w:lineRule="auto"/>
        <w:textAlignment w:val="auto"/>
        <w:rPr>
          <w:sz w:val="20"/>
          <w:szCs w:val="20"/>
          <w:lang w:val="en-US" w:eastAsia="en-US"/>
        </w:rPr>
      </w:pPr>
    </w:p>
    <w:p w14:paraId="66D876D0" w14:textId="55A9E901" w:rsidR="00B5625C" w:rsidRPr="00AC57EA" w:rsidRDefault="00D43778" w:rsidP="002A3632">
      <w:pPr>
        <w:widowControl/>
        <w:numPr>
          <w:ilvl w:val="0"/>
          <w:numId w:val="2"/>
        </w:numPr>
        <w:tabs>
          <w:tab w:val="left" w:pos="567"/>
          <w:tab w:val="num" w:pos="12305"/>
        </w:tabs>
        <w:adjustRightInd/>
        <w:spacing w:line="240" w:lineRule="auto"/>
        <w:ind w:left="0" w:firstLine="0"/>
        <w:textAlignment w:val="auto"/>
        <w:rPr>
          <w:rFonts w:cs="Univers-Light"/>
          <w:sz w:val="20"/>
          <w:szCs w:val="16"/>
          <w:lang w:val="en-US"/>
        </w:rPr>
      </w:pPr>
      <w:r w:rsidRPr="00AC57EA">
        <w:rPr>
          <w:rFonts w:cs="Univers-Light"/>
          <w:sz w:val="20"/>
          <w:szCs w:val="16"/>
          <w:lang w:val="en-US"/>
        </w:rPr>
        <w:t xml:space="preserve">The basis for trial by jury in </w:t>
      </w:r>
      <w:r w:rsidR="00B5625C" w:rsidRPr="00AC57EA">
        <w:rPr>
          <w:rFonts w:cs="Univers-Light"/>
          <w:sz w:val="20"/>
          <w:szCs w:val="16"/>
          <w:lang w:val="en-US"/>
        </w:rPr>
        <w:t xml:space="preserve">Nicaragua </w:t>
      </w:r>
      <w:r w:rsidRPr="00AC57EA">
        <w:rPr>
          <w:rFonts w:cs="Univers-Light"/>
          <w:sz w:val="20"/>
          <w:szCs w:val="16"/>
          <w:lang w:val="en-US"/>
        </w:rPr>
        <w:t xml:space="preserve">can be found in its 1987 Constitution. </w:t>
      </w:r>
      <w:r w:rsidR="00B7258C" w:rsidRPr="00AC57EA">
        <w:rPr>
          <w:sz w:val="20"/>
          <w:szCs w:val="20"/>
          <w:lang w:val="en-US" w:eastAsia="en-US"/>
        </w:rPr>
        <w:t>Article</w:t>
      </w:r>
      <w:r w:rsidR="00B5625C" w:rsidRPr="00AC57EA">
        <w:rPr>
          <w:rFonts w:cs="Univers-Light"/>
          <w:sz w:val="20"/>
          <w:szCs w:val="16"/>
          <w:lang w:val="en-US"/>
        </w:rPr>
        <w:t xml:space="preserve"> 166 </w:t>
      </w:r>
      <w:r w:rsidR="002A3632" w:rsidRPr="00AC57EA">
        <w:rPr>
          <w:rFonts w:cs="Univers-Light"/>
          <w:sz w:val="20"/>
          <w:szCs w:val="16"/>
          <w:lang w:val="en-US"/>
        </w:rPr>
        <w:t xml:space="preserve">of this instrument </w:t>
      </w:r>
      <w:r w:rsidR="00B5625C" w:rsidRPr="00AC57EA">
        <w:rPr>
          <w:rFonts w:cs="Univers-Light"/>
          <w:sz w:val="20"/>
          <w:szCs w:val="16"/>
          <w:lang w:val="en-US"/>
        </w:rPr>
        <w:t>estab</w:t>
      </w:r>
      <w:r w:rsidR="002A3632" w:rsidRPr="00AC57EA">
        <w:rPr>
          <w:rFonts w:cs="Univers-Light"/>
          <w:sz w:val="20"/>
          <w:szCs w:val="16"/>
          <w:lang w:val="en-US"/>
        </w:rPr>
        <w:t>lishes that “[t]he administration of justice shall be organized and shall operate with the participation of the people</w:t>
      </w:r>
      <w:r w:rsidR="00FC15C6" w:rsidRPr="00AC57EA">
        <w:rPr>
          <w:rFonts w:cs="Univers-Light"/>
          <w:sz w:val="20"/>
          <w:szCs w:val="16"/>
          <w:lang w:val="en-US"/>
        </w:rPr>
        <w:t xml:space="preserve">, to be determined by law. The members of the courts of justice, whether or not they are lawyers, have equal </w:t>
      </w:r>
      <w:r w:rsidR="00C7746C" w:rsidRPr="00AC57EA">
        <w:rPr>
          <w:rFonts w:cs="Univers-Light"/>
          <w:sz w:val="20"/>
          <w:szCs w:val="16"/>
          <w:lang w:val="en-US"/>
        </w:rPr>
        <w:t>powers</w:t>
      </w:r>
      <w:r w:rsidR="00FC15C6" w:rsidRPr="00AC57EA">
        <w:rPr>
          <w:rFonts w:cs="Univers-Light"/>
          <w:sz w:val="20"/>
          <w:szCs w:val="16"/>
          <w:lang w:val="en-US"/>
        </w:rPr>
        <w:t xml:space="preserve"> in the exercise of their jurisdictional functions.</w:t>
      </w:r>
      <w:r w:rsidR="00B5625C" w:rsidRPr="00AC57EA">
        <w:rPr>
          <w:rFonts w:cs="Univers-Light"/>
          <w:sz w:val="20"/>
          <w:szCs w:val="16"/>
          <w:lang w:val="en-US"/>
        </w:rPr>
        <w:t>”</w:t>
      </w:r>
      <w:r w:rsidR="00B5625C" w:rsidRPr="00AC57EA">
        <w:rPr>
          <w:rFonts w:cs="Univers-Light"/>
          <w:sz w:val="20"/>
          <w:szCs w:val="16"/>
          <w:vertAlign w:val="superscript"/>
          <w:lang w:val="en-US"/>
        </w:rPr>
        <w:footnoteReference w:id="291"/>
      </w:r>
    </w:p>
    <w:p w14:paraId="19530100" w14:textId="77777777" w:rsidR="00B5625C" w:rsidRPr="00AC57EA" w:rsidRDefault="00B5625C" w:rsidP="00B5625C">
      <w:pPr>
        <w:widowControl/>
        <w:adjustRightInd/>
        <w:spacing w:line="240" w:lineRule="auto"/>
        <w:textAlignment w:val="auto"/>
        <w:rPr>
          <w:rFonts w:cs="Univers-Light"/>
          <w:sz w:val="20"/>
          <w:szCs w:val="16"/>
          <w:lang w:val="en-US"/>
        </w:rPr>
      </w:pPr>
    </w:p>
    <w:p w14:paraId="205A2502" w14:textId="71BA88FF" w:rsidR="00B5625C" w:rsidRPr="00AC57EA" w:rsidRDefault="00FC15C6" w:rsidP="00FC15C6">
      <w:pPr>
        <w:widowControl/>
        <w:numPr>
          <w:ilvl w:val="0"/>
          <w:numId w:val="2"/>
        </w:numPr>
        <w:tabs>
          <w:tab w:val="left" w:pos="567"/>
          <w:tab w:val="num" w:pos="12305"/>
        </w:tabs>
        <w:adjustRightInd/>
        <w:spacing w:line="240" w:lineRule="auto"/>
        <w:ind w:left="0" w:firstLine="0"/>
        <w:textAlignment w:val="auto"/>
        <w:rPr>
          <w:rFonts w:cs="Univers-Light"/>
          <w:sz w:val="20"/>
          <w:szCs w:val="16"/>
          <w:lang w:val="en-US"/>
        </w:rPr>
      </w:pPr>
      <w:r w:rsidRPr="00AC57EA">
        <w:rPr>
          <w:rFonts w:cs="Univers-Light"/>
          <w:sz w:val="20"/>
          <w:szCs w:val="16"/>
          <w:lang w:val="en-US"/>
        </w:rPr>
        <w:t>To comply with the constitutional mandate, the requirement of the people’s participation in the judiciary was channeled procedurally through the</w:t>
      </w:r>
      <w:r w:rsidR="00C7746C" w:rsidRPr="00AC57EA">
        <w:rPr>
          <w:rFonts w:cs="Univers-Light"/>
          <w:sz w:val="20"/>
          <w:szCs w:val="16"/>
          <w:lang w:val="en-US"/>
        </w:rPr>
        <w:t xml:space="preserve"> jury</w:t>
      </w:r>
      <w:r w:rsidRPr="00AC57EA">
        <w:rPr>
          <w:rFonts w:cs="Univers-Light"/>
          <w:sz w:val="20"/>
          <w:szCs w:val="16"/>
          <w:lang w:val="en-US"/>
        </w:rPr>
        <w:t xml:space="preserve"> mechanism. The system was implemented throughout the country </w:t>
      </w:r>
      <w:r w:rsidR="00C7746C" w:rsidRPr="00AC57EA">
        <w:rPr>
          <w:rFonts w:cs="Univers-Light"/>
          <w:sz w:val="20"/>
          <w:szCs w:val="16"/>
          <w:lang w:val="en-US"/>
        </w:rPr>
        <w:t>under</w:t>
      </w:r>
      <w:r w:rsidRPr="00AC57EA">
        <w:rPr>
          <w:rFonts w:cs="Univers-Light"/>
          <w:sz w:val="20"/>
          <w:szCs w:val="16"/>
          <w:lang w:val="en-US"/>
        </w:rPr>
        <w:t xml:space="preserve"> both the Code of Criminal Procedure</w:t>
      </w:r>
      <w:r w:rsidR="00F653DF" w:rsidRPr="00AC57EA">
        <w:rPr>
          <w:rFonts w:cs="Univers-Light"/>
          <w:sz w:val="20"/>
          <w:szCs w:val="16"/>
          <w:lang w:val="en-US"/>
        </w:rPr>
        <w:t xml:space="preserve"> – the criminal procedure law in force and applied during the trial in this case – and in the subsequent Criminal Procedure Code, </w:t>
      </w:r>
      <w:r w:rsidR="00B5625C" w:rsidRPr="00AC57EA">
        <w:rPr>
          <w:rFonts w:cs="Univers-Light"/>
          <w:sz w:val="20"/>
          <w:szCs w:val="16"/>
          <w:lang w:val="en-US"/>
        </w:rPr>
        <w:t>L</w:t>
      </w:r>
      <w:r w:rsidR="00F653DF" w:rsidRPr="00AC57EA">
        <w:rPr>
          <w:rFonts w:cs="Univers-Light"/>
          <w:sz w:val="20"/>
          <w:szCs w:val="16"/>
          <w:lang w:val="en-US"/>
        </w:rPr>
        <w:t>aw No.</w:t>
      </w:r>
      <w:r w:rsidR="00B5625C" w:rsidRPr="00AC57EA">
        <w:rPr>
          <w:rFonts w:cs="Univers-Light"/>
          <w:sz w:val="20"/>
          <w:szCs w:val="16"/>
          <w:lang w:val="en-US"/>
        </w:rPr>
        <w:t xml:space="preserve"> 406</w:t>
      </w:r>
      <w:r w:rsidR="00F653DF" w:rsidRPr="00AC57EA">
        <w:rPr>
          <w:rFonts w:cs="Univers-Light"/>
          <w:sz w:val="20"/>
          <w:szCs w:val="16"/>
          <w:lang w:val="en-US"/>
        </w:rPr>
        <w:t xml:space="preserve"> – the criminal procedure law currently in force</w:t>
      </w:r>
      <w:r w:rsidR="00B5625C" w:rsidRPr="00AC57EA">
        <w:rPr>
          <w:rFonts w:cs="Univers-Light"/>
          <w:sz w:val="20"/>
          <w:szCs w:val="16"/>
          <w:lang w:val="en-US"/>
        </w:rPr>
        <w:t>.</w:t>
      </w:r>
    </w:p>
    <w:p w14:paraId="3D4A868F" w14:textId="77777777" w:rsidR="00B5625C" w:rsidRPr="00AC57EA" w:rsidRDefault="00B5625C" w:rsidP="00B5625C">
      <w:pPr>
        <w:widowControl/>
        <w:adjustRightInd/>
        <w:spacing w:line="240" w:lineRule="auto"/>
        <w:textAlignment w:val="auto"/>
        <w:rPr>
          <w:sz w:val="20"/>
          <w:szCs w:val="20"/>
          <w:lang w:val="en-US" w:eastAsia="en-US"/>
        </w:rPr>
      </w:pPr>
    </w:p>
    <w:p w14:paraId="6F18E4B4" w14:textId="5CACA1ED" w:rsidR="00B5625C" w:rsidRPr="00AC57EA" w:rsidRDefault="00F653DF" w:rsidP="00E57A0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Since the criminal proceedings in this case were conducted under the provisions of the</w:t>
      </w:r>
      <w:r w:rsidR="00B5625C" w:rsidRPr="00AC57EA">
        <w:rPr>
          <w:sz w:val="20"/>
          <w:szCs w:val="20"/>
          <w:lang w:val="en-US" w:eastAsia="en-US"/>
        </w:rPr>
        <w:t xml:space="preserve"> </w:t>
      </w:r>
      <w:r w:rsidR="002A1A7C" w:rsidRPr="00AC57EA">
        <w:rPr>
          <w:sz w:val="20"/>
          <w:szCs w:val="20"/>
          <w:lang w:val="en-US" w:eastAsia="en-US"/>
        </w:rPr>
        <w:t>Code of Criminal Procedure</w:t>
      </w:r>
      <w:r w:rsidRPr="00AC57EA">
        <w:rPr>
          <w:sz w:val="20"/>
          <w:szCs w:val="20"/>
          <w:lang w:val="en-US" w:eastAsia="en-US"/>
        </w:rPr>
        <w:t xml:space="preserve"> in forc</w:t>
      </w:r>
      <w:r w:rsidR="00E57A0A" w:rsidRPr="00AC57EA">
        <w:rPr>
          <w:sz w:val="20"/>
          <w:szCs w:val="20"/>
          <w:lang w:val="en-US" w:eastAsia="en-US"/>
        </w:rPr>
        <w:t>e</w:t>
      </w:r>
      <w:r w:rsidRPr="00AC57EA">
        <w:rPr>
          <w:sz w:val="20"/>
          <w:szCs w:val="20"/>
          <w:lang w:val="en-US" w:eastAsia="en-US"/>
        </w:rPr>
        <w:t xml:space="preserve"> at the time,</w:t>
      </w:r>
      <w:r w:rsidR="00B5625C" w:rsidRPr="00AC57EA">
        <w:rPr>
          <w:sz w:val="20"/>
          <w:szCs w:val="20"/>
          <w:vertAlign w:val="superscript"/>
          <w:lang w:val="en-US" w:eastAsia="en-US"/>
        </w:rPr>
        <w:footnoteReference w:id="292"/>
      </w:r>
      <w:r w:rsidR="00B5625C" w:rsidRPr="00AC57EA">
        <w:rPr>
          <w:sz w:val="20"/>
          <w:szCs w:val="20"/>
          <w:lang w:val="en-US" w:eastAsia="en-US"/>
        </w:rPr>
        <w:t xml:space="preserve"> </w:t>
      </w:r>
      <w:r w:rsidR="00B7258C" w:rsidRPr="00AC57EA">
        <w:rPr>
          <w:sz w:val="20"/>
          <w:szCs w:val="20"/>
          <w:lang w:val="en-US" w:eastAsia="en-US"/>
        </w:rPr>
        <w:t>the Court</w:t>
      </w:r>
      <w:r w:rsidR="00B5625C" w:rsidRPr="00AC57EA">
        <w:rPr>
          <w:sz w:val="20"/>
          <w:szCs w:val="20"/>
          <w:lang w:val="en-US" w:eastAsia="en-US"/>
        </w:rPr>
        <w:t xml:space="preserve"> </w:t>
      </w:r>
      <w:r w:rsidR="00E57A0A" w:rsidRPr="00AC57EA">
        <w:rPr>
          <w:sz w:val="20"/>
          <w:szCs w:val="20"/>
          <w:lang w:val="en-US" w:eastAsia="en-US"/>
        </w:rPr>
        <w:t>will describe how trial</w:t>
      </w:r>
      <w:r w:rsidR="00FA6F20" w:rsidRPr="00AC57EA">
        <w:rPr>
          <w:sz w:val="20"/>
          <w:szCs w:val="20"/>
          <w:lang w:val="en-US" w:eastAsia="en-US"/>
        </w:rPr>
        <w:t>s</w:t>
      </w:r>
      <w:r w:rsidR="00E57A0A" w:rsidRPr="00AC57EA">
        <w:rPr>
          <w:sz w:val="20"/>
          <w:szCs w:val="20"/>
          <w:lang w:val="en-US" w:eastAsia="en-US"/>
        </w:rPr>
        <w:t xml:space="preserve"> by jur</w:t>
      </w:r>
      <w:r w:rsidR="00FA6F20" w:rsidRPr="00AC57EA">
        <w:rPr>
          <w:sz w:val="20"/>
          <w:szCs w:val="20"/>
          <w:lang w:val="en-US" w:eastAsia="en-US"/>
        </w:rPr>
        <w:t>y</w:t>
      </w:r>
      <w:r w:rsidR="00E57A0A" w:rsidRPr="00AC57EA">
        <w:rPr>
          <w:sz w:val="20"/>
          <w:szCs w:val="20"/>
          <w:lang w:val="en-US" w:eastAsia="en-US"/>
        </w:rPr>
        <w:t xml:space="preserve"> functioned. In particular, in the case of trials by jury, the Code of Criminal Procedure established that those “ordinary offenses </w:t>
      </w:r>
      <w:r w:rsidR="00E57A0A" w:rsidRPr="00AC57EA">
        <w:rPr>
          <w:rFonts w:eastAsia="Calibri" w:cs="Arial"/>
          <w:sz w:val="20"/>
          <w:szCs w:val="20"/>
          <w:lang w:val="en-US" w:eastAsia="en-US"/>
        </w:rPr>
        <w:t xml:space="preserve">that warrant more severe punishment than </w:t>
      </w:r>
      <w:r w:rsidR="00FA6F20" w:rsidRPr="00AC57EA">
        <w:rPr>
          <w:rFonts w:eastAsia="Calibri" w:cs="Arial"/>
          <w:sz w:val="20"/>
          <w:szCs w:val="20"/>
          <w:lang w:val="en-US" w:eastAsia="en-US"/>
        </w:rPr>
        <w:t>simple</w:t>
      </w:r>
      <w:r w:rsidR="00E57A0A" w:rsidRPr="00AC57EA">
        <w:rPr>
          <w:rFonts w:eastAsia="Calibri" w:cs="Arial"/>
          <w:sz w:val="20"/>
          <w:szCs w:val="20"/>
          <w:lang w:val="en-US" w:eastAsia="en-US"/>
        </w:rPr>
        <w:t xml:space="preserve"> corrective measures shall be submitted to the consideration of the jury court.</w:t>
      </w:r>
      <w:r w:rsidR="00B5625C" w:rsidRPr="00AC57EA">
        <w:rPr>
          <w:sz w:val="20"/>
          <w:szCs w:val="20"/>
          <w:lang w:val="en-US" w:eastAsia="en-US"/>
        </w:rPr>
        <w:t>”</w:t>
      </w:r>
      <w:r w:rsidR="00B5625C" w:rsidRPr="00AC57EA">
        <w:rPr>
          <w:sz w:val="20"/>
          <w:szCs w:val="20"/>
          <w:vertAlign w:val="superscript"/>
          <w:lang w:val="en-US" w:eastAsia="en-US"/>
        </w:rPr>
        <w:footnoteReference w:id="293"/>
      </w:r>
      <w:r w:rsidR="00E57A0A" w:rsidRPr="00AC57EA">
        <w:rPr>
          <w:sz w:val="20"/>
          <w:szCs w:val="20"/>
          <w:lang w:val="en-US" w:eastAsia="en-US"/>
        </w:rPr>
        <w:t xml:space="preserve"> The jury, constituted on the basis of lists of </w:t>
      </w:r>
      <w:r w:rsidR="00E57A0A" w:rsidRPr="00AC57EA">
        <w:rPr>
          <w:sz w:val="20"/>
          <w:szCs w:val="20"/>
          <w:lang w:val="en-US" w:eastAsia="en-US"/>
        </w:rPr>
        <w:lastRenderedPageBreak/>
        <w:t>citizens “proposed by themselves,</w:t>
      </w:r>
      <w:r w:rsidR="00B5625C" w:rsidRPr="00AC57EA">
        <w:rPr>
          <w:sz w:val="20"/>
          <w:szCs w:val="20"/>
          <w:lang w:val="en-US" w:eastAsia="en-US"/>
        </w:rPr>
        <w:t>”</w:t>
      </w:r>
      <w:r w:rsidR="00B5625C" w:rsidRPr="00AC57EA">
        <w:rPr>
          <w:sz w:val="20"/>
          <w:szCs w:val="20"/>
          <w:vertAlign w:val="superscript"/>
          <w:lang w:val="en-US" w:eastAsia="en-US"/>
        </w:rPr>
        <w:footnoteReference w:id="294"/>
      </w:r>
      <w:r w:rsidR="00E57A0A" w:rsidRPr="00AC57EA">
        <w:rPr>
          <w:sz w:val="20"/>
          <w:szCs w:val="20"/>
          <w:lang w:val="en-US" w:eastAsia="en-US"/>
        </w:rPr>
        <w:t xml:space="preserve"> issued its verdict based</w:t>
      </w:r>
      <w:r w:rsidR="00FA6F20" w:rsidRPr="00AC57EA">
        <w:rPr>
          <w:sz w:val="20"/>
          <w:szCs w:val="20"/>
          <w:lang w:val="en-US" w:eastAsia="en-US"/>
        </w:rPr>
        <w:t xml:space="preserve"> on its</w:t>
      </w:r>
      <w:r w:rsidR="00E57A0A" w:rsidRPr="00AC57EA">
        <w:rPr>
          <w:sz w:val="20"/>
          <w:szCs w:val="20"/>
          <w:lang w:val="en-US" w:eastAsia="en-US"/>
        </w:rPr>
        <w:t xml:space="preserve"> “firm conviction” </w:t>
      </w:r>
      <w:r w:rsidR="00FA6F20" w:rsidRPr="00AC57EA">
        <w:rPr>
          <w:sz w:val="20"/>
          <w:szCs w:val="20"/>
          <w:lang w:val="en-US" w:eastAsia="en-US"/>
        </w:rPr>
        <w:t>with regard to the responsibility of the</w:t>
      </w:r>
      <w:r w:rsidR="00E57A0A" w:rsidRPr="00AC57EA">
        <w:rPr>
          <w:sz w:val="20"/>
          <w:szCs w:val="20"/>
          <w:lang w:val="en-US" w:eastAsia="en-US"/>
        </w:rPr>
        <w:t xml:space="preserve"> accused, declaring him innocent or guilty.</w:t>
      </w:r>
    </w:p>
    <w:p w14:paraId="290AB58B" w14:textId="77777777" w:rsidR="00B5625C" w:rsidRPr="00AC57EA" w:rsidRDefault="00B5625C" w:rsidP="00B5625C">
      <w:pPr>
        <w:widowControl/>
        <w:adjustRightInd/>
        <w:spacing w:line="240" w:lineRule="auto"/>
        <w:textAlignment w:val="auto"/>
        <w:rPr>
          <w:sz w:val="20"/>
          <w:szCs w:val="20"/>
          <w:lang w:val="en-US" w:eastAsia="en-US"/>
        </w:rPr>
      </w:pPr>
    </w:p>
    <w:p w14:paraId="1AE35B8E" w14:textId="47A41FA6" w:rsidR="00B5625C" w:rsidRPr="00AC57EA" w:rsidRDefault="00E57A0A" w:rsidP="008A78DE">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At the plenary stage, the judge called a hearing to make a random selection of </w:t>
      </w:r>
      <w:r w:rsidR="00FA6F20" w:rsidRPr="00AC57EA">
        <w:rPr>
          <w:sz w:val="20"/>
          <w:szCs w:val="20"/>
          <w:lang w:val="en-US" w:eastAsia="en-US"/>
        </w:rPr>
        <w:t>a</w:t>
      </w:r>
      <w:r w:rsidRPr="00AC57EA">
        <w:rPr>
          <w:sz w:val="20"/>
          <w:szCs w:val="20"/>
          <w:lang w:val="en-US" w:eastAsia="en-US"/>
        </w:rPr>
        <w:t xml:space="preserve"> list of ten citizens who could constitute</w:t>
      </w:r>
      <w:r w:rsidR="00B5625C" w:rsidRPr="00AC57EA">
        <w:rPr>
          <w:sz w:val="20"/>
          <w:szCs w:val="20"/>
          <w:lang w:val="en-US" w:eastAsia="en-US"/>
        </w:rPr>
        <w:t xml:space="preserve"> </w:t>
      </w:r>
      <w:r w:rsidR="00823E77" w:rsidRPr="00AC57EA">
        <w:rPr>
          <w:sz w:val="20"/>
          <w:szCs w:val="20"/>
          <w:lang w:val="en-US" w:eastAsia="en-US"/>
        </w:rPr>
        <w:t xml:space="preserve">the </w:t>
      </w:r>
      <w:r w:rsidR="00FA6F20" w:rsidRPr="00AC57EA">
        <w:rPr>
          <w:sz w:val="20"/>
          <w:szCs w:val="20"/>
          <w:lang w:val="en-US" w:eastAsia="en-US"/>
        </w:rPr>
        <w:t>Jury Court</w:t>
      </w:r>
      <w:r w:rsidRPr="00AC57EA">
        <w:rPr>
          <w:sz w:val="20"/>
          <w:szCs w:val="20"/>
          <w:lang w:val="en-US" w:eastAsia="en-US"/>
        </w:rPr>
        <w:t>,</w:t>
      </w:r>
      <w:r w:rsidR="00B5625C" w:rsidRPr="00AC57EA">
        <w:rPr>
          <w:sz w:val="20"/>
          <w:szCs w:val="20"/>
          <w:vertAlign w:val="superscript"/>
          <w:lang w:val="en-US" w:eastAsia="en-US"/>
        </w:rPr>
        <w:footnoteReference w:id="295"/>
      </w:r>
      <w:r w:rsidRPr="00AC57EA">
        <w:rPr>
          <w:sz w:val="20"/>
          <w:szCs w:val="20"/>
          <w:lang w:val="en-US" w:eastAsia="en-US"/>
        </w:rPr>
        <w:t xml:space="preserve"> one of whom could be </w:t>
      </w:r>
      <w:r w:rsidR="00554351" w:rsidRPr="00AC57EA">
        <w:rPr>
          <w:sz w:val="20"/>
          <w:szCs w:val="20"/>
          <w:lang w:val="en-US" w:eastAsia="en-US"/>
        </w:rPr>
        <w:t>vetoed</w:t>
      </w:r>
      <w:r w:rsidRPr="00AC57EA">
        <w:rPr>
          <w:sz w:val="20"/>
          <w:szCs w:val="20"/>
          <w:lang w:val="en-US" w:eastAsia="en-US"/>
        </w:rPr>
        <w:t xml:space="preserve"> </w:t>
      </w:r>
      <w:r w:rsidR="00FA6F20" w:rsidRPr="00AC57EA">
        <w:rPr>
          <w:sz w:val="20"/>
          <w:szCs w:val="20"/>
          <w:lang w:val="en-US" w:eastAsia="en-US"/>
        </w:rPr>
        <w:t xml:space="preserve">by each party </w:t>
      </w:r>
      <w:r w:rsidRPr="00AC57EA">
        <w:rPr>
          <w:sz w:val="20"/>
          <w:szCs w:val="20"/>
          <w:lang w:val="en-US" w:eastAsia="en-US"/>
        </w:rPr>
        <w:t>without giving any reason.</w:t>
      </w:r>
      <w:r w:rsidR="00B5625C" w:rsidRPr="00AC57EA">
        <w:rPr>
          <w:sz w:val="20"/>
          <w:szCs w:val="20"/>
          <w:vertAlign w:val="superscript"/>
          <w:lang w:val="en-US" w:eastAsia="en-US"/>
        </w:rPr>
        <w:footnoteReference w:id="296"/>
      </w:r>
      <w:r w:rsidRPr="00AC57EA">
        <w:rPr>
          <w:sz w:val="20"/>
          <w:szCs w:val="20"/>
          <w:lang w:val="en-US" w:eastAsia="en-US"/>
        </w:rPr>
        <w:t xml:space="preserve"> At the same time, </w:t>
      </w:r>
      <w:r w:rsidR="008A78DE" w:rsidRPr="00AC57EA">
        <w:rPr>
          <w:sz w:val="20"/>
          <w:szCs w:val="20"/>
          <w:lang w:val="en-US" w:eastAsia="en-US"/>
        </w:rPr>
        <w:t xml:space="preserve">the judge of law who would form part </w:t>
      </w:r>
      <w:r w:rsidR="00B7258C" w:rsidRPr="00AC57EA">
        <w:rPr>
          <w:sz w:val="20"/>
          <w:szCs w:val="20"/>
          <w:lang w:val="en-US" w:eastAsia="en-US"/>
        </w:rPr>
        <w:t xml:space="preserve">of </w:t>
      </w:r>
      <w:r w:rsidR="00823E77" w:rsidRPr="00AC57EA">
        <w:rPr>
          <w:sz w:val="20"/>
          <w:szCs w:val="20"/>
          <w:lang w:val="en-US" w:eastAsia="en-US"/>
        </w:rPr>
        <w:t>the Jury Court</w:t>
      </w:r>
      <w:r w:rsidR="00171E27" w:rsidRPr="00AC57EA">
        <w:rPr>
          <w:sz w:val="20"/>
          <w:szCs w:val="20"/>
          <w:lang w:val="en-US" w:eastAsia="en-US"/>
        </w:rPr>
        <w:t xml:space="preserve"> </w:t>
      </w:r>
      <w:r w:rsidR="00D22834">
        <w:rPr>
          <w:sz w:val="20"/>
          <w:szCs w:val="20"/>
          <w:lang w:val="en-US" w:eastAsia="en-US"/>
        </w:rPr>
        <w:t>was</w:t>
      </w:r>
      <w:r w:rsidR="00FA6F20" w:rsidRPr="00AC57EA">
        <w:rPr>
          <w:sz w:val="20"/>
          <w:szCs w:val="20"/>
          <w:lang w:val="en-US" w:eastAsia="en-US"/>
        </w:rPr>
        <w:t xml:space="preserve"> appointed, </w:t>
      </w:r>
      <w:r w:rsidR="00171E27" w:rsidRPr="00AC57EA">
        <w:rPr>
          <w:sz w:val="20"/>
          <w:szCs w:val="20"/>
          <w:lang w:val="en-US" w:eastAsia="en-US"/>
        </w:rPr>
        <w:t xml:space="preserve">and </w:t>
      </w:r>
      <w:r w:rsidR="008A78DE" w:rsidRPr="00AC57EA">
        <w:rPr>
          <w:sz w:val="20"/>
          <w:szCs w:val="20"/>
          <w:lang w:val="en-US" w:eastAsia="en-US"/>
        </w:rPr>
        <w:t>the place, date and time of the public hearing established.</w:t>
      </w:r>
      <w:r w:rsidR="00B5625C" w:rsidRPr="00AC57EA">
        <w:rPr>
          <w:sz w:val="20"/>
          <w:szCs w:val="20"/>
          <w:vertAlign w:val="superscript"/>
          <w:lang w:val="en-US" w:eastAsia="en-US"/>
        </w:rPr>
        <w:footnoteReference w:id="297"/>
      </w:r>
      <w:r w:rsidR="00B5625C" w:rsidRPr="00AC57EA">
        <w:rPr>
          <w:sz w:val="20"/>
          <w:szCs w:val="20"/>
          <w:lang w:val="en-US" w:eastAsia="en-US"/>
        </w:rPr>
        <w:t xml:space="preserve"> </w:t>
      </w:r>
      <w:r w:rsidR="008A78DE" w:rsidRPr="00AC57EA">
        <w:rPr>
          <w:sz w:val="20"/>
          <w:szCs w:val="20"/>
          <w:lang w:val="en-US" w:eastAsia="en-US"/>
        </w:rPr>
        <w:t xml:space="preserve">Prior to the public hearing, the Jury Court was constituted, on which occasion the parties could </w:t>
      </w:r>
      <w:r w:rsidR="00554351" w:rsidRPr="00AC57EA">
        <w:rPr>
          <w:sz w:val="20"/>
          <w:szCs w:val="20"/>
          <w:lang w:val="en-US" w:eastAsia="en-US"/>
        </w:rPr>
        <w:t>veto</w:t>
      </w:r>
      <w:r w:rsidR="008A78DE" w:rsidRPr="00AC57EA">
        <w:rPr>
          <w:sz w:val="20"/>
          <w:szCs w:val="20"/>
          <w:lang w:val="en-US" w:eastAsia="en-US"/>
        </w:rPr>
        <w:t xml:space="preserve"> any of the jurors based on evident or demonstrable cause.</w:t>
      </w:r>
      <w:r w:rsidR="00B5625C" w:rsidRPr="00AC57EA">
        <w:rPr>
          <w:sz w:val="20"/>
          <w:szCs w:val="20"/>
          <w:vertAlign w:val="superscript"/>
          <w:lang w:val="en-US" w:eastAsia="en-US"/>
        </w:rPr>
        <w:footnoteReference w:id="298"/>
      </w:r>
      <w:r w:rsidR="008A78DE" w:rsidRPr="00AC57EA">
        <w:rPr>
          <w:sz w:val="20"/>
          <w:szCs w:val="20"/>
          <w:lang w:val="en-US" w:eastAsia="en-US"/>
        </w:rPr>
        <w:t xml:space="preserve"> The </w:t>
      </w:r>
      <w:r w:rsidR="00F34A14" w:rsidRPr="00AC57EA">
        <w:rPr>
          <w:sz w:val="20"/>
          <w:szCs w:val="20"/>
          <w:lang w:val="en-US" w:eastAsia="en-US"/>
        </w:rPr>
        <w:t>veto</w:t>
      </w:r>
      <w:r w:rsidR="008A78DE" w:rsidRPr="00AC57EA">
        <w:rPr>
          <w:sz w:val="20"/>
          <w:szCs w:val="20"/>
          <w:lang w:val="en-US" w:eastAsia="en-US"/>
        </w:rPr>
        <w:t xml:space="preserve"> was decided by the judge during the same session, and no further </w:t>
      </w:r>
      <w:r w:rsidR="00F34A14" w:rsidRPr="00AC57EA">
        <w:rPr>
          <w:sz w:val="20"/>
          <w:szCs w:val="20"/>
          <w:lang w:val="en-US" w:eastAsia="en-US"/>
        </w:rPr>
        <w:t>veto or challenge</w:t>
      </w:r>
      <w:r w:rsidR="008A78DE" w:rsidRPr="00AC57EA">
        <w:rPr>
          <w:sz w:val="20"/>
          <w:szCs w:val="20"/>
          <w:lang w:val="en-US" w:eastAsia="en-US"/>
        </w:rPr>
        <w:t xml:space="preserve"> was admissible.</w:t>
      </w:r>
      <w:r w:rsidR="00B5625C" w:rsidRPr="00AC57EA">
        <w:rPr>
          <w:sz w:val="20"/>
          <w:szCs w:val="20"/>
          <w:vertAlign w:val="superscript"/>
          <w:lang w:val="en-US" w:eastAsia="en-US"/>
        </w:rPr>
        <w:footnoteReference w:id="299"/>
      </w:r>
      <w:r w:rsidR="008A78DE" w:rsidRPr="00AC57EA">
        <w:rPr>
          <w:sz w:val="20"/>
          <w:szCs w:val="20"/>
          <w:lang w:val="en-US" w:eastAsia="en-US"/>
        </w:rPr>
        <w:t xml:space="preserve"> The judge of the case chose the four citizens who, together with the judge of law, would compose</w:t>
      </w:r>
      <w:r w:rsidR="00B5625C" w:rsidRPr="00AC57EA">
        <w:rPr>
          <w:sz w:val="20"/>
          <w:szCs w:val="20"/>
          <w:lang w:val="en-US" w:eastAsia="en-US"/>
        </w:rPr>
        <w:t xml:space="preserve"> </w:t>
      </w:r>
      <w:r w:rsidR="00823E77" w:rsidRPr="00AC57EA">
        <w:rPr>
          <w:sz w:val="20"/>
          <w:szCs w:val="20"/>
          <w:lang w:val="en-US" w:eastAsia="en-US"/>
        </w:rPr>
        <w:t>the Jury Court</w:t>
      </w:r>
      <w:r w:rsidR="008A78DE" w:rsidRPr="00AC57EA">
        <w:rPr>
          <w:sz w:val="20"/>
          <w:szCs w:val="20"/>
          <w:lang w:val="en-US" w:eastAsia="en-US"/>
        </w:rPr>
        <w:t>.</w:t>
      </w:r>
      <w:r w:rsidR="00B5625C" w:rsidRPr="00AC57EA">
        <w:rPr>
          <w:sz w:val="20"/>
          <w:szCs w:val="20"/>
          <w:vertAlign w:val="superscript"/>
          <w:lang w:val="en-US" w:eastAsia="en-US"/>
        </w:rPr>
        <w:footnoteReference w:id="300"/>
      </w:r>
      <w:r w:rsidR="00B5625C" w:rsidRPr="00AC57EA">
        <w:rPr>
          <w:sz w:val="20"/>
          <w:szCs w:val="20"/>
          <w:lang w:val="en-US" w:eastAsia="en-US"/>
        </w:rPr>
        <w:t xml:space="preserve"> </w:t>
      </w:r>
      <w:r w:rsidR="008A78DE" w:rsidRPr="00AC57EA">
        <w:rPr>
          <w:sz w:val="20"/>
          <w:szCs w:val="20"/>
          <w:lang w:val="en-US" w:eastAsia="en-US"/>
        </w:rPr>
        <w:t>The</w:t>
      </w:r>
      <w:r w:rsidR="00B5625C" w:rsidRPr="00AC57EA">
        <w:rPr>
          <w:sz w:val="20"/>
          <w:szCs w:val="20"/>
          <w:lang w:val="en-US" w:eastAsia="en-US"/>
        </w:rPr>
        <w:t xml:space="preserve"> </w:t>
      </w:r>
      <w:r w:rsidR="00B7258C" w:rsidRPr="00AC57EA">
        <w:rPr>
          <w:sz w:val="20"/>
          <w:szCs w:val="20"/>
          <w:lang w:val="en-US" w:eastAsia="en-US"/>
        </w:rPr>
        <w:t>judge</w:t>
      </w:r>
      <w:r w:rsidR="00B5625C" w:rsidRPr="00AC57EA">
        <w:rPr>
          <w:sz w:val="20"/>
          <w:szCs w:val="20"/>
          <w:lang w:val="en-US" w:eastAsia="en-US"/>
        </w:rPr>
        <w:t xml:space="preserve"> </w:t>
      </w:r>
      <w:r w:rsidR="008A78DE" w:rsidRPr="00AC57EA">
        <w:rPr>
          <w:sz w:val="20"/>
          <w:szCs w:val="20"/>
          <w:lang w:val="en-US" w:eastAsia="en-US"/>
        </w:rPr>
        <w:t xml:space="preserve">of the case was also able to replace the jury, </w:t>
      </w:r>
      <w:r w:rsidR="008A78DE" w:rsidRPr="00AC57EA">
        <w:rPr>
          <w:i/>
          <w:iCs/>
          <w:sz w:val="20"/>
          <w:szCs w:val="20"/>
          <w:lang w:val="en-US" w:eastAsia="en-US"/>
        </w:rPr>
        <w:t>ex officio,</w:t>
      </w:r>
      <w:r w:rsidR="008A78DE" w:rsidRPr="00AC57EA">
        <w:rPr>
          <w:sz w:val="20"/>
          <w:szCs w:val="20"/>
          <w:lang w:val="en-US" w:eastAsia="en-US"/>
        </w:rPr>
        <w:t xml:space="preserve"> in certain circumstances.</w:t>
      </w:r>
      <w:r w:rsidR="00B5625C" w:rsidRPr="00AC57EA">
        <w:rPr>
          <w:sz w:val="20"/>
          <w:szCs w:val="20"/>
          <w:vertAlign w:val="superscript"/>
          <w:lang w:val="en-US" w:eastAsia="en-US"/>
        </w:rPr>
        <w:footnoteReference w:id="301"/>
      </w:r>
    </w:p>
    <w:p w14:paraId="1F3C2A0F" w14:textId="77777777" w:rsidR="00B5625C" w:rsidRPr="00AC57EA" w:rsidRDefault="00B5625C" w:rsidP="00B5625C">
      <w:pPr>
        <w:widowControl/>
        <w:adjustRightInd/>
        <w:spacing w:line="240" w:lineRule="auto"/>
        <w:textAlignment w:val="auto"/>
        <w:rPr>
          <w:sz w:val="20"/>
          <w:szCs w:val="20"/>
          <w:lang w:val="en-US" w:eastAsia="en-US"/>
        </w:rPr>
      </w:pPr>
    </w:p>
    <w:p w14:paraId="62264243" w14:textId="4054FB9F" w:rsidR="00B5625C" w:rsidRPr="00AC57EA" w:rsidRDefault="008A78DE" w:rsidP="0019119E">
      <w:pPr>
        <w:widowControl/>
        <w:numPr>
          <w:ilvl w:val="0"/>
          <w:numId w:val="2"/>
        </w:numPr>
        <w:tabs>
          <w:tab w:val="left" w:pos="567"/>
          <w:tab w:val="num" w:pos="12305"/>
        </w:tabs>
        <w:adjustRightInd/>
        <w:spacing w:line="240" w:lineRule="auto"/>
        <w:ind w:left="0" w:firstLine="0"/>
        <w:textAlignment w:val="auto"/>
        <w:rPr>
          <w:rFonts w:eastAsia="Calibri"/>
          <w:iCs/>
          <w:sz w:val="20"/>
          <w:szCs w:val="20"/>
          <w:lang w:val="en-US" w:eastAsia="en-US"/>
        </w:rPr>
      </w:pPr>
      <w:r w:rsidRPr="00AC57EA">
        <w:rPr>
          <w:sz w:val="20"/>
          <w:szCs w:val="20"/>
          <w:lang w:val="en-US" w:eastAsia="en-US"/>
        </w:rPr>
        <w:t>Once the jury had been installed, and having been sworn in,</w:t>
      </w:r>
      <w:r w:rsidR="00B5625C" w:rsidRPr="00AC57EA">
        <w:rPr>
          <w:sz w:val="20"/>
          <w:szCs w:val="20"/>
          <w:vertAlign w:val="superscript"/>
          <w:lang w:val="en-US" w:eastAsia="en-US"/>
        </w:rPr>
        <w:footnoteReference w:id="302"/>
      </w:r>
      <w:r w:rsidRPr="00AC57EA">
        <w:rPr>
          <w:sz w:val="20"/>
          <w:szCs w:val="20"/>
          <w:lang w:val="en-US" w:eastAsia="en-US"/>
        </w:rPr>
        <w:t xml:space="preserve"> a president and a secretary were elected</w:t>
      </w:r>
      <w:r w:rsidR="00082458" w:rsidRPr="00AC57EA">
        <w:rPr>
          <w:sz w:val="20"/>
          <w:szCs w:val="20"/>
          <w:lang w:val="en-US" w:eastAsia="en-US"/>
        </w:rPr>
        <w:t xml:space="preserve"> from among the members</w:t>
      </w:r>
      <w:r w:rsidRPr="00AC57EA">
        <w:rPr>
          <w:sz w:val="20"/>
          <w:szCs w:val="20"/>
          <w:lang w:val="en-US" w:eastAsia="en-US"/>
        </w:rPr>
        <w:t>.</w:t>
      </w:r>
      <w:r w:rsidR="00B5625C" w:rsidRPr="00AC57EA">
        <w:rPr>
          <w:sz w:val="20"/>
          <w:szCs w:val="20"/>
          <w:vertAlign w:val="superscript"/>
          <w:lang w:val="en-US" w:eastAsia="en-US"/>
        </w:rPr>
        <w:footnoteReference w:id="303"/>
      </w:r>
      <w:r w:rsidRPr="00AC57EA">
        <w:rPr>
          <w:sz w:val="20"/>
          <w:szCs w:val="20"/>
          <w:lang w:val="en-US" w:eastAsia="en-US"/>
        </w:rPr>
        <w:t xml:space="preserve"> Then, the public hearing was held,</w:t>
      </w:r>
      <w:r w:rsidR="00B5625C" w:rsidRPr="00AC57EA">
        <w:rPr>
          <w:sz w:val="20"/>
          <w:szCs w:val="20"/>
          <w:vertAlign w:val="superscript"/>
          <w:lang w:val="en-US" w:eastAsia="en-US"/>
        </w:rPr>
        <w:footnoteReference w:id="304"/>
      </w:r>
      <w:r w:rsidRPr="00AC57EA">
        <w:rPr>
          <w:sz w:val="20"/>
          <w:szCs w:val="20"/>
          <w:lang w:val="en-US" w:eastAsia="en-US"/>
        </w:rPr>
        <w:t xml:space="preserve"> following which the members of the jury met in </w:t>
      </w:r>
      <w:r w:rsidR="0019119E" w:rsidRPr="00AC57EA">
        <w:rPr>
          <w:sz w:val="20"/>
          <w:szCs w:val="20"/>
          <w:lang w:val="en-US" w:eastAsia="en-US"/>
        </w:rPr>
        <w:t>a closed session</w:t>
      </w:r>
      <w:r w:rsidRPr="00AC57EA">
        <w:rPr>
          <w:sz w:val="20"/>
          <w:szCs w:val="20"/>
          <w:lang w:val="en-US" w:eastAsia="en-US"/>
        </w:rPr>
        <w:t xml:space="preserve"> in order to deliberate</w:t>
      </w:r>
      <w:r w:rsidR="0019119E" w:rsidRPr="00AC57EA">
        <w:rPr>
          <w:sz w:val="20"/>
          <w:szCs w:val="20"/>
          <w:lang w:val="en-US" w:eastAsia="en-US"/>
        </w:rPr>
        <w:t xml:space="preserve"> “the main fact and each of its circumstances.</w:t>
      </w:r>
      <w:r w:rsidR="00B5625C" w:rsidRPr="00AC57EA">
        <w:rPr>
          <w:sz w:val="20"/>
          <w:szCs w:val="20"/>
          <w:lang w:val="en-US" w:eastAsia="en-US"/>
        </w:rPr>
        <w:t>”</w:t>
      </w:r>
      <w:r w:rsidR="00B5625C" w:rsidRPr="00AC57EA">
        <w:rPr>
          <w:sz w:val="20"/>
          <w:szCs w:val="20"/>
          <w:vertAlign w:val="superscript"/>
          <w:lang w:val="en-US" w:eastAsia="en-US"/>
        </w:rPr>
        <w:footnoteReference w:id="305"/>
      </w:r>
      <w:r w:rsidR="0019119E" w:rsidRPr="00AC57EA">
        <w:rPr>
          <w:sz w:val="20"/>
          <w:szCs w:val="20"/>
          <w:lang w:val="en-US" w:eastAsia="en-US"/>
        </w:rPr>
        <w:t xml:space="preserve"> When the jury had retired, the president gave them the following warning, which had to be written out in bold type and attached to the wall of the room where the jur</w:t>
      </w:r>
      <w:r w:rsidR="007B246B" w:rsidRPr="00AC57EA">
        <w:rPr>
          <w:sz w:val="20"/>
          <w:szCs w:val="20"/>
          <w:lang w:val="en-US" w:eastAsia="en-US"/>
        </w:rPr>
        <w:t>y</w:t>
      </w:r>
      <w:r w:rsidR="0019119E" w:rsidRPr="00AC57EA">
        <w:rPr>
          <w:sz w:val="20"/>
          <w:szCs w:val="20"/>
          <w:lang w:val="en-US" w:eastAsia="en-US"/>
        </w:rPr>
        <w:t xml:space="preserve"> met</w:t>
      </w:r>
      <w:r w:rsidR="00B5625C" w:rsidRPr="00AC57EA">
        <w:rPr>
          <w:rFonts w:eastAsia="Calibri"/>
          <w:iCs/>
          <w:sz w:val="20"/>
          <w:szCs w:val="20"/>
          <w:lang w:val="en-US" w:eastAsia="en-US"/>
        </w:rPr>
        <w:t>:</w:t>
      </w:r>
    </w:p>
    <w:p w14:paraId="70C8E2BF" w14:textId="29562C15" w:rsidR="00B5625C" w:rsidRPr="00AC57EA" w:rsidRDefault="00B5625C" w:rsidP="00B5625C">
      <w:pPr>
        <w:widowControl/>
        <w:adjustRightInd/>
        <w:spacing w:line="240" w:lineRule="auto"/>
        <w:textAlignment w:val="auto"/>
        <w:rPr>
          <w:rFonts w:eastAsia="Calibri"/>
          <w:iCs/>
          <w:sz w:val="20"/>
          <w:szCs w:val="20"/>
          <w:lang w:val="en-US" w:eastAsia="en-US"/>
        </w:rPr>
      </w:pPr>
    </w:p>
    <w:p w14:paraId="65AFB47E" w14:textId="59B85DB7" w:rsidR="00B5625C" w:rsidRPr="00AC57EA" w:rsidRDefault="0019119E" w:rsidP="007B246B">
      <w:pPr>
        <w:widowControl/>
        <w:tabs>
          <w:tab w:val="left" w:pos="3503"/>
        </w:tabs>
        <w:adjustRightInd/>
        <w:spacing w:line="240" w:lineRule="auto"/>
        <w:ind w:left="567" w:right="582"/>
        <w:textAlignment w:val="auto"/>
        <w:rPr>
          <w:rFonts w:eastAsia="Calibri"/>
          <w:iCs/>
          <w:sz w:val="16"/>
          <w:szCs w:val="16"/>
          <w:lang w:val="en-US" w:eastAsia="en-US"/>
        </w:rPr>
      </w:pPr>
      <w:r w:rsidRPr="00AC57EA">
        <w:rPr>
          <w:rFonts w:eastAsia="Calibri"/>
          <w:iCs/>
          <w:sz w:val="16"/>
          <w:szCs w:val="16"/>
          <w:lang w:val="en-US" w:eastAsia="en-US"/>
        </w:rPr>
        <w:t xml:space="preserve">The law does not require the jury to </w:t>
      </w:r>
      <w:r w:rsidR="00082458" w:rsidRPr="00AC57EA">
        <w:rPr>
          <w:rFonts w:eastAsia="Calibri"/>
          <w:iCs/>
          <w:sz w:val="16"/>
          <w:szCs w:val="16"/>
          <w:lang w:val="en-US" w:eastAsia="en-US"/>
        </w:rPr>
        <w:t>tell</w:t>
      </w:r>
      <w:r w:rsidRPr="00AC57EA">
        <w:rPr>
          <w:rFonts w:eastAsia="Calibri"/>
          <w:iCs/>
          <w:sz w:val="16"/>
          <w:szCs w:val="16"/>
          <w:lang w:val="en-US" w:eastAsia="en-US"/>
        </w:rPr>
        <w:t xml:space="preserve"> how they reached their conviction, or establish rules they must abide by to presume the certainty of the facts. The law only stipulates that they question themselves, and seek in the sincerity of their conscience the impression made on their minds by the evidence submitted against and in defense of the accused. The law does not say, you will consider true any fact that </w:t>
      </w:r>
      <w:r w:rsidR="007B246B" w:rsidRPr="00AC57EA">
        <w:rPr>
          <w:rFonts w:eastAsia="Calibri"/>
          <w:iCs/>
          <w:sz w:val="16"/>
          <w:szCs w:val="16"/>
          <w:lang w:val="en-US" w:eastAsia="en-US"/>
        </w:rPr>
        <w:t>has been affirmed by a certain number of witnesses; the law only asks you a single question, that summarizes all your duties: “</w:t>
      </w:r>
      <w:r w:rsidR="007B246B" w:rsidRPr="00AC57EA">
        <w:rPr>
          <w:rFonts w:eastAsia="Calibri"/>
          <w:i/>
          <w:sz w:val="16"/>
          <w:szCs w:val="16"/>
          <w:lang w:val="en-US" w:eastAsia="en-US"/>
        </w:rPr>
        <w:t>Are you firmly convinced</w:t>
      </w:r>
      <w:r w:rsidR="007B246B" w:rsidRPr="00AC57EA">
        <w:rPr>
          <w:rFonts w:eastAsia="Calibri"/>
          <w:iCs/>
          <w:sz w:val="16"/>
          <w:szCs w:val="16"/>
          <w:lang w:val="en-US" w:eastAsia="en-US"/>
        </w:rPr>
        <w:t>?”</w:t>
      </w:r>
      <w:r w:rsidR="00B07860" w:rsidRPr="00AC57EA">
        <w:rPr>
          <w:rFonts w:eastAsia="Calibri"/>
          <w:bCs/>
          <w:i/>
          <w:iCs/>
          <w:sz w:val="16"/>
          <w:szCs w:val="16"/>
          <w:vertAlign w:val="superscript"/>
          <w:lang w:val="en-US" w:eastAsia="en-US"/>
        </w:rPr>
        <w:footnoteReference w:id="306"/>
      </w:r>
    </w:p>
    <w:p w14:paraId="20AC3066" w14:textId="77777777" w:rsidR="00B5625C" w:rsidRPr="00AC57EA" w:rsidRDefault="00B5625C" w:rsidP="00B5625C">
      <w:pPr>
        <w:widowControl/>
        <w:adjustRightInd/>
        <w:spacing w:line="240" w:lineRule="auto"/>
        <w:textAlignment w:val="auto"/>
        <w:rPr>
          <w:sz w:val="20"/>
          <w:szCs w:val="20"/>
          <w:lang w:val="en-US" w:eastAsia="en-US"/>
        </w:rPr>
      </w:pPr>
    </w:p>
    <w:p w14:paraId="08C97EBE" w14:textId="45D99006" w:rsidR="00B5625C" w:rsidRPr="00AC57EA" w:rsidRDefault="007B246B" w:rsidP="00841EAC">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Subsequently, and once the proceedings ha</w:t>
      </w:r>
      <w:r w:rsidR="00D22834">
        <w:rPr>
          <w:sz w:val="20"/>
          <w:szCs w:val="20"/>
          <w:lang w:val="en-US" w:eastAsia="en-US"/>
        </w:rPr>
        <w:t>d</w:t>
      </w:r>
      <w:r w:rsidRPr="00AC57EA">
        <w:rPr>
          <w:sz w:val="20"/>
          <w:szCs w:val="20"/>
          <w:lang w:val="en-US" w:eastAsia="en-US"/>
        </w:rPr>
        <w:t xml:space="preserve"> been discussed sufficiently, by a secret vote based on their firm conviction, </w:t>
      </w:r>
      <w:r w:rsidR="00082458" w:rsidRPr="00AC57EA">
        <w:rPr>
          <w:sz w:val="20"/>
          <w:szCs w:val="20"/>
          <w:lang w:val="en-US" w:eastAsia="en-US"/>
        </w:rPr>
        <w:t xml:space="preserve">the jury </w:t>
      </w:r>
      <w:r w:rsidRPr="00AC57EA">
        <w:rPr>
          <w:sz w:val="20"/>
          <w:szCs w:val="20"/>
          <w:lang w:val="en-US" w:eastAsia="en-US"/>
        </w:rPr>
        <w:t>decide</w:t>
      </w:r>
      <w:r w:rsidR="00D22834">
        <w:rPr>
          <w:sz w:val="20"/>
          <w:szCs w:val="20"/>
          <w:lang w:val="en-US" w:eastAsia="en-US"/>
        </w:rPr>
        <w:t>d</w:t>
      </w:r>
      <w:r w:rsidRPr="00AC57EA">
        <w:rPr>
          <w:sz w:val="20"/>
          <w:szCs w:val="20"/>
          <w:lang w:val="en-US" w:eastAsia="en-US"/>
        </w:rPr>
        <w:t xml:space="preserve"> on the guilt or innocence of the defendant.</w:t>
      </w:r>
      <w:r w:rsidR="00B5625C" w:rsidRPr="00AC57EA">
        <w:rPr>
          <w:sz w:val="20"/>
          <w:szCs w:val="20"/>
          <w:vertAlign w:val="superscript"/>
          <w:lang w:val="en-US" w:eastAsia="en-US"/>
        </w:rPr>
        <w:footnoteReference w:id="307"/>
      </w:r>
      <w:r w:rsidR="00B5625C" w:rsidRPr="00AC57EA">
        <w:rPr>
          <w:sz w:val="20"/>
          <w:szCs w:val="20"/>
          <w:lang w:val="en-US" w:eastAsia="en-US"/>
        </w:rPr>
        <w:t xml:space="preserve"> </w:t>
      </w:r>
      <w:r w:rsidRPr="00AC57EA">
        <w:rPr>
          <w:sz w:val="20"/>
          <w:szCs w:val="20"/>
          <w:lang w:val="en-US" w:eastAsia="en-US"/>
        </w:rPr>
        <w:t>The jury vote</w:t>
      </w:r>
      <w:r w:rsidR="00D22834">
        <w:rPr>
          <w:sz w:val="20"/>
          <w:szCs w:val="20"/>
          <w:lang w:val="en-US" w:eastAsia="en-US"/>
        </w:rPr>
        <w:t>d</w:t>
      </w:r>
      <w:r w:rsidRPr="00AC57EA">
        <w:rPr>
          <w:sz w:val="20"/>
          <w:szCs w:val="20"/>
          <w:lang w:val="en-US" w:eastAsia="en-US"/>
        </w:rPr>
        <w:t xml:space="preserve"> in secret and without interruption until it achieve</w:t>
      </w:r>
      <w:r w:rsidR="00D22834">
        <w:rPr>
          <w:sz w:val="20"/>
          <w:szCs w:val="20"/>
          <w:lang w:val="en-US" w:eastAsia="en-US"/>
        </w:rPr>
        <w:t>d</w:t>
      </w:r>
      <w:r w:rsidRPr="00AC57EA">
        <w:rPr>
          <w:sz w:val="20"/>
          <w:szCs w:val="20"/>
          <w:lang w:val="en-US" w:eastAsia="en-US"/>
        </w:rPr>
        <w:t xml:space="preserve"> a verdict, which require</w:t>
      </w:r>
      <w:r w:rsidR="00D22834">
        <w:rPr>
          <w:sz w:val="20"/>
          <w:szCs w:val="20"/>
          <w:lang w:val="en-US" w:eastAsia="en-US"/>
        </w:rPr>
        <w:t>d</w:t>
      </w:r>
      <w:r w:rsidRPr="00AC57EA">
        <w:rPr>
          <w:sz w:val="20"/>
          <w:szCs w:val="20"/>
          <w:lang w:val="en-US" w:eastAsia="en-US"/>
        </w:rPr>
        <w:t xml:space="preserve"> four similar votes</w:t>
      </w:r>
      <w:r w:rsidR="00082458" w:rsidRPr="00AC57EA">
        <w:rPr>
          <w:sz w:val="20"/>
          <w:szCs w:val="20"/>
          <w:lang w:val="en-US" w:eastAsia="en-US"/>
        </w:rPr>
        <w:t>,</w:t>
      </w:r>
      <w:r w:rsidRPr="00AC57EA">
        <w:rPr>
          <w:sz w:val="20"/>
          <w:szCs w:val="20"/>
          <w:lang w:val="en-US" w:eastAsia="en-US"/>
        </w:rPr>
        <w:t xml:space="preserve"> and a juror who dissent</w:t>
      </w:r>
      <w:r w:rsidR="00D22834">
        <w:rPr>
          <w:sz w:val="20"/>
          <w:szCs w:val="20"/>
          <w:lang w:val="en-US" w:eastAsia="en-US"/>
        </w:rPr>
        <w:t>ed</w:t>
      </w:r>
      <w:r w:rsidRPr="00AC57EA">
        <w:rPr>
          <w:sz w:val="20"/>
          <w:szCs w:val="20"/>
          <w:lang w:val="en-US" w:eastAsia="en-US"/>
        </w:rPr>
        <w:t xml:space="preserve"> </w:t>
      </w:r>
      <w:r w:rsidR="00D22834">
        <w:rPr>
          <w:sz w:val="20"/>
          <w:szCs w:val="20"/>
          <w:lang w:val="en-US" w:eastAsia="en-US"/>
        </w:rPr>
        <w:t>could</w:t>
      </w:r>
      <w:r w:rsidRPr="00AC57EA">
        <w:rPr>
          <w:sz w:val="20"/>
          <w:szCs w:val="20"/>
          <w:lang w:val="en-US" w:eastAsia="en-US"/>
        </w:rPr>
        <w:t xml:space="preserve"> provide the reasons for his vote in a separate document.</w:t>
      </w:r>
      <w:r w:rsidR="00B5625C" w:rsidRPr="00AC57EA">
        <w:rPr>
          <w:sz w:val="20"/>
          <w:szCs w:val="20"/>
          <w:vertAlign w:val="superscript"/>
          <w:lang w:val="en-US" w:eastAsia="en-US"/>
        </w:rPr>
        <w:footnoteReference w:id="308"/>
      </w:r>
    </w:p>
    <w:p w14:paraId="350FEFA7" w14:textId="77777777" w:rsidR="00B5625C" w:rsidRPr="00AC57EA" w:rsidRDefault="00B5625C" w:rsidP="00B5625C">
      <w:pPr>
        <w:widowControl/>
        <w:tabs>
          <w:tab w:val="left" w:pos="284"/>
        </w:tabs>
        <w:adjustRightInd/>
        <w:spacing w:line="240" w:lineRule="auto"/>
        <w:textAlignment w:val="auto"/>
        <w:rPr>
          <w:rFonts w:eastAsia="Calibri"/>
          <w:kern w:val="1"/>
          <w:sz w:val="20"/>
          <w:lang w:val="en-US" w:eastAsia="en-US"/>
        </w:rPr>
      </w:pPr>
    </w:p>
    <w:p w14:paraId="3F69AF16" w14:textId="03CA9ECD" w:rsidR="00B5625C" w:rsidRPr="00AC57EA" w:rsidRDefault="004151E3" w:rsidP="00ED5A21">
      <w:pPr>
        <w:widowControl/>
        <w:numPr>
          <w:ilvl w:val="0"/>
          <w:numId w:val="2"/>
        </w:numPr>
        <w:tabs>
          <w:tab w:val="left" w:pos="567"/>
          <w:tab w:val="num" w:pos="12305"/>
        </w:tabs>
        <w:adjustRightInd/>
        <w:spacing w:line="240" w:lineRule="auto"/>
        <w:ind w:left="0" w:firstLine="0"/>
        <w:textAlignment w:val="auto"/>
        <w:rPr>
          <w:rFonts w:eastAsia="Calibri"/>
          <w:kern w:val="1"/>
          <w:sz w:val="20"/>
          <w:lang w:val="en-US" w:eastAsia="en-US"/>
        </w:rPr>
      </w:pPr>
      <w:r w:rsidRPr="00AC57EA">
        <w:rPr>
          <w:rFonts w:eastAsia="Calibri"/>
          <w:kern w:val="1"/>
          <w:sz w:val="20"/>
          <w:lang w:val="en-US" w:eastAsia="en-US"/>
        </w:rPr>
        <w:t>Article</w:t>
      </w:r>
      <w:r w:rsidR="00B5625C" w:rsidRPr="00AC57EA">
        <w:rPr>
          <w:rFonts w:eastAsia="Calibri"/>
          <w:kern w:val="1"/>
          <w:sz w:val="20"/>
          <w:lang w:val="en-US" w:eastAsia="en-US"/>
        </w:rPr>
        <w:t xml:space="preserve"> 309 </w:t>
      </w:r>
      <w:r w:rsidR="00213DF5" w:rsidRPr="00AC57EA">
        <w:rPr>
          <w:rFonts w:eastAsia="Calibri"/>
          <w:iCs/>
          <w:sz w:val="20"/>
          <w:szCs w:val="20"/>
          <w:lang w:val="en-US" w:eastAsia="en-US"/>
        </w:rPr>
        <w:t>of the</w:t>
      </w:r>
      <w:r w:rsidR="00B5625C" w:rsidRPr="00AC57EA">
        <w:rPr>
          <w:rFonts w:eastAsia="Calibri"/>
          <w:iCs/>
          <w:sz w:val="20"/>
          <w:szCs w:val="20"/>
          <w:lang w:val="en-US" w:eastAsia="en-US"/>
        </w:rPr>
        <w:t xml:space="preserve"> </w:t>
      </w:r>
      <w:r w:rsidR="002A1A7C" w:rsidRPr="00AC57EA">
        <w:rPr>
          <w:rFonts w:eastAsia="Calibri"/>
          <w:iCs/>
          <w:sz w:val="20"/>
          <w:szCs w:val="20"/>
          <w:lang w:val="en-US" w:eastAsia="en-US"/>
        </w:rPr>
        <w:t>Code of Criminal Procedure</w:t>
      </w:r>
      <w:r w:rsidR="00B5625C" w:rsidRPr="00AC57EA">
        <w:rPr>
          <w:rFonts w:eastAsia="Calibri"/>
          <w:kern w:val="1"/>
          <w:sz w:val="20"/>
          <w:lang w:val="en-US" w:eastAsia="en-US"/>
        </w:rPr>
        <w:t xml:space="preserve"> </w:t>
      </w:r>
      <w:r w:rsidR="00ED5A21" w:rsidRPr="00AC57EA">
        <w:rPr>
          <w:rFonts w:eastAsia="Calibri"/>
          <w:kern w:val="1"/>
          <w:sz w:val="20"/>
          <w:lang w:val="en-US" w:eastAsia="en-US"/>
        </w:rPr>
        <w:t>established a formula for drafting the verdict,</w:t>
      </w:r>
      <w:r w:rsidR="00B5625C" w:rsidRPr="00AC57EA">
        <w:rPr>
          <w:rFonts w:eastAsia="Calibri"/>
          <w:kern w:val="1"/>
          <w:sz w:val="20"/>
          <w:vertAlign w:val="superscript"/>
          <w:lang w:val="en-US" w:eastAsia="en-US"/>
        </w:rPr>
        <w:footnoteReference w:id="309"/>
      </w:r>
      <w:r w:rsidR="00ED5A21" w:rsidRPr="00AC57EA">
        <w:rPr>
          <w:rFonts w:eastAsia="Calibri"/>
          <w:kern w:val="1"/>
          <w:sz w:val="20"/>
          <w:lang w:val="en-US" w:eastAsia="en-US"/>
        </w:rPr>
        <w:t xml:space="preserve"> which was handed to the</w:t>
      </w:r>
      <w:r w:rsidR="00B5625C" w:rsidRPr="00AC57EA">
        <w:rPr>
          <w:rFonts w:eastAsia="Calibri"/>
          <w:kern w:val="1"/>
          <w:sz w:val="20"/>
          <w:lang w:val="en-US" w:eastAsia="en-US"/>
        </w:rPr>
        <w:t xml:space="preserve"> </w:t>
      </w:r>
      <w:r w:rsidR="00B7258C" w:rsidRPr="00AC57EA">
        <w:rPr>
          <w:rFonts w:eastAsia="Calibri"/>
          <w:kern w:val="1"/>
          <w:sz w:val="20"/>
          <w:lang w:val="en-US" w:eastAsia="en-US"/>
        </w:rPr>
        <w:t>judge</w:t>
      </w:r>
      <w:r w:rsidR="00ED5A21" w:rsidRPr="00AC57EA">
        <w:rPr>
          <w:rFonts w:eastAsia="Calibri"/>
          <w:kern w:val="1"/>
          <w:sz w:val="20"/>
          <w:lang w:val="en-US" w:eastAsia="en-US"/>
        </w:rPr>
        <w:t>.</w:t>
      </w:r>
      <w:r w:rsidR="00B5625C" w:rsidRPr="00AC57EA">
        <w:rPr>
          <w:sz w:val="20"/>
          <w:szCs w:val="20"/>
          <w:vertAlign w:val="superscript"/>
          <w:lang w:val="en-US" w:eastAsia="en-US"/>
        </w:rPr>
        <w:footnoteReference w:id="310"/>
      </w:r>
      <w:r w:rsidR="00B5625C" w:rsidRPr="00AC57EA">
        <w:rPr>
          <w:rFonts w:eastAsia="Calibri"/>
          <w:kern w:val="1"/>
          <w:sz w:val="20"/>
          <w:lang w:val="en-US" w:eastAsia="en-US"/>
        </w:rPr>
        <w:t xml:space="preserve"> </w:t>
      </w:r>
      <w:r w:rsidR="00ED5A21" w:rsidRPr="00AC57EA">
        <w:rPr>
          <w:rFonts w:eastAsia="Calibri"/>
          <w:kern w:val="1"/>
          <w:sz w:val="20"/>
          <w:lang w:val="en-US" w:eastAsia="en-US"/>
        </w:rPr>
        <w:t>When the judge had received the jury’s verdict, if it was an acquittal, he release the accused immediately.</w:t>
      </w:r>
      <w:r w:rsidR="00ED5A21" w:rsidRPr="00AC57EA">
        <w:rPr>
          <w:sz w:val="20"/>
          <w:szCs w:val="20"/>
          <w:vertAlign w:val="superscript"/>
          <w:lang w:val="en-US" w:eastAsia="en-US"/>
        </w:rPr>
        <w:footnoteReference w:id="311"/>
      </w:r>
      <w:r w:rsidR="00ED5A21" w:rsidRPr="00AC57EA">
        <w:rPr>
          <w:rFonts w:eastAsia="Calibri"/>
          <w:kern w:val="1"/>
          <w:sz w:val="20"/>
          <w:lang w:val="en-US" w:eastAsia="en-US"/>
        </w:rPr>
        <w:t xml:space="preserve"> To the contrary, “[i]f it [was] a guilty verdict, eight days after it was issued, the judge deliver[ed] a sentence under his responsibility, whether or not he [was] a lawyer, applying to the </w:t>
      </w:r>
      <w:r w:rsidR="00082458" w:rsidRPr="00AC57EA">
        <w:rPr>
          <w:rFonts w:eastAsia="Calibri"/>
          <w:kern w:val="1"/>
          <w:sz w:val="20"/>
          <w:lang w:val="en-US" w:eastAsia="en-US"/>
        </w:rPr>
        <w:t xml:space="preserve">culprit </w:t>
      </w:r>
      <w:r w:rsidR="00ED5A21" w:rsidRPr="00AC57EA">
        <w:rPr>
          <w:rFonts w:eastAsia="Calibri"/>
          <w:kern w:val="1"/>
          <w:sz w:val="20"/>
          <w:lang w:val="en-US" w:eastAsia="en-US"/>
        </w:rPr>
        <w:t xml:space="preserve">or </w:t>
      </w:r>
      <w:r w:rsidR="00082458" w:rsidRPr="00AC57EA">
        <w:rPr>
          <w:rFonts w:eastAsia="Calibri"/>
          <w:kern w:val="1"/>
          <w:sz w:val="20"/>
          <w:lang w:val="en-US" w:eastAsia="en-US"/>
        </w:rPr>
        <w:t>culprits</w:t>
      </w:r>
      <w:r w:rsidR="00ED5A21" w:rsidRPr="00AC57EA">
        <w:rPr>
          <w:rFonts w:eastAsia="Calibri"/>
          <w:kern w:val="1"/>
          <w:sz w:val="20"/>
          <w:lang w:val="en-US" w:eastAsia="en-US"/>
        </w:rPr>
        <w:t xml:space="preserve"> the punishment established by law; and if this should be graduated, at the corresponding level and in the appropriate terms, according to the circumstances of the offense.</w:t>
      </w:r>
      <w:r w:rsidR="00B5625C" w:rsidRPr="00AC57EA">
        <w:rPr>
          <w:rFonts w:eastAsia="Calibri"/>
          <w:kern w:val="1"/>
          <w:sz w:val="20"/>
          <w:lang w:val="en-US" w:eastAsia="en-US"/>
        </w:rPr>
        <w:t>”</w:t>
      </w:r>
      <w:r w:rsidR="00B5625C" w:rsidRPr="00AC57EA">
        <w:rPr>
          <w:sz w:val="20"/>
          <w:szCs w:val="20"/>
          <w:vertAlign w:val="superscript"/>
          <w:lang w:val="en-US" w:eastAsia="en-US"/>
        </w:rPr>
        <w:footnoteReference w:id="312"/>
      </w:r>
      <w:r w:rsidR="00ED5A21" w:rsidRPr="00AC57EA">
        <w:rPr>
          <w:rFonts w:eastAsia="Calibri"/>
          <w:kern w:val="1"/>
          <w:sz w:val="20"/>
          <w:lang w:val="en-US" w:eastAsia="en-US"/>
        </w:rPr>
        <w:t xml:space="preserve"> Subsequently, the judge referred the case file of any sentences that were appealed to</w:t>
      </w:r>
      <w:r w:rsidR="00B5625C" w:rsidRPr="00AC57EA">
        <w:rPr>
          <w:rFonts w:eastAsia="Calibri"/>
          <w:kern w:val="1"/>
          <w:sz w:val="20"/>
          <w:lang w:val="en-US" w:eastAsia="en-US"/>
        </w:rPr>
        <w:t xml:space="preserve"> </w:t>
      </w:r>
      <w:r w:rsidR="00B7258C" w:rsidRPr="00AC57EA">
        <w:rPr>
          <w:rFonts w:eastAsia="Calibri"/>
          <w:kern w:val="1"/>
          <w:sz w:val="20"/>
          <w:lang w:val="en-US" w:eastAsia="en-US"/>
        </w:rPr>
        <w:t>the</w:t>
      </w:r>
      <w:r w:rsidR="00ED5A21" w:rsidRPr="00AC57EA">
        <w:rPr>
          <w:rFonts w:eastAsia="Calibri"/>
          <w:kern w:val="1"/>
          <w:sz w:val="20"/>
          <w:lang w:val="en-US" w:eastAsia="en-US"/>
        </w:rPr>
        <w:t xml:space="preserve"> respective</w:t>
      </w:r>
      <w:r w:rsidR="00B7258C" w:rsidRPr="00AC57EA">
        <w:rPr>
          <w:rFonts w:eastAsia="Calibri"/>
          <w:kern w:val="1"/>
          <w:sz w:val="20"/>
          <w:lang w:val="en-US" w:eastAsia="en-US"/>
        </w:rPr>
        <w:t xml:space="preserve"> </w:t>
      </w:r>
      <w:r w:rsidR="00187988" w:rsidRPr="00AC57EA">
        <w:rPr>
          <w:rFonts w:eastAsia="Calibri"/>
          <w:kern w:val="1"/>
          <w:sz w:val="20"/>
          <w:lang w:val="en-US" w:eastAsia="en-US"/>
        </w:rPr>
        <w:t>Appellate Court</w:t>
      </w:r>
      <w:r w:rsidR="00B5625C" w:rsidRPr="00AC57EA">
        <w:rPr>
          <w:rFonts w:eastAsia="Calibri"/>
          <w:kern w:val="1"/>
          <w:sz w:val="20"/>
          <w:lang w:val="en-US" w:eastAsia="en-US"/>
        </w:rPr>
        <w:t xml:space="preserve">, </w:t>
      </w:r>
      <w:r w:rsidR="00ED5A21" w:rsidRPr="00AC57EA">
        <w:rPr>
          <w:rFonts w:eastAsia="Calibri"/>
          <w:kern w:val="1"/>
          <w:sz w:val="20"/>
          <w:lang w:val="en-US" w:eastAsia="en-US"/>
        </w:rPr>
        <w:t>within three days of notification of the judgment. The same referral was required if the verdict was an acquittal.</w:t>
      </w:r>
      <w:r w:rsidR="00B5625C" w:rsidRPr="00AC57EA">
        <w:rPr>
          <w:sz w:val="20"/>
          <w:szCs w:val="20"/>
          <w:vertAlign w:val="superscript"/>
          <w:lang w:val="en-US" w:eastAsia="en-US"/>
        </w:rPr>
        <w:footnoteReference w:id="313"/>
      </w:r>
    </w:p>
    <w:p w14:paraId="710AD12C" w14:textId="77777777" w:rsidR="00B5625C" w:rsidRPr="00AC57EA" w:rsidRDefault="00B5625C" w:rsidP="00B5625C">
      <w:pPr>
        <w:widowControl/>
        <w:tabs>
          <w:tab w:val="left" w:pos="284"/>
        </w:tabs>
        <w:adjustRightInd/>
        <w:spacing w:line="240" w:lineRule="auto"/>
        <w:textAlignment w:val="auto"/>
        <w:rPr>
          <w:rFonts w:eastAsia="Calibri"/>
          <w:kern w:val="1"/>
          <w:sz w:val="20"/>
          <w:lang w:val="en-US" w:eastAsia="en-US"/>
        </w:rPr>
      </w:pPr>
    </w:p>
    <w:p w14:paraId="4707870F" w14:textId="2708179A" w:rsidR="00B5625C" w:rsidRPr="00AC57EA" w:rsidRDefault="00ED5A21" w:rsidP="00841EAC">
      <w:pPr>
        <w:widowControl/>
        <w:numPr>
          <w:ilvl w:val="0"/>
          <w:numId w:val="2"/>
        </w:numPr>
        <w:tabs>
          <w:tab w:val="left" w:pos="567"/>
          <w:tab w:val="num" w:pos="12305"/>
        </w:tabs>
        <w:adjustRightInd/>
        <w:spacing w:line="240" w:lineRule="auto"/>
        <w:ind w:left="0" w:firstLine="0"/>
        <w:textAlignment w:val="auto"/>
        <w:rPr>
          <w:rFonts w:eastAsia="Calibri"/>
          <w:kern w:val="1"/>
          <w:sz w:val="20"/>
          <w:lang w:val="en-US" w:eastAsia="en-US"/>
        </w:rPr>
      </w:pPr>
      <w:r w:rsidRPr="00AC57EA">
        <w:rPr>
          <w:rFonts w:eastAsia="Calibri"/>
          <w:kern w:val="1"/>
          <w:sz w:val="20"/>
          <w:lang w:val="en-US" w:eastAsia="en-US"/>
        </w:rPr>
        <w:t xml:space="preserve">The Code established </w:t>
      </w:r>
      <w:r w:rsidR="009E3A6F" w:rsidRPr="00AC57EA">
        <w:rPr>
          <w:rFonts w:eastAsia="Calibri"/>
          <w:kern w:val="1"/>
          <w:sz w:val="20"/>
          <w:lang w:val="en-US" w:eastAsia="en-US"/>
        </w:rPr>
        <w:t xml:space="preserve">the following as grounds for substantial </w:t>
      </w:r>
      <w:r w:rsidR="00B93019" w:rsidRPr="00AC57EA">
        <w:rPr>
          <w:rFonts w:eastAsia="Calibri"/>
          <w:kern w:val="1"/>
          <w:sz w:val="20"/>
          <w:lang w:val="en-US" w:eastAsia="en-US"/>
        </w:rPr>
        <w:t>nullities</w:t>
      </w:r>
      <w:r w:rsidR="009E3A6F" w:rsidRPr="00AC57EA">
        <w:rPr>
          <w:rFonts w:eastAsia="Calibri"/>
          <w:kern w:val="1"/>
          <w:sz w:val="20"/>
          <w:lang w:val="en-US" w:eastAsia="en-US"/>
        </w:rPr>
        <w:t xml:space="preserve">, specific to </w:t>
      </w:r>
      <w:r w:rsidR="00074A72" w:rsidRPr="00AC57EA">
        <w:rPr>
          <w:rFonts w:eastAsia="Calibri"/>
          <w:kern w:val="1"/>
          <w:sz w:val="20"/>
          <w:lang w:val="en-US" w:eastAsia="en-US"/>
        </w:rPr>
        <w:t>a</w:t>
      </w:r>
      <w:r w:rsidR="009E3A6F" w:rsidRPr="00AC57EA">
        <w:rPr>
          <w:rFonts w:eastAsia="Calibri"/>
          <w:kern w:val="1"/>
          <w:sz w:val="20"/>
          <w:lang w:val="en-US" w:eastAsia="en-US"/>
        </w:rPr>
        <w:t xml:space="preserve"> </w:t>
      </w:r>
      <w:r w:rsidR="00074A72" w:rsidRPr="00AC57EA">
        <w:rPr>
          <w:rFonts w:eastAsia="Calibri"/>
          <w:kern w:val="1"/>
          <w:sz w:val="20"/>
          <w:lang w:val="en-US" w:eastAsia="en-US"/>
        </w:rPr>
        <w:t xml:space="preserve">jury </w:t>
      </w:r>
      <w:r w:rsidR="009E3A6F" w:rsidRPr="00AC57EA">
        <w:rPr>
          <w:rFonts w:eastAsia="Calibri"/>
          <w:kern w:val="1"/>
          <w:sz w:val="20"/>
          <w:lang w:val="en-US" w:eastAsia="en-US"/>
        </w:rPr>
        <w:t>verdict or declaration:</w:t>
      </w:r>
      <w:r w:rsidR="00B5625C" w:rsidRPr="00AC57EA">
        <w:rPr>
          <w:sz w:val="20"/>
          <w:szCs w:val="20"/>
          <w:vertAlign w:val="superscript"/>
          <w:lang w:val="en-US" w:eastAsia="en-US"/>
        </w:rPr>
        <w:footnoteReference w:id="314"/>
      </w:r>
    </w:p>
    <w:p w14:paraId="06D530E1" w14:textId="77777777" w:rsidR="00B5625C" w:rsidRPr="00AC57EA" w:rsidRDefault="00B5625C" w:rsidP="00B5625C">
      <w:pPr>
        <w:widowControl/>
        <w:tabs>
          <w:tab w:val="left" w:pos="284"/>
        </w:tabs>
        <w:adjustRightInd/>
        <w:spacing w:line="240" w:lineRule="auto"/>
        <w:textAlignment w:val="auto"/>
        <w:rPr>
          <w:rFonts w:eastAsia="Calibri"/>
          <w:kern w:val="1"/>
          <w:sz w:val="20"/>
          <w:lang w:val="en-US" w:eastAsia="en-US"/>
        </w:rPr>
      </w:pPr>
    </w:p>
    <w:p w14:paraId="3BC0E6D4" w14:textId="41BA52A6"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1a. </w:t>
      </w:r>
      <w:r w:rsidR="000E6159" w:rsidRPr="00AC57EA">
        <w:rPr>
          <w:rFonts w:eastAsia="Calibri"/>
          <w:kern w:val="1"/>
          <w:sz w:val="16"/>
          <w:szCs w:val="16"/>
          <w:lang w:val="en-US" w:eastAsia="en-US"/>
        </w:rPr>
        <w:t>If the matter is not one on which</w:t>
      </w:r>
      <w:r w:rsidR="00074A72" w:rsidRPr="00AC57EA">
        <w:rPr>
          <w:rFonts w:eastAsia="Calibri"/>
          <w:kern w:val="1"/>
          <w:sz w:val="16"/>
          <w:szCs w:val="16"/>
          <w:lang w:val="en-US" w:eastAsia="en-US"/>
        </w:rPr>
        <w:t xml:space="preserve"> </w:t>
      </w:r>
      <w:r w:rsidR="000E6159" w:rsidRPr="00AC57EA">
        <w:rPr>
          <w:rFonts w:eastAsia="Calibri"/>
          <w:kern w:val="1"/>
          <w:sz w:val="16"/>
          <w:szCs w:val="16"/>
          <w:lang w:val="en-US" w:eastAsia="en-US"/>
        </w:rPr>
        <w:t xml:space="preserve">a jury </w:t>
      </w:r>
      <w:r w:rsidR="00074A72" w:rsidRPr="00AC57EA">
        <w:rPr>
          <w:rFonts w:eastAsia="Calibri"/>
          <w:kern w:val="1"/>
          <w:sz w:val="16"/>
          <w:szCs w:val="16"/>
          <w:lang w:val="en-US" w:eastAsia="en-US"/>
        </w:rPr>
        <w:t>must intervene.</w:t>
      </w:r>
    </w:p>
    <w:p w14:paraId="72642A9B" w14:textId="4D45762F"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2a. </w:t>
      </w:r>
      <w:r w:rsidR="00074A72" w:rsidRPr="00AC57EA">
        <w:rPr>
          <w:rFonts w:eastAsia="Calibri"/>
          <w:kern w:val="1"/>
          <w:sz w:val="16"/>
          <w:szCs w:val="16"/>
          <w:lang w:val="en-US" w:eastAsia="en-US"/>
        </w:rPr>
        <w:t>If a</w:t>
      </w:r>
      <w:r w:rsidR="009E3A6F" w:rsidRPr="00AC57EA">
        <w:rPr>
          <w:rFonts w:eastAsia="Calibri"/>
          <w:kern w:val="1"/>
          <w:sz w:val="16"/>
          <w:szCs w:val="16"/>
          <w:lang w:val="en-US" w:eastAsia="en-US"/>
        </w:rPr>
        <w:t xml:space="preserve"> summons </w:t>
      </w:r>
      <w:r w:rsidR="00074A72" w:rsidRPr="00AC57EA">
        <w:rPr>
          <w:rFonts w:eastAsia="Calibri"/>
          <w:kern w:val="1"/>
          <w:sz w:val="16"/>
          <w:szCs w:val="16"/>
          <w:lang w:val="en-US" w:eastAsia="en-US"/>
        </w:rPr>
        <w:t xml:space="preserve">is not issued </w:t>
      </w:r>
      <w:r w:rsidR="009E3A6F" w:rsidRPr="00AC57EA">
        <w:rPr>
          <w:rFonts w:eastAsia="Calibri"/>
          <w:kern w:val="1"/>
          <w:sz w:val="16"/>
          <w:szCs w:val="16"/>
          <w:lang w:val="en-US" w:eastAsia="en-US"/>
        </w:rPr>
        <w:t xml:space="preserve">for the random selection of </w:t>
      </w:r>
      <w:r w:rsidR="000E6159" w:rsidRPr="00AC57EA">
        <w:rPr>
          <w:rFonts w:eastAsia="Calibri"/>
          <w:kern w:val="1"/>
          <w:sz w:val="16"/>
          <w:szCs w:val="16"/>
          <w:lang w:val="en-US" w:eastAsia="en-US"/>
        </w:rPr>
        <w:t>the members of</w:t>
      </w:r>
      <w:r w:rsidRPr="00AC57EA">
        <w:rPr>
          <w:rFonts w:eastAsia="Calibri"/>
          <w:kern w:val="1"/>
          <w:sz w:val="16"/>
          <w:szCs w:val="16"/>
          <w:lang w:val="en-US" w:eastAsia="en-US"/>
        </w:rPr>
        <w:t xml:space="preserve"> </w:t>
      </w:r>
      <w:r w:rsidR="00823E77" w:rsidRPr="00AC57EA">
        <w:rPr>
          <w:rFonts w:eastAsia="Calibri"/>
          <w:kern w:val="1"/>
          <w:sz w:val="16"/>
          <w:szCs w:val="16"/>
          <w:lang w:val="en-US" w:eastAsia="en-US"/>
        </w:rPr>
        <w:t>the Jury Court</w:t>
      </w:r>
      <w:r w:rsidRPr="00AC57EA">
        <w:rPr>
          <w:rFonts w:eastAsia="Calibri"/>
          <w:kern w:val="1"/>
          <w:sz w:val="16"/>
          <w:szCs w:val="16"/>
          <w:lang w:val="en-US" w:eastAsia="en-US"/>
        </w:rPr>
        <w:t>.</w:t>
      </w:r>
    </w:p>
    <w:p w14:paraId="07C3631D" w14:textId="4720F3F2"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3a. </w:t>
      </w:r>
      <w:r w:rsidR="009E3A6F" w:rsidRPr="00AC57EA">
        <w:rPr>
          <w:rFonts w:eastAsia="Calibri"/>
          <w:kern w:val="1"/>
          <w:sz w:val="16"/>
          <w:szCs w:val="16"/>
          <w:lang w:val="en-US" w:eastAsia="en-US"/>
        </w:rPr>
        <w:t xml:space="preserve">If the </w:t>
      </w:r>
      <w:r w:rsidR="002A01B7" w:rsidRPr="00AC57EA">
        <w:rPr>
          <w:rFonts w:eastAsia="Calibri"/>
          <w:kern w:val="1"/>
          <w:sz w:val="16"/>
          <w:szCs w:val="16"/>
          <w:lang w:val="en-US" w:eastAsia="en-US"/>
        </w:rPr>
        <w:t>veto</w:t>
      </w:r>
      <w:r w:rsidR="009E3A6F" w:rsidRPr="00AC57EA">
        <w:rPr>
          <w:rFonts w:eastAsia="Calibri"/>
          <w:kern w:val="1"/>
          <w:sz w:val="16"/>
          <w:szCs w:val="16"/>
          <w:lang w:val="en-US" w:eastAsia="en-US"/>
        </w:rPr>
        <w:t xml:space="preserve"> of the jurors has not been admitted in the cases in which the law permits </w:t>
      </w:r>
      <w:r w:rsidR="00F34A14" w:rsidRPr="00AC57EA">
        <w:rPr>
          <w:rFonts w:eastAsia="Calibri"/>
          <w:kern w:val="1"/>
          <w:sz w:val="16"/>
          <w:szCs w:val="16"/>
          <w:lang w:val="en-US" w:eastAsia="en-US"/>
        </w:rPr>
        <w:t>vetoes.</w:t>
      </w:r>
    </w:p>
    <w:p w14:paraId="6DBE0B1A" w14:textId="6C0E08F2"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4a. </w:t>
      </w:r>
      <w:r w:rsidR="009E3A6F" w:rsidRPr="00AC57EA">
        <w:rPr>
          <w:rFonts w:eastAsia="Calibri"/>
          <w:kern w:val="1"/>
          <w:sz w:val="16"/>
          <w:szCs w:val="16"/>
          <w:lang w:val="en-US" w:eastAsia="en-US"/>
        </w:rPr>
        <w:t>If the jurors fail to take the oath established by this law.</w:t>
      </w:r>
    </w:p>
    <w:p w14:paraId="2EBCCDCC" w14:textId="2C8B10D0"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5a. </w:t>
      </w:r>
      <w:r w:rsidR="009E3A6F" w:rsidRPr="00AC57EA">
        <w:rPr>
          <w:rFonts w:eastAsia="Calibri"/>
          <w:kern w:val="1"/>
          <w:sz w:val="16"/>
          <w:szCs w:val="16"/>
          <w:lang w:val="en-US" w:eastAsia="en-US"/>
        </w:rPr>
        <w:t>If the verdict or declaration is not written or signed in the terms established by law</w:t>
      </w:r>
      <w:r w:rsidRPr="00AC57EA">
        <w:rPr>
          <w:rFonts w:eastAsia="Calibri"/>
          <w:kern w:val="1"/>
          <w:sz w:val="16"/>
          <w:szCs w:val="16"/>
          <w:lang w:val="en-US" w:eastAsia="en-US"/>
        </w:rPr>
        <w:t>.</w:t>
      </w:r>
    </w:p>
    <w:p w14:paraId="1C2FCD93" w14:textId="2AF981F3"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6a. </w:t>
      </w:r>
      <w:r w:rsidR="009E3A6F" w:rsidRPr="00AC57EA">
        <w:rPr>
          <w:rFonts w:eastAsia="Calibri"/>
          <w:kern w:val="1"/>
          <w:sz w:val="16"/>
          <w:szCs w:val="16"/>
          <w:lang w:val="en-US" w:eastAsia="en-US"/>
        </w:rPr>
        <w:t>If a person who has not been randomly selected forms part of the jury in the case</w:t>
      </w:r>
      <w:r w:rsidR="000E6159" w:rsidRPr="00AC57EA">
        <w:rPr>
          <w:rFonts w:eastAsia="Calibri"/>
          <w:kern w:val="1"/>
          <w:sz w:val="16"/>
          <w:szCs w:val="16"/>
          <w:lang w:val="en-US" w:eastAsia="en-US"/>
        </w:rPr>
        <w:t>;</w:t>
      </w:r>
      <w:r w:rsidR="009E3A6F" w:rsidRPr="00AC57EA">
        <w:rPr>
          <w:rFonts w:eastAsia="Calibri"/>
          <w:kern w:val="1"/>
          <w:sz w:val="16"/>
          <w:szCs w:val="16"/>
          <w:lang w:val="en-US" w:eastAsia="en-US"/>
        </w:rPr>
        <w:t xml:space="preserve"> even if they are on the list of jurors drawn </w:t>
      </w:r>
      <w:r w:rsidR="000E6159" w:rsidRPr="00AC57EA">
        <w:rPr>
          <w:rFonts w:eastAsia="Calibri"/>
          <w:kern w:val="1"/>
          <w:sz w:val="16"/>
          <w:szCs w:val="16"/>
          <w:lang w:val="en-US" w:eastAsia="en-US"/>
        </w:rPr>
        <w:t xml:space="preserve">up </w:t>
      </w:r>
      <w:r w:rsidR="009E3A6F" w:rsidRPr="00AC57EA">
        <w:rPr>
          <w:rFonts w:eastAsia="Calibri"/>
          <w:kern w:val="1"/>
          <w:sz w:val="16"/>
          <w:szCs w:val="16"/>
          <w:lang w:val="en-US" w:eastAsia="en-US"/>
        </w:rPr>
        <w:t>by the municipality.</w:t>
      </w:r>
    </w:p>
    <w:p w14:paraId="70EE384C" w14:textId="68ADF91C"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7a. </w:t>
      </w:r>
      <w:r w:rsidR="009E3A6F" w:rsidRPr="00AC57EA">
        <w:rPr>
          <w:rFonts w:eastAsia="Calibri"/>
          <w:kern w:val="1"/>
          <w:sz w:val="16"/>
          <w:szCs w:val="16"/>
          <w:lang w:val="en-US" w:eastAsia="en-US"/>
        </w:rPr>
        <w:t>If it is proved that the judge cheated when randomly selecting jury members.</w:t>
      </w:r>
    </w:p>
    <w:p w14:paraId="7DF2A8C7" w14:textId="3315ABFA"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8a. </w:t>
      </w:r>
      <w:r w:rsidR="009E3A6F" w:rsidRPr="00AC57EA">
        <w:rPr>
          <w:rFonts w:eastAsia="Calibri"/>
          <w:kern w:val="1"/>
          <w:sz w:val="16"/>
          <w:szCs w:val="16"/>
          <w:lang w:val="en-US" w:eastAsia="en-US"/>
        </w:rPr>
        <w:t>If the jurors have been bribed.</w:t>
      </w:r>
    </w:p>
    <w:p w14:paraId="6141CD28" w14:textId="794E68C0"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9a. </w:t>
      </w:r>
      <w:r w:rsidR="009E3A6F" w:rsidRPr="00AC57EA">
        <w:rPr>
          <w:rFonts w:eastAsia="Calibri"/>
          <w:kern w:val="1"/>
          <w:sz w:val="16"/>
          <w:szCs w:val="16"/>
          <w:lang w:val="en-US" w:eastAsia="en-US"/>
        </w:rPr>
        <w:t xml:space="preserve">If </w:t>
      </w:r>
      <w:r w:rsidR="00823E77" w:rsidRPr="00AC57EA">
        <w:rPr>
          <w:rFonts w:eastAsia="Calibri"/>
          <w:kern w:val="1"/>
          <w:sz w:val="16"/>
          <w:szCs w:val="16"/>
          <w:lang w:val="en-US" w:eastAsia="en-US"/>
        </w:rPr>
        <w:t>the Jury Court</w:t>
      </w:r>
      <w:r w:rsidRPr="00AC57EA">
        <w:rPr>
          <w:rFonts w:eastAsia="Calibri"/>
          <w:kern w:val="1"/>
          <w:sz w:val="16"/>
          <w:szCs w:val="16"/>
          <w:lang w:val="en-US" w:eastAsia="en-US"/>
        </w:rPr>
        <w:t xml:space="preserve"> </w:t>
      </w:r>
      <w:r w:rsidR="009E3A6F" w:rsidRPr="00AC57EA">
        <w:rPr>
          <w:rFonts w:eastAsia="Calibri"/>
          <w:kern w:val="1"/>
          <w:sz w:val="16"/>
          <w:szCs w:val="16"/>
          <w:lang w:val="en-US" w:eastAsia="en-US"/>
        </w:rPr>
        <w:t>has been constituted with a greater or lesser number of members than established by this law.</w:t>
      </w:r>
    </w:p>
    <w:p w14:paraId="346862E8" w14:textId="2FE2F227"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10a. </w:t>
      </w:r>
      <w:r w:rsidR="00ED0921" w:rsidRPr="00AC57EA">
        <w:rPr>
          <w:rFonts w:eastAsia="Calibri"/>
          <w:kern w:val="1"/>
          <w:sz w:val="16"/>
          <w:szCs w:val="16"/>
          <w:lang w:val="en-US" w:eastAsia="en-US"/>
        </w:rPr>
        <w:t>If a person alien to the proceedings has attended the secret deliberations of the jury.</w:t>
      </w:r>
    </w:p>
    <w:p w14:paraId="23A71CEC" w14:textId="298298E0"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11 a. </w:t>
      </w:r>
      <w:r w:rsidR="00ED0921" w:rsidRPr="00AC57EA">
        <w:rPr>
          <w:rFonts w:eastAsia="Calibri"/>
          <w:kern w:val="1"/>
          <w:sz w:val="16"/>
          <w:szCs w:val="16"/>
          <w:lang w:val="en-US" w:eastAsia="en-US"/>
        </w:rPr>
        <w:t>If more than eight hours passes between the random selection of the jurors and the public hearing.</w:t>
      </w:r>
    </w:p>
    <w:p w14:paraId="5D0D5DE1" w14:textId="775645E2"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12a. </w:t>
      </w:r>
      <w:r w:rsidR="00074A72" w:rsidRPr="00AC57EA">
        <w:rPr>
          <w:rFonts w:eastAsia="Calibri"/>
          <w:kern w:val="1"/>
          <w:sz w:val="16"/>
          <w:szCs w:val="16"/>
          <w:lang w:val="en-US" w:eastAsia="en-US"/>
        </w:rPr>
        <w:t xml:space="preserve">If one or more jurors cast their vote </w:t>
      </w:r>
      <w:r w:rsidR="00DB6E2E" w:rsidRPr="00AC57EA">
        <w:rPr>
          <w:rFonts w:eastAsia="Calibri"/>
          <w:kern w:val="1"/>
          <w:sz w:val="16"/>
          <w:szCs w:val="16"/>
          <w:lang w:val="en-US" w:eastAsia="en-US"/>
        </w:rPr>
        <w:t>depending on chance.</w:t>
      </w:r>
    </w:p>
    <w:p w14:paraId="64D759E7" w14:textId="2CDE6039" w:rsidR="00B5625C" w:rsidRPr="00AC57EA" w:rsidRDefault="00B5625C" w:rsidP="00B93019">
      <w:pPr>
        <w:widowControl/>
        <w:tabs>
          <w:tab w:val="left" w:pos="567"/>
        </w:tabs>
        <w:adjustRightInd/>
        <w:spacing w:line="240" w:lineRule="auto"/>
        <w:ind w:left="567" w:right="720"/>
        <w:textAlignment w:val="auto"/>
        <w:rPr>
          <w:rFonts w:eastAsia="Calibri"/>
          <w:kern w:val="1"/>
          <w:sz w:val="16"/>
          <w:szCs w:val="16"/>
          <w:lang w:val="en-US" w:eastAsia="en-US"/>
        </w:rPr>
      </w:pPr>
      <w:r w:rsidRPr="00AC57EA">
        <w:rPr>
          <w:rFonts w:eastAsia="Calibri"/>
          <w:kern w:val="1"/>
          <w:sz w:val="16"/>
          <w:szCs w:val="16"/>
          <w:lang w:val="en-US" w:eastAsia="en-US"/>
        </w:rPr>
        <w:t xml:space="preserve">13a. </w:t>
      </w:r>
      <w:r w:rsidR="00074A72" w:rsidRPr="00AC57EA">
        <w:rPr>
          <w:rFonts w:eastAsia="Calibri"/>
          <w:kern w:val="1"/>
          <w:sz w:val="16"/>
          <w:szCs w:val="16"/>
          <w:lang w:val="en-US" w:eastAsia="en-US"/>
        </w:rPr>
        <w:t xml:space="preserve">If any person included in art. 16 of the Jurors’ Law (art. 56, </w:t>
      </w:r>
      <w:r w:rsidR="00130410" w:rsidRPr="00AC57EA">
        <w:rPr>
          <w:rFonts w:eastAsia="Calibri"/>
          <w:kern w:val="1"/>
          <w:sz w:val="16"/>
          <w:szCs w:val="16"/>
          <w:lang w:val="en-US" w:eastAsia="en-US"/>
        </w:rPr>
        <w:t xml:space="preserve">Jurors’ </w:t>
      </w:r>
      <w:r w:rsidR="00074A72" w:rsidRPr="00AC57EA">
        <w:rPr>
          <w:rFonts w:eastAsia="Calibri"/>
          <w:kern w:val="1"/>
          <w:sz w:val="16"/>
          <w:szCs w:val="16"/>
          <w:lang w:val="en-US" w:eastAsia="en-US"/>
        </w:rPr>
        <w:t>Law</w:t>
      </w:r>
      <w:r w:rsidR="00130410" w:rsidRPr="00AC57EA">
        <w:rPr>
          <w:rFonts w:eastAsia="Calibri"/>
          <w:kern w:val="1"/>
          <w:sz w:val="16"/>
          <w:szCs w:val="16"/>
          <w:lang w:val="en-US" w:eastAsia="en-US"/>
        </w:rPr>
        <w:t>,</w:t>
      </w:r>
      <w:r w:rsidR="00074A72" w:rsidRPr="00AC57EA">
        <w:rPr>
          <w:rFonts w:eastAsia="Calibri"/>
          <w:kern w:val="1"/>
          <w:sz w:val="16"/>
          <w:szCs w:val="16"/>
          <w:lang w:val="en-US" w:eastAsia="en-US"/>
        </w:rPr>
        <w:t xml:space="preserve"> September</w:t>
      </w:r>
      <w:r w:rsidR="00130410" w:rsidRPr="00AC57EA">
        <w:rPr>
          <w:rFonts w:eastAsia="Calibri"/>
          <w:kern w:val="1"/>
          <w:sz w:val="16"/>
          <w:szCs w:val="16"/>
          <w:lang w:val="en-US" w:eastAsia="en-US"/>
        </w:rPr>
        <w:t xml:space="preserve"> 21,</w:t>
      </w:r>
      <w:r w:rsidR="00074A72" w:rsidRPr="00AC57EA">
        <w:rPr>
          <w:rFonts w:eastAsia="Calibri"/>
          <w:kern w:val="1"/>
          <w:sz w:val="16"/>
          <w:szCs w:val="16"/>
          <w:lang w:val="en-US" w:eastAsia="en-US"/>
        </w:rPr>
        <w:t xml:space="preserve"> 1897) is a member of the Court.</w:t>
      </w:r>
    </w:p>
    <w:p w14:paraId="34A0D29A" w14:textId="421E9D54" w:rsidR="00B5625C" w:rsidRPr="00AC57EA" w:rsidRDefault="00B5625C" w:rsidP="00B93019">
      <w:pPr>
        <w:widowControl/>
        <w:tabs>
          <w:tab w:val="left" w:pos="284"/>
        </w:tabs>
        <w:adjustRightInd/>
        <w:spacing w:line="240" w:lineRule="auto"/>
        <w:ind w:right="540"/>
        <w:textAlignment w:val="auto"/>
        <w:rPr>
          <w:rFonts w:eastAsia="Calibri"/>
          <w:kern w:val="1"/>
          <w:sz w:val="20"/>
          <w:lang w:val="en-US" w:eastAsia="en-US"/>
        </w:rPr>
      </w:pPr>
    </w:p>
    <w:p w14:paraId="18BC3610" w14:textId="6569A1A3" w:rsidR="00B5625C" w:rsidRPr="00AC57EA" w:rsidRDefault="00B93019" w:rsidP="00B93019">
      <w:pPr>
        <w:widowControl/>
        <w:numPr>
          <w:ilvl w:val="0"/>
          <w:numId w:val="2"/>
        </w:numPr>
        <w:tabs>
          <w:tab w:val="left" w:pos="567"/>
          <w:tab w:val="num" w:pos="12305"/>
        </w:tabs>
        <w:adjustRightInd/>
        <w:spacing w:line="240" w:lineRule="auto"/>
        <w:ind w:left="0" w:firstLine="0"/>
        <w:textAlignment w:val="auto"/>
        <w:rPr>
          <w:rFonts w:eastAsia="Calibri"/>
          <w:kern w:val="1"/>
          <w:sz w:val="20"/>
          <w:lang w:val="en-US" w:eastAsia="en-US"/>
        </w:rPr>
      </w:pPr>
      <w:r w:rsidRPr="00AC57EA">
        <w:rPr>
          <w:rFonts w:eastAsia="Calibri"/>
          <w:bCs/>
          <w:kern w:val="1"/>
          <w:sz w:val="20"/>
          <w:lang w:val="en-US" w:eastAsia="en-US"/>
        </w:rPr>
        <w:lastRenderedPageBreak/>
        <w:t>The effect of substantial nullities was to annul the proceedings</w:t>
      </w:r>
      <w:r w:rsidRPr="00AC57EA">
        <w:rPr>
          <w:rFonts w:eastAsia="Calibri"/>
          <w:kern w:val="1"/>
          <w:sz w:val="20"/>
          <w:lang w:val="en-US" w:eastAsia="en-US"/>
        </w:rPr>
        <w:t>; thus, the judge or court ordered that the case be returned to, and include, the first valid action. In the case of nullities specific to the verdict, the case had to be returned to the stage of a new jury selection in order to constitute the jury before issuing the summons to the hearing.</w:t>
      </w:r>
      <w:r w:rsidR="00B5625C" w:rsidRPr="00AC57EA">
        <w:rPr>
          <w:sz w:val="20"/>
          <w:szCs w:val="20"/>
          <w:vertAlign w:val="superscript"/>
          <w:lang w:val="en-US" w:eastAsia="en-US"/>
        </w:rPr>
        <w:footnoteReference w:id="315"/>
      </w:r>
    </w:p>
    <w:p w14:paraId="0772CEAB" w14:textId="77777777" w:rsidR="00B5625C" w:rsidRPr="00AC57EA" w:rsidRDefault="00B5625C" w:rsidP="00B5625C">
      <w:pPr>
        <w:widowControl/>
        <w:tabs>
          <w:tab w:val="left" w:pos="284"/>
        </w:tabs>
        <w:adjustRightInd/>
        <w:spacing w:line="240" w:lineRule="auto"/>
        <w:textAlignment w:val="auto"/>
        <w:rPr>
          <w:rFonts w:eastAsia="Calibri"/>
          <w:kern w:val="1"/>
          <w:sz w:val="20"/>
          <w:lang w:val="en-US" w:eastAsia="en-US"/>
        </w:rPr>
      </w:pPr>
    </w:p>
    <w:p w14:paraId="5A6F3B34" w14:textId="56DEE96E" w:rsidR="00B5625C" w:rsidRPr="00AC57EA" w:rsidRDefault="00B93019" w:rsidP="00841EAC">
      <w:pPr>
        <w:widowControl/>
        <w:numPr>
          <w:ilvl w:val="0"/>
          <w:numId w:val="2"/>
        </w:numPr>
        <w:tabs>
          <w:tab w:val="left" w:pos="567"/>
          <w:tab w:val="num" w:pos="12305"/>
        </w:tabs>
        <w:adjustRightInd/>
        <w:spacing w:line="240" w:lineRule="auto"/>
        <w:ind w:left="0" w:firstLine="0"/>
        <w:textAlignment w:val="auto"/>
        <w:rPr>
          <w:rFonts w:cs="Verdana"/>
          <w:sz w:val="20"/>
          <w:szCs w:val="20"/>
          <w:lang w:val="en-US" w:eastAsia="en-US"/>
        </w:rPr>
      </w:pPr>
      <w:r w:rsidRPr="00AC57EA">
        <w:rPr>
          <w:rFonts w:cs="Verdana"/>
          <w:sz w:val="20"/>
          <w:szCs w:val="20"/>
          <w:lang w:val="en-US" w:eastAsia="en-US"/>
        </w:rPr>
        <w:t>The Nicaraguan</w:t>
      </w:r>
      <w:r w:rsidR="00B5625C" w:rsidRPr="00AC57EA">
        <w:rPr>
          <w:rFonts w:cs="Verdana"/>
          <w:sz w:val="20"/>
          <w:szCs w:val="20"/>
          <w:lang w:val="en-US" w:eastAsia="en-US"/>
        </w:rPr>
        <w:t xml:space="preserve"> </w:t>
      </w:r>
      <w:r w:rsidR="002A1A7C" w:rsidRPr="00AC57EA">
        <w:rPr>
          <w:rFonts w:cs="Verdana"/>
          <w:sz w:val="20"/>
          <w:szCs w:val="20"/>
          <w:lang w:val="en-US" w:eastAsia="en-US"/>
        </w:rPr>
        <w:t>Code of Criminal Procedure</w:t>
      </w:r>
      <w:r w:rsidR="00B5625C" w:rsidRPr="00AC57EA">
        <w:rPr>
          <w:rFonts w:cs="Verdana"/>
          <w:sz w:val="20"/>
          <w:szCs w:val="20"/>
          <w:lang w:val="en-US" w:eastAsia="en-US"/>
        </w:rPr>
        <w:t xml:space="preserve"> </w:t>
      </w:r>
      <w:r w:rsidRPr="00AC57EA">
        <w:rPr>
          <w:rFonts w:cs="Verdana"/>
          <w:sz w:val="20"/>
          <w:szCs w:val="20"/>
          <w:lang w:val="en-US" w:eastAsia="en-US"/>
        </w:rPr>
        <w:t xml:space="preserve">was repealed and replaced by the </w:t>
      </w:r>
      <w:r w:rsidR="00D445A2" w:rsidRPr="00AC57EA">
        <w:rPr>
          <w:rFonts w:cs="Verdana"/>
          <w:sz w:val="20"/>
          <w:szCs w:val="20"/>
          <w:lang w:val="en-US" w:eastAsia="en-US"/>
        </w:rPr>
        <w:t xml:space="preserve">Nicaraguan </w:t>
      </w:r>
      <w:r w:rsidR="00F653DF" w:rsidRPr="00AC57EA">
        <w:rPr>
          <w:rFonts w:cs="Verdana"/>
          <w:sz w:val="20"/>
          <w:szCs w:val="20"/>
          <w:lang w:val="en-US" w:eastAsia="en-US"/>
        </w:rPr>
        <w:t>Criminal Procedure Code</w:t>
      </w:r>
      <w:r w:rsidR="00B5625C" w:rsidRPr="00AC57EA">
        <w:rPr>
          <w:rFonts w:cs="Verdana"/>
          <w:sz w:val="20"/>
          <w:szCs w:val="20"/>
          <w:lang w:val="en-US" w:eastAsia="en-US"/>
        </w:rPr>
        <w:t xml:space="preserve">, </w:t>
      </w:r>
      <w:r w:rsidRPr="00AC57EA">
        <w:rPr>
          <w:rFonts w:cs="Verdana"/>
          <w:sz w:val="20"/>
          <w:szCs w:val="20"/>
          <w:lang w:val="en-US" w:eastAsia="en-US"/>
        </w:rPr>
        <w:t>which entered into force in December</w:t>
      </w:r>
      <w:r w:rsidR="00B5625C" w:rsidRPr="00AC57EA">
        <w:rPr>
          <w:rFonts w:cs="Verdana"/>
          <w:sz w:val="20"/>
          <w:szCs w:val="20"/>
          <w:lang w:val="en-US" w:eastAsia="en-US"/>
        </w:rPr>
        <w:t xml:space="preserve"> 2002.</w:t>
      </w:r>
    </w:p>
    <w:p w14:paraId="783F25DC" w14:textId="77777777" w:rsidR="00B5625C" w:rsidRPr="00AC57EA" w:rsidRDefault="00B5625C" w:rsidP="00B5625C">
      <w:pPr>
        <w:widowControl/>
        <w:tabs>
          <w:tab w:val="left" w:pos="284"/>
        </w:tabs>
        <w:adjustRightInd/>
        <w:spacing w:line="240" w:lineRule="auto"/>
        <w:textAlignment w:val="auto"/>
        <w:rPr>
          <w:rFonts w:eastAsia="Calibri"/>
          <w:kern w:val="1"/>
          <w:sz w:val="20"/>
          <w:lang w:val="en-US" w:eastAsia="en-US"/>
        </w:rPr>
      </w:pPr>
    </w:p>
    <w:p w14:paraId="299C5F4F" w14:textId="2331121C" w:rsidR="00B5625C" w:rsidRPr="00AC57EA" w:rsidRDefault="00B93019" w:rsidP="00841EAC">
      <w:pPr>
        <w:widowControl/>
        <w:numPr>
          <w:ilvl w:val="0"/>
          <w:numId w:val="2"/>
        </w:numPr>
        <w:tabs>
          <w:tab w:val="left" w:pos="567"/>
          <w:tab w:val="num" w:pos="12305"/>
        </w:tabs>
        <w:adjustRightInd/>
        <w:spacing w:line="240" w:lineRule="auto"/>
        <w:ind w:left="0" w:firstLine="0"/>
        <w:textAlignment w:val="auto"/>
        <w:rPr>
          <w:rFonts w:eastAsia="Calibri"/>
          <w:kern w:val="1"/>
          <w:sz w:val="20"/>
          <w:lang w:val="en-US" w:eastAsia="en-US"/>
        </w:rPr>
      </w:pPr>
      <w:r w:rsidRPr="00AC57EA">
        <w:rPr>
          <w:rFonts w:eastAsia="Calibri"/>
          <w:kern w:val="1"/>
          <w:sz w:val="20"/>
          <w:lang w:val="en-US" w:eastAsia="en-US"/>
        </w:rPr>
        <w:t>The</w:t>
      </w:r>
      <w:r w:rsidR="00EC52D7" w:rsidRPr="00AC57EA">
        <w:rPr>
          <w:rFonts w:eastAsia="Calibri"/>
          <w:kern w:val="1"/>
          <w:sz w:val="20"/>
          <w:lang w:val="en-US" w:eastAsia="en-US"/>
        </w:rPr>
        <w:t xml:space="preserve"> State</w:t>
      </w:r>
      <w:r w:rsidR="00B5625C" w:rsidRPr="00AC57EA">
        <w:rPr>
          <w:rFonts w:eastAsia="Calibri"/>
          <w:kern w:val="1"/>
          <w:sz w:val="20"/>
          <w:lang w:val="en-US" w:eastAsia="en-US"/>
        </w:rPr>
        <w:t xml:space="preserve"> </w:t>
      </w:r>
      <w:r w:rsidRPr="00AC57EA">
        <w:rPr>
          <w:rFonts w:eastAsia="Calibri"/>
          <w:kern w:val="1"/>
          <w:sz w:val="20"/>
          <w:lang w:val="en-US" w:eastAsia="en-US"/>
        </w:rPr>
        <w:t xml:space="preserve">advised that, currently, “proceedings </w:t>
      </w:r>
      <w:r w:rsidR="00D445A2" w:rsidRPr="00AC57EA">
        <w:rPr>
          <w:rFonts w:eastAsia="Calibri"/>
          <w:kern w:val="1"/>
          <w:sz w:val="20"/>
          <w:lang w:val="en-US" w:eastAsia="en-US"/>
        </w:rPr>
        <w:t>for</w:t>
      </w:r>
      <w:r w:rsidRPr="00AC57EA">
        <w:rPr>
          <w:rFonts w:eastAsia="Calibri"/>
          <w:kern w:val="1"/>
          <w:sz w:val="20"/>
          <w:lang w:val="en-US" w:eastAsia="en-US"/>
        </w:rPr>
        <w:t xml:space="preserve"> crimes of rape or other sexual offenses must be </w:t>
      </w:r>
      <w:r w:rsidR="00D445A2" w:rsidRPr="00AC57EA">
        <w:rPr>
          <w:rFonts w:eastAsia="Calibri"/>
          <w:kern w:val="1"/>
          <w:sz w:val="20"/>
          <w:lang w:val="en-US" w:eastAsia="en-US"/>
        </w:rPr>
        <w:t>h</w:t>
      </w:r>
      <w:r w:rsidRPr="00AC57EA">
        <w:rPr>
          <w:rFonts w:eastAsia="Calibri"/>
          <w:kern w:val="1"/>
          <w:sz w:val="20"/>
          <w:lang w:val="en-US" w:eastAsia="en-US"/>
        </w:rPr>
        <w:t xml:space="preserve">eard and decided by judges of law and not by </w:t>
      </w:r>
      <w:r w:rsidR="00D445A2" w:rsidRPr="00AC57EA">
        <w:rPr>
          <w:rFonts w:eastAsia="Calibri"/>
          <w:kern w:val="1"/>
          <w:sz w:val="20"/>
          <w:lang w:val="en-US" w:eastAsia="en-US"/>
        </w:rPr>
        <w:t>j</w:t>
      </w:r>
      <w:r w:rsidRPr="00AC57EA">
        <w:rPr>
          <w:rFonts w:eastAsia="Calibri"/>
          <w:kern w:val="1"/>
          <w:sz w:val="20"/>
          <w:lang w:val="en-US" w:eastAsia="en-US"/>
        </w:rPr>
        <w:t xml:space="preserve">ury </w:t>
      </w:r>
      <w:r w:rsidR="00D445A2" w:rsidRPr="00AC57EA">
        <w:rPr>
          <w:rFonts w:eastAsia="Calibri"/>
          <w:kern w:val="1"/>
          <w:sz w:val="20"/>
          <w:lang w:val="en-US" w:eastAsia="en-US"/>
        </w:rPr>
        <w:t>c</w:t>
      </w:r>
      <w:r w:rsidRPr="00AC57EA">
        <w:rPr>
          <w:rFonts w:eastAsia="Calibri"/>
          <w:kern w:val="1"/>
          <w:sz w:val="20"/>
          <w:lang w:val="en-US" w:eastAsia="en-US"/>
        </w:rPr>
        <w:t>ourts, taking into account the need to decide them technically</w:t>
      </w:r>
      <w:r w:rsidR="00331E9B" w:rsidRPr="00AC57EA">
        <w:rPr>
          <w:rFonts w:eastAsia="Calibri"/>
          <w:kern w:val="1"/>
          <w:sz w:val="20"/>
          <w:lang w:val="en-US" w:eastAsia="en-US"/>
        </w:rPr>
        <w:t xml:space="preserve"> and</w:t>
      </w:r>
      <w:r w:rsidR="00D445A2" w:rsidRPr="00AC57EA">
        <w:rPr>
          <w:rFonts w:eastAsia="Calibri"/>
          <w:kern w:val="1"/>
          <w:sz w:val="20"/>
          <w:lang w:val="en-US" w:eastAsia="en-US"/>
        </w:rPr>
        <w:t xml:space="preserve"> to</w:t>
      </w:r>
      <w:r w:rsidR="00331E9B" w:rsidRPr="00AC57EA">
        <w:rPr>
          <w:rFonts w:eastAsia="Calibri"/>
          <w:kern w:val="1"/>
          <w:sz w:val="20"/>
          <w:lang w:val="en-US" w:eastAsia="en-US"/>
        </w:rPr>
        <w:t xml:space="preserve"> includ</w:t>
      </w:r>
      <w:r w:rsidR="00D445A2" w:rsidRPr="00AC57EA">
        <w:rPr>
          <w:rFonts w:eastAsia="Calibri"/>
          <w:kern w:val="1"/>
          <w:sz w:val="20"/>
          <w:lang w:val="en-US" w:eastAsia="en-US"/>
        </w:rPr>
        <w:t>e</w:t>
      </w:r>
      <w:r w:rsidR="00331E9B" w:rsidRPr="00AC57EA">
        <w:rPr>
          <w:rFonts w:eastAsia="Calibri"/>
          <w:kern w:val="1"/>
          <w:sz w:val="20"/>
          <w:lang w:val="en-US" w:eastAsia="en-US"/>
        </w:rPr>
        <w:t xml:space="preserve"> the </w:t>
      </w:r>
      <w:r w:rsidR="00D445A2" w:rsidRPr="00AC57EA">
        <w:rPr>
          <w:rFonts w:eastAsia="Calibri"/>
          <w:kern w:val="1"/>
          <w:sz w:val="20"/>
          <w:lang w:val="en-US" w:eastAsia="en-US"/>
        </w:rPr>
        <w:t>grounds</w:t>
      </w:r>
      <w:r w:rsidR="00331E9B" w:rsidRPr="00AC57EA">
        <w:rPr>
          <w:rFonts w:eastAsia="Calibri"/>
          <w:kern w:val="1"/>
          <w:sz w:val="20"/>
          <w:lang w:val="en-US" w:eastAsia="en-US"/>
        </w:rPr>
        <w:t xml:space="preserve"> for decisions.”</w:t>
      </w:r>
    </w:p>
    <w:p w14:paraId="6F01333C" w14:textId="77777777" w:rsidR="00B5625C" w:rsidRPr="00AC57EA" w:rsidRDefault="00B5625C" w:rsidP="00B5625C">
      <w:pPr>
        <w:widowControl/>
        <w:tabs>
          <w:tab w:val="left" w:pos="284"/>
        </w:tabs>
        <w:adjustRightInd/>
        <w:spacing w:line="240" w:lineRule="auto"/>
        <w:textAlignment w:val="auto"/>
        <w:rPr>
          <w:rFonts w:eastAsia="Calibri"/>
          <w:kern w:val="1"/>
          <w:sz w:val="20"/>
          <w:lang w:val="en-US" w:eastAsia="en-US"/>
        </w:rPr>
      </w:pPr>
    </w:p>
    <w:p w14:paraId="1C178753" w14:textId="2D7B3D20" w:rsidR="00B5625C" w:rsidRPr="00AC57EA" w:rsidRDefault="00D445A2" w:rsidP="00FD3686">
      <w:pPr>
        <w:widowControl/>
        <w:numPr>
          <w:ilvl w:val="0"/>
          <w:numId w:val="2"/>
        </w:numPr>
        <w:tabs>
          <w:tab w:val="left" w:pos="567"/>
          <w:tab w:val="num" w:pos="12305"/>
        </w:tabs>
        <w:adjustRightInd/>
        <w:spacing w:line="240" w:lineRule="auto"/>
        <w:ind w:left="0" w:firstLine="0"/>
        <w:textAlignment w:val="auto"/>
        <w:rPr>
          <w:sz w:val="20"/>
          <w:lang w:val="en-US" w:eastAsia="en-US"/>
        </w:rPr>
      </w:pPr>
      <w:r w:rsidRPr="00AC57EA">
        <w:rPr>
          <w:rFonts w:eastAsia="Calibri"/>
          <w:kern w:val="1"/>
          <w:sz w:val="20"/>
          <w:lang w:val="en-US" w:eastAsia="en-US"/>
        </w:rPr>
        <w:t>It is now true</w:t>
      </w:r>
      <w:r w:rsidR="00331E9B" w:rsidRPr="00AC57EA">
        <w:rPr>
          <w:rFonts w:eastAsia="Calibri"/>
          <w:kern w:val="1"/>
          <w:sz w:val="20"/>
          <w:lang w:val="en-US" w:eastAsia="en-US"/>
        </w:rPr>
        <w:t xml:space="preserve"> that the possibility of a case of sexual violence being submitted to trial by a peoples’ jury has been elimination. Article 565 of the Criminal Code in force in Nicaragua (Law No. 641) establishes that, </w:t>
      </w:r>
      <w:r w:rsidR="00331E9B" w:rsidRPr="00AC57EA">
        <w:rPr>
          <w:rFonts w:eastAsia="Calibri"/>
          <w:i/>
          <w:iCs/>
          <w:kern w:val="1"/>
          <w:sz w:val="20"/>
          <w:lang w:val="en-US" w:eastAsia="en-US"/>
        </w:rPr>
        <w:t>inter alia,</w:t>
      </w:r>
      <w:r w:rsidR="00331E9B" w:rsidRPr="00AC57EA">
        <w:rPr>
          <w:rFonts w:eastAsia="Calibri"/>
          <w:kern w:val="1"/>
          <w:sz w:val="20"/>
          <w:lang w:val="en-US" w:eastAsia="en-US"/>
        </w:rPr>
        <w:t xml:space="preserve"> crimes of domestic and </w:t>
      </w:r>
      <w:r w:rsidR="001A3355" w:rsidRPr="00AC57EA">
        <w:rPr>
          <w:rFonts w:eastAsia="Calibri"/>
          <w:kern w:val="1"/>
          <w:sz w:val="20"/>
          <w:lang w:val="en-US" w:eastAsia="en-US"/>
        </w:rPr>
        <w:t>intrafamily violence</w:t>
      </w:r>
      <w:r w:rsidR="00331E9B" w:rsidRPr="00AC57EA">
        <w:rPr>
          <w:rFonts w:eastAsia="Calibri"/>
          <w:kern w:val="1"/>
          <w:sz w:val="20"/>
          <w:lang w:val="en-US" w:eastAsia="en-US"/>
        </w:rPr>
        <w:t xml:space="preserve"> and crimes against sexual liberty and integrity shall be conducted by a technical judge. In addition, in January 2012, Law No. 779 was adopted – </w:t>
      </w:r>
      <w:r w:rsidR="0028505B" w:rsidRPr="00AC57EA">
        <w:rPr>
          <w:rFonts w:eastAsia="Calibri"/>
          <w:kern w:val="1"/>
          <w:sz w:val="20"/>
          <w:lang w:val="en-US" w:eastAsia="en-US"/>
        </w:rPr>
        <w:t>“</w:t>
      </w:r>
      <w:r w:rsidR="00331E9B" w:rsidRPr="00AC57EA">
        <w:rPr>
          <w:rFonts w:eastAsia="Calibri"/>
          <w:kern w:val="1"/>
          <w:sz w:val="20"/>
          <w:lang w:val="en-US" w:eastAsia="en-US"/>
        </w:rPr>
        <w:t xml:space="preserve">Comprehensive law to combat violence against women and amendments to Law No. 641 Criminal Code,” which entered into force in June that year. According to the </w:t>
      </w:r>
      <w:r w:rsidRPr="00AC57EA">
        <w:rPr>
          <w:rFonts w:eastAsia="Calibri"/>
          <w:kern w:val="1"/>
          <w:sz w:val="20"/>
          <w:lang w:val="en-US" w:eastAsia="en-US"/>
        </w:rPr>
        <w:t>grounds</w:t>
      </w:r>
      <w:r w:rsidR="00331E9B" w:rsidRPr="00AC57EA">
        <w:rPr>
          <w:rFonts w:eastAsia="Calibri"/>
          <w:kern w:val="1"/>
          <w:sz w:val="20"/>
          <w:lang w:val="en-US" w:eastAsia="en-US"/>
        </w:rPr>
        <w:t xml:space="preserve"> for the adoption of the law, the new legislation </w:t>
      </w:r>
      <w:r w:rsidRPr="00AC57EA">
        <w:rPr>
          <w:rFonts w:eastAsia="Calibri"/>
          <w:kern w:val="1"/>
          <w:sz w:val="20"/>
          <w:lang w:val="en-US" w:eastAsia="en-US"/>
        </w:rPr>
        <w:t>was</w:t>
      </w:r>
      <w:r w:rsidR="00331E9B" w:rsidRPr="00AC57EA">
        <w:rPr>
          <w:rFonts w:eastAsia="Calibri"/>
          <w:kern w:val="1"/>
          <w:sz w:val="20"/>
          <w:lang w:val="en-US" w:eastAsia="en-US"/>
        </w:rPr>
        <w:t xml:space="preserve"> based on evidence that “the existing laws to halt gender-based violence against women have not achieved the expected results for the effective protection of their life, liberty and personal integrity, so that it is essential to promulgate a special autonomous law, that addresses this problem comprehensively, defining as crimes and punishing the different expressions of violence against women.</w:t>
      </w:r>
      <w:r w:rsidR="00B5625C" w:rsidRPr="00AC57EA">
        <w:rPr>
          <w:sz w:val="20"/>
          <w:lang w:val="en-US" w:eastAsia="en-US"/>
        </w:rPr>
        <w:t>”</w:t>
      </w:r>
      <w:r w:rsidR="00B5625C" w:rsidRPr="00AC57EA">
        <w:rPr>
          <w:sz w:val="20"/>
          <w:vertAlign w:val="superscript"/>
          <w:lang w:val="en-US" w:eastAsia="en-US"/>
        </w:rPr>
        <w:footnoteReference w:id="316"/>
      </w:r>
      <w:r w:rsidR="00331E9B" w:rsidRPr="00AC57EA">
        <w:rPr>
          <w:sz w:val="20"/>
          <w:lang w:val="en-US" w:eastAsia="en-US"/>
        </w:rPr>
        <w:t xml:space="preserve"> In particular, </w:t>
      </w:r>
      <w:r w:rsidR="00FD3686" w:rsidRPr="00AC57EA">
        <w:rPr>
          <w:sz w:val="20"/>
          <w:lang w:val="en-US" w:eastAsia="en-US"/>
        </w:rPr>
        <w:t>as relevant for this case</w:t>
      </w:r>
      <w:r w:rsidRPr="00AC57EA">
        <w:rPr>
          <w:sz w:val="20"/>
          <w:lang w:val="en-US" w:eastAsia="en-US"/>
        </w:rPr>
        <w:t>,</w:t>
      </w:r>
      <w:r w:rsidR="00FD3686" w:rsidRPr="00AC57EA">
        <w:rPr>
          <w:sz w:val="20"/>
          <w:lang w:val="en-US" w:eastAsia="en-US"/>
        </w:rPr>
        <w:t xml:space="preserve"> in relation to the implementation of the system of trials in cases of gender-based violence and cases of sexual violence in particular, the law establishes the creation of </w:t>
      </w:r>
      <w:r w:rsidRPr="00AC57EA">
        <w:rPr>
          <w:sz w:val="20"/>
          <w:lang w:val="en-US" w:eastAsia="en-US"/>
        </w:rPr>
        <w:t xml:space="preserve">special district courts </w:t>
      </w:r>
      <w:r w:rsidR="00FD3686" w:rsidRPr="00AC57EA">
        <w:rPr>
          <w:sz w:val="20"/>
          <w:lang w:val="en-US" w:eastAsia="en-US"/>
        </w:rPr>
        <w:t>for cases of violence,</w:t>
      </w:r>
      <w:r w:rsidR="00B5625C" w:rsidRPr="00AC57EA">
        <w:rPr>
          <w:sz w:val="20"/>
          <w:vertAlign w:val="superscript"/>
          <w:lang w:val="en-US" w:eastAsia="en-US"/>
        </w:rPr>
        <w:footnoteReference w:id="317"/>
      </w:r>
      <w:r w:rsidR="00FD3686" w:rsidRPr="00AC57EA">
        <w:rPr>
          <w:sz w:val="20"/>
          <w:lang w:val="en-US" w:eastAsia="en-US"/>
        </w:rPr>
        <w:t xml:space="preserve"> composed of a technical judge with special training in this </w:t>
      </w:r>
      <w:r w:rsidR="009B07FC" w:rsidRPr="00AC57EA">
        <w:rPr>
          <w:sz w:val="20"/>
          <w:lang w:val="en-US" w:eastAsia="en-US"/>
        </w:rPr>
        <w:t>area</w:t>
      </w:r>
      <w:r w:rsidR="00FD3686" w:rsidRPr="00AC57EA">
        <w:rPr>
          <w:sz w:val="20"/>
          <w:lang w:val="en-US" w:eastAsia="en-US"/>
        </w:rPr>
        <w:t>.</w:t>
      </w:r>
      <w:r w:rsidR="00B5625C" w:rsidRPr="00AC57EA">
        <w:rPr>
          <w:sz w:val="20"/>
          <w:vertAlign w:val="superscript"/>
          <w:lang w:val="en-US" w:eastAsia="en-US"/>
        </w:rPr>
        <w:footnoteReference w:id="318"/>
      </w:r>
    </w:p>
    <w:p w14:paraId="4DAF3ED0" w14:textId="77777777" w:rsidR="00B5625C" w:rsidRPr="00AC57EA" w:rsidRDefault="00B5625C" w:rsidP="00B5625C">
      <w:pPr>
        <w:widowControl/>
        <w:adjustRightInd/>
        <w:spacing w:line="240" w:lineRule="auto"/>
        <w:textAlignment w:val="auto"/>
        <w:rPr>
          <w:sz w:val="20"/>
          <w:szCs w:val="20"/>
          <w:lang w:val="en-US" w:eastAsia="en-US"/>
        </w:rPr>
      </w:pPr>
    </w:p>
    <w:p w14:paraId="57098C3A" w14:textId="1EE3FA6B" w:rsidR="00B5625C" w:rsidRPr="00AC57EA" w:rsidRDefault="00B5625C" w:rsidP="00A92F94">
      <w:pPr>
        <w:pStyle w:val="Ttulo3"/>
        <w:rPr>
          <w:b w:val="0"/>
          <w:i/>
          <w:lang w:val="en-US"/>
        </w:rPr>
      </w:pPr>
      <w:bookmarkStart w:id="129" w:name="_Toc514172642"/>
      <w:r w:rsidRPr="00AC57EA">
        <w:rPr>
          <w:b w:val="0"/>
          <w:i/>
          <w:lang w:val="en-US"/>
        </w:rPr>
        <w:t>B.3</w:t>
      </w:r>
      <w:r w:rsidR="00A92F94" w:rsidRPr="00AC57EA">
        <w:rPr>
          <w:b w:val="0"/>
          <w:i/>
          <w:lang w:val="en-US"/>
        </w:rPr>
        <w:t>.b</w:t>
      </w:r>
      <w:r w:rsidR="00C37341" w:rsidRPr="00AC57EA">
        <w:rPr>
          <w:b w:val="0"/>
          <w:i/>
          <w:lang w:val="en-US"/>
        </w:rPr>
        <w:tab/>
      </w:r>
      <w:r w:rsidR="00FD3686" w:rsidRPr="00AC57EA">
        <w:rPr>
          <w:b w:val="0"/>
          <w:i/>
          <w:lang w:val="en-US"/>
        </w:rPr>
        <w:t xml:space="preserve">The guarantee </w:t>
      </w:r>
      <w:r w:rsidR="00442DEE" w:rsidRPr="00AC57EA">
        <w:rPr>
          <w:b w:val="0"/>
          <w:i/>
          <w:lang w:val="en-US"/>
        </w:rPr>
        <w:t>of juror impartiality</w:t>
      </w:r>
      <w:bookmarkEnd w:id="129"/>
    </w:p>
    <w:p w14:paraId="24555EAB" w14:textId="77777777" w:rsidR="00B5625C" w:rsidRPr="00AC57EA" w:rsidRDefault="00B5625C" w:rsidP="00B5625C">
      <w:pPr>
        <w:widowControl/>
        <w:adjustRightInd/>
        <w:spacing w:line="240" w:lineRule="auto"/>
        <w:textAlignment w:val="auto"/>
        <w:rPr>
          <w:sz w:val="20"/>
          <w:szCs w:val="20"/>
          <w:lang w:val="en-US" w:eastAsia="en-US"/>
        </w:rPr>
      </w:pPr>
    </w:p>
    <w:p w14:paraId="7A1D988A" w14:textId="5451F68F" w:rsidR="00B5625C" w:rsidRPr="00AC57EA" w:rsidRDefault="00FD3686" w:rsidP="0028505B">
      <w:pPr>
        <w:widowControl/>
        <w:numPr>
          <w:ilvl w:val="0"/>
          <w:numId w:val="2"/>
        </w:numPr>
        <w:tabs>
          <w:tab w:val="left" w:pos="567"/>
          <w:tab w:val="num" w:pos="12305"/>
        </w:tabs>
        <w:adjustRightInd/>
        <w:spacing w:line="240" w:lineRule="auto"/>
        <w:ind w:left="0" w:firstLine="0"/>
        <w:textAlignment w:val="auto"/>
        <w:rPr>
          <w:sz w:val="20"/>
          <w:lang w:val="en-US" w:eastAsia="en-US"/>
        </w:rPr>
      </w:pPr>
      <w:r w:rsidRPr="00AC57EA">
        <w:rPr>
          <w:rFonts w:cs="Arial"/>
          <w:sz w:val="20"/>
          <w:lang w:val="en-US" w:eastAsia="en-US"/>
        </w:rPr>
        <w:t>This Court has</w:t>
      </w:r>
      <w:r w:rsidR="00ED37A4" w:rsidRPr="00AC57EA">
        <w:rPr>
          <w:rFonts w:cs="Arial"/>
          <w:sz w:val="20"/>
          <w:lang w:val="en-US" w:eastAsia="en-US"/>
        </w:rPr>
        <w:t xml:space="preserve"> established that impartiality requires that the judge acting in a specific dispute approach </w:t>
      </w:r>
      <w:r w:rsidR="00ED37A4" w:rsidRPr="00AC57EA">
        <w:rPr>
          <w:rFonts w:cs="Arial"/>
          <w:sz w:val="20"/>
          <w:szCs w:val="20"/>
          <w:lang w:val="en-US"/>
        </w:rPr>
        <w:t>the facts of the case subjectively free of all prejudice and also offer sufficient objective guarantees to exclude any doubt the parties or the community might entertain as to his or her lack of impartiality</w:t>
      </w:r>
      <w:r w:rsidR="00ED37A4" w:rsidRPr="00AC57EA">
        <w:rPr>
          <w:sz w:val="20"/>
          <w:lang w:val="en-US" w:eastAsia="en-US"/>
        </w:rPr>
        <w:t>.</w:t>
      </w:r>
      <w:r w:rsidR="00B5625C" w:rsidRPr="00AC57EA">
        <w:rPr>
          <w:sz w:val="20"/>
          <w:vertAlign w:val="superscript"/>
          <w:lang w:val="en-US" w:eastAsia="en-US"/>
        </w:rPr>
        <w:footnoteReference w:id="319"/>
      </w:r>
      <w:r w:rsidR="00B5625C" w:rsidRPr="00AC57EA">
        <w:rPr>
          <w:lang w:val="en-US" w:eastAsia="en-US"/>
        </w:rPr>
        <w:t xml:space="preserve"> </w:t>
      </w:r>
      <w:r w:rsidR="00ED37A4" w:rsidRPr="00AC57EA">
        <w:rPr>
          <w:sz w:val="20"/>
          <w:lang w:val="en-US" w:eastAsia="en-US"/>
        </w:rPr>
        <w:t>Recusals</w:t>
      </w:r>
      <w:r w:rsidR="00171E27" w:rsidRPr="00AC57EA">
        <w:rPr>
          <w:sz w:val="20"/>
          <w:lang w:val="en-US" w:eastAsia="en-US"/>
        </w:rPr>
        <w:t xml:space="preserve"> and </w:t>
      </w:r>
      <w:r w:rsidR="00442DEE" w:rsidRPr="00AC57EA">
        <w:rPr>
          <w:sz w:val="20"/>
          <w:lang w:val="en-US" w:eastAsia="en-US"/>
        </w:rPr>
        <w:t>excusals</w:t>
      </w:r>
      <w:r w:rsidR="00B5625C" w:rsidRPr="00AC57EA">
        <w:rPr>
          <w:sz w:val="20"/>
          <w:lang w:val="en-US" w:eastAsia="en-US"/>
        </w:rPr>
        <w:t xml:space="preserve"> </w:t>
      </w:r>
      <w:r w:rsidR="00ED37A4" w:rsidRPr="00AC57EA">
        <w:rPr>
          <w:sz w:val="20"/>
          <w:lang w:val="en-US" w:eastAsia="en-US"/>
        </w:rPr>
        <w:t xml:space="preserve">are procedural instruments that protect the right to be </w:t>
      </w:r>
      <w:r w:rsidR="00ED37A4" w:rsidRPr="00AC57EA">
        <w:rPr>
          <w:sz w:val="20"/>
          <w:lang w:val="en-US" w:eastAsia="en-US"/>
        </w:rPr>
        <w:lastRenderedPageBreak/>
        <w:t>tried by an impartial body. The guarantee of impartiality means that the members of the court have no direct interest, preconceived position, preference f</w:t>
      </w:r>
      <w:r w:rsidR="00442DEE" w:rsidRPr="00AC57EA">
        <w:rPr>
          <w:sz w:val="20"/>
          <w:lang w:val="en-US" w:eastAsia="en-US"/>
        </w:rPr>
        <w:t>or</w:t>
      </w:r>
      <w:r w:rsidR="00ED37A4" w:rsidRPr="00AC57EA">
        <w:rPr>
          <w:sz w:val="20"/>
          <w:lang w:val="en-US" w:eastAsia="en-US"/>
        </w:rPr>
        <w:t xml:space="preserve"> one or other of the parties, are not involved in the dispute, and inspire the necessary confidence in the parties </w:t>
      </w:r>
      <w:r w:rsidR="0028505B" w:rsidRPr="00AC57EA">
        <w:rPr>
          <w:sz w:val="20"/>
          <w:lang w:val="en-US" w:eastAsia="en-US"/>
        </w:rPr>
        <w:t>to the case, as well as in the citizens in a democratic society.</w:t>
      </w:r>
      <w:r w:rsidR="00B5625C" w:rsidRPr="00AC57EA">
        <w:rPr>
          <w:sz w:val="20"/>
          <w:vertAlign w:val="superscript"/>
          <w:lang w:val="en-US" w:eastAsia="en-US"/>
        </w:rPr>
        <w:footnoteReference w:id="320"/>
      </w:r>
      <w:r w:rsidR="0028505B" w:rsidRPr="00AC57EA">
        <w:rPr>
          <w:sz w:val="20"/>
          <w:lang w:val="en-US" w:eastAsia="en-US"/>
        </w:rPr>
        <w:t xml:space="preserve"> Personal or subjective impartiality is presumed unless there is evidence to the contrary consisting, for example, in the demonstration that a member of a tribunal or a judge has</w:t>
      </w:r>
      <w:r w:rsidR="00442DEE" w:rsidRPr="00AC57EA">
        <w:rPr>
          <w:sz w:val="20"/>
          <w:lang w:val="en-US" w:eastAsia="en-US"/>
        </w:rPr>
        <w:t xml:space="preserve"> personal</w:t>
      </w:r>
      <w:r w:rsidR="0028505B" w:rsidRPr="00AC57EA">
        <w:rPr>
          <w:sz w:val="20"/>
          <w:lang w:val="en-US" w:eastAsia="en-US"/>
        </w:rPr>
        <w:t xml:space="preserve"> prejudices or biases against the litigants. Meanwhile, objective impartiality consists in determining whether the contested judge has offered convincing </w:t>
      </w:r>
      <w:r w:rsidR="00442DEE" w:rsidRPr="00AC57EA">
        <w:rPr>
          <w:sz w:val="20"/>
          <w:lang w:val="en-US" w:eastAsia="en-US"/>
        </w:rPr>
        <w:t xml:space="preserve">proof </w:t>
      </w:r>
      <w:r w:rsidR="0028505B" w:rsidRPr="00AC57EA">
        <w:rPr>
          <w:sz w:val="20"/>
          <w:lang w:val="en-US" w:eastAsia="en-US"/>
        </w:rPr>
        <w:t xml:space="preserve">that </w:t>
      </w:r>
      <w:r w:rsidR="00442DEE" w:rsidRPr="00AC57EA">
        <w:rPr>
          <w:sz w:val="20"/>
          <w:lang w:val="en-US" w:eastAsia="en-US"/>
        </w:rPr>
        <w:t xml:space="preserve">eliminates </w:t>
      </w:r>
      <w:r w:rsidR="0028505B" w:rsidRPr="00AC57EA">
        <w:rPr>
          <w:sz w:val="20"/>
          <w:lang w:val="en-US" w:eastAsia="en-US"/>
        </w:rPr>
        <w:t>legitimate fears or well-founded suspicions of his partiality.</w:t>
      </w:r>
      <w:r w:rsidR="00B5625C" w:rsidRPr="00AC57EA">
        <w:rPr>
          <w:sz w:val="20"/>
          <w:vertAlign w:val="superscript"/>
          <w:lang w:val="en-US" w:eastAsia="en-US"/>
        </w:rPr>
        <w:footnoteReference w:id="321"/>
      </w:r>
      <w:r w:rsidR="00B5625C" w:rsidRPr="00AC57EA">
        <w:rPr>
          <w:sz w:val="20"/>
          <w:lang w:val="en-US" w:eastAsia="en-US"/>
        </w:rPr>
        <w:t xml:space="preserve"> </w:t>
      </w:r>
      <w:r w:rsidR="00B7258C" w:rsidRPr="00AC57EA">
        <w:rPr>
          <w:sz w:val="20"/>
          <w:lang w:val="en-US" w:eastAsia="en-US"/>
        </w:rPr>
        <w:t>The Court</w:t>
      </w:r>
      <w:r w:rsidR="00B5625C" w:rsidRPr="00AC57EA">
        <w:rPr>
          <w:sz w:val="20"/>
          <w:lang w:val="en-US" w:eastAsia="en-US"/>
        </w:rPr>
        <w:t xml:space="preserve"> </w:t>
      </w:r>
      <w:r w:rsidR="0028505B" w:rsidRPr="00AC57EA">
        <w:rPr>
          <w:sz w:val="20"/>
          <w:lang w:val="en-US" w:eastAsia="en-US"/>
        </w:rPr>
        <w:t>notes that these standards are also applicable to the members of the jury.</w:t>
      </w:r>
      <w:r w:rsidR="001D67F0" w:rsidRPr="00AC57EA">
        <w:rPr>
          <w:rStyle w:val="Refdenotaalpie"/>
          <w:sz w:val="20"/>
          <w:lang w:val="en-US" w:eastAsia="en-US"/>
        </w:rPr>
        <w:footnoteReference w:id="322"/>
      </w:r>
    </w:p>
    <w:p w14:paraId="5C71DED7" w14:textId="676CB6DF" w:rsidR="00B5625C" w:rsidRPr="00AC57EA" w:rsidRDefault="00B5625C" w:rsidP="00B5625C">
      <w:pPr>
        <w:widowControl/>
        <w:adjustRightInd/>
        <w:spacing w:line="240" w:lineRule="auto"/>
        <w:textAlignment w:val="auto"/>
        <w:rPr>
          <w:sz w:val="20"/>
          <w:szCs w:val="20"/>
          <w:lang w:val="en-US" w:eastAsia="en-US"/>
        </w:rPr>
      </w:pPr>
    </w:p>
    <w:p w14:paraId="177ECFED" w14:textId="3FF5A7F7" w:rsidR="00B5625C" w:rsidRPr="00AC57EA" w:rsidRDefault="0028505B" w:rsidP="00167F2B">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In this regard, </w:t>
      </w:r>
      <w:r w:rsidR="00B7258C" w:rsidRPr="00AC57EA">
        <w:rPr>
          <w:sz w:val="20"/>
          <w:szCs w:val="20"/>
          <w:lang w:val="en-US" w:eastAsia="en-US"/>
        </w:rPr>
        <w:t xml:space="preserve">the </w:t>
      </w:r>
      <w:r w:rsidRPr="00AC57EA">
        <w:rPr>
          <w:sz w:val="20"/>
          <w:szCs w:val="20"/>
          <w:lang w:val="en-US" w:eastAsia="en-US"/>
        </w:rPr>
        <w:t>European Court of Human Rights</w:t>
      </w:r>
      <w:r w:rsidR="00B5625C" w:rsidRPr="00AC57EA">
        <w:rPr>
          <w:sz w:val="20"/>
          <w:szCs w:val="20"/>
          <w:lang w:val="en-US" w:eastAsia="en-US"/>
        </w:rPr>
        <w:t xml:space="preserve"> ha</w:t>
      </w:r>
      <w:r w:rsidRPr="00AC57EA">
        <w:rPr>
          <w:sz w:val="20"/>
          <w:szCs w:val="20"/>
          <w:lang w:val="en-US" w:eastAsia="en-US"/>
        </w:rPr>
        <w:t>s</w:t>
      </w:r>
      <w:r w:rsidR="00B5625C" w:rsidRPr="00AC57EA">
        <w:rPr>
          <w:sz w:val="20"/>
          <w:szCs w:val="20"/>
          <w:lang w:val="en-US" w:eastAsia="en-US"/>
        </w:rPr>
        <w:t xml:space="preserve"> </w:t>
      </w:r>
      <w:r w:rsidR="00B24106" w:rsidRPr="00AC57EA">
        <w:rPr>
          <w:sz w:val="20"/>
          <w:szCs w:val="20"/>
          <w:lang w:val="en-US" w:eastAsia="en-US"/>
        </w:rPr>
        <w:t>a</w:t>
      </w:r>
      <w:r w:rsidR="00167F2B" w:rsidRPr="00AC57EA">
        <w:rPr>
          <w:sz w:val="20"/>
          <w:szCs w:val="20"/>
          <w:lang w:val="en-US" w:eastAsia="en-US"/>
        </w:rPr>
        <w:t>ffirm</w:t>
      </w:r>
      <w:r w:rsidR="00B24106" w:rsidRPr="00AC57EA">
        <w:rPr>
          <w:sz w:val="20"/>
          <w:szCs w:val="20"/>
          <w:lang w:val="en-US" w:eastAsia="en-US"/>
        </w:rPr>
        <w:t xml:space="preserve">ed that, whatever </w:t>
      </w:r>
      <w:r w:rsidR="00167F2B" w:rsidRPr="00AC57EA">
        <w:rPr>
          <w:sz w:val="20"/>
          <w:szCs w:val="20"/>
          <w:lang w:val="en-US" w:eastAsia="en-US"/>
        </w:rPr>
        <w:t>the procedural trial system implemented, “it is of fundamental importance in a democratic society that the courts inspire confidence in the public and above all, as far as criminal proceedings are concerned, in the accused. To that end, it has constantly stressed that a tribunal, including a jury, must be impartial from an objective as well as a subject</w:t>
      </w:r>
      <w:r w:rsidR="000D7D97" w:rsidRPr="00AC57EA">
        <w:rPr>
          <w:sz w:val="20"/>
          <w:szCs w:val="20"/>
          <w:lang w:val="en-US" w:eastAsia="en-US"/>
        </w:rPr>
        <w:t>ive</w:t>
      </w:r>
      <w:r w:rsidR="00167F2B" w:rsidRPr="00AC57EA">
        <w:rPr>
          <w:sz w:val="20"/>
          <w:szCs w:val="20"/>
          <w:lang w:val="en-US" w:eastAsia="en-US"/>
        </w:rPr>
        <w:t xml:space="preserve"> point of view.”</w:t>
      </w:r>
      <w:r w:rsidR="00B5625C" w:rsidRPr="00AC57EA">
        <w:rPr>
          <w:sz w:val="20"/>
          <w:szCs w:val="20"/>
          <w:vertAlign w:val="superscript"/>
          <w:lang w:val="en-US" w:eastAsia="en-US"/>
        </w:rPr>
        <w:footnoteReference w:id="323"/>
      </w:r>
      <w:r w:rsidR="00B5625C" w:rsidRPr="00AC57EA">
        <w:rPr>
          <w:sz w:val="20"/>
          <w:szCs w:val="20"/>
          <w:lang w:val="en-US" w:eastAsia="en-US"/>
        </w:rPr>
        <w:t xml:space="preserve"> </w:t>
      </w:r>
      <w:r w:rsidR="00167F2B" w:rsidRPr="00AC57EA">
        <w:rPr>
          <w:sz w:val="20"/>
          <w:szCs w:val="20"/>
          <w:lang w:val="en-US" w:eastAsia="en-US"/>
        </w:rPr>
        <w:t>“The personal impartiality of a</w:t>
      </w:r>
      <w:r w:rsidR="00B5625C" w:rsidRPr="00AC57EA">
        <w:rPr>
          <w:sz w:val="20"/>
          <w:szCs w:val="20"/>
          <w:lang w:val="en-US" w:eastAsia="en-US"/>
        </w:rPr>
        <w:t xml:space="preserve"> </w:t>
      </w:r>
      <w:r w:rsidR="00B7258C" w:rsidRPr="00AC57EA">
        <w:rPr>
          <w:sz w:val="20"/>
          <w:szCs w:val="20"/>
          <w:lang w:val="en-US" w:eastAsia="en-US"/>
        </w:rPr>
        <w:t>judge</w:t>
      </w:r>
      <w:r w:rsidR="00171E27" w:rsidRPr="00AC57EA">
        <w:rPr>
          <w:sz w:val="20"/>
          <w:szCs w:val="20"/>
          <w:lang w:val="en-US" w:eastAsia="en-US"/>
        </w:rPr>
        <w:t xml:space="preserve"> </w:t>
      </w:r>
      <w:r w:rsidR="00167F2B" w:rsidRPr="00AC57EA">
        <w:rPr>
          <w:sz w:val="20"/>
          <w:szCs w:val="20"/>
          <w:lang w:val="en-US" w:eastAsia="en-US"/>
        </w:rPr>
        <w:t>or a</w:t>
      </w:r>
      <w:r w:rsidR="00171E27" w:rsidRPr="00AC57EA">
        <w:rPr>
          <w:sz w:val="20"/>
          <w:szCs w:val="20"/>
          <w:lang w:val="en-US" w:eastAsia="en-US"/>
        </w:rPr>
        <w:t xml:space="preserve"> </w:t>
      </w:r>
      <w:r w:rsidR="00167F2B" w:rsidRPr="00AC57EA">
        <w:rPr>
          <w:sz w:val="20"/>
          <w:szCs w:val="20"/>
          <w:lang w:val="en-US" w:eastAsia="en-US"/>
        </w:rPr>
        <w:t>jury must be presumed until there is proof to the contrary,”</w:t>
      </w:r>
      <w:r w:rsidR="00B5625C" w:rsidRPr="00AC57EA">
        <w:rPr>
          <w:sz w:val="20"/>
          <w:szCs w:val="20"/>
          <w:vertAlign w:val="superscript"/>
          <w:lang w:val="en-US" w:eastAsia="en-US"/>
        </w:rPr>
        <w:footnoteReference w:id="324"/>
      </w:r>
      <w:r w:rsidR="00167F2B" w:rsidRPr="00AC57EA">
        <w:rPr>
          <w:sz w:val="20"/>
          <w:szCs w:val="20"/>
          <w:lang w:val="en-US" w:eastAsia="en-US"/>
        </w:rPr>
        <w:t xml:space="preserve"> according to the circumstances </w:t>
      </w:r>
      <w:r w:rsidR="0000161F" w:rsidRPr="00AC57EA">
        <w:rPr>
          <w:sz w:val="20"/>
          <w:szCs w:val="20"/>
          <w:lang w:val="en-US" w:eastAsia="en-US"/>
        </w:rPr>
        <w:t>of</w:t>
      </w:r>
      <w:r w:rsidR="00167F2B" w:rsidRPr="00AC57EA">
        <w:rPr>
          <w:sz w:val="20"/>
          <w:szCs w:val="20"/>
          <w:lang w:val="en-US" w:eastAsia="en-US"/>
        </w:rPr>
        <w:t xml:space="preserve"> the specific case.</w:t>
      </w:r>
      <w:r w:rsidR="00B5625C" w:rsidRPr="00AC57EA">
        <w:rPr>
          <w:sz w:val="20"/>
          <w:szCs w:val="20"/>
          <w:vertAlign w:val="superscript"/>
          <w:lang w:val="en-US" w:eastAsia="en-US"/>
        </w:rPr>
        <w:footnoteReference w:id="325"/>
      </w:r>
    </w:p>
    <w:p w14:paraId="76FB6733" w14:textId="77777777" w:rsidR="00B5625C" w:rsidRPr="00AC57EA" w:rsidRDefault="00B5625C" w:rsidP="00B5625C">
      <w:pPr>
        <w:widowControl/>
        <w:adjustRightInd/>
        <w:spacing w:line="240" w:lineRule="auto"/>
        <w:textAlignment w:val="auto"/>
        <w:rPr>
          <w:sz w:val="20"/>
          <w:szCs w:val="20"/>
          <w:lang w:val="en-US" w:eastAsia="en-US"/>
        </w:rPr>
      </w:pPr>
    </w:p>
    <w:p w14:paraId="3B94FFD1" w14:textId="034DFD63" w:rsidR="00167F2B" w:rsidRPr="00AC57EA" w:rsidRDefault="00167F2B" w:rsidP="00167F2B">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Indeed, the Court emphasizes that, </w:t>
      </w:r>
      <w:r w:rsidR="000D7D97" w:rsidRPr="00AC57EA">
        <w:rPr>
          <w:sz w:val="20"/>
          <w:szCs w:val="20"/>
          <w:lang w:val="en-US" w:eastAsia="en-US"/>
        </w:rPr>
        <w:t>when</w:t>
      </w:r>
      <w:r w:rsidRPr="00AC57EA">
        <w:rPr>
          <w:sz w:val="20"/>
          <w:szCs w:val="20"/>
          <w:lang w:val="en-US" w:eastAsia="en-US"/>
        </w:rPr>
        <w:t xml:space="preserve"> analy</w:t>
      </w:r>
      <w:r w:rsidR="000D7D97" w:rsidRPr="00AC57EA">
        <w:rPr>
          <w:sz w:val="20"/>
          <w:szCs w:val="20"/>
          <w:lang w:val="en-US" w:eastAsia="en-US"/>
        </w:rPr>
        <w:t>zing</w:t>
      </w:r>
      <w:r w:rsidRPr="00AC57EA">
        <w:rPr>
          <w:sz w:val="20"/>
          <w:szCs w:val="20"/>
          <w:lang w:val="en-US" w:eastAsia="en-US"/>
        </w:rPr>
        <w:t xml:space="preserve"> the objective aspect of impartiality</w:t>
      </w:r>
      <w:r w:rsidR="000D7D97" w:rsidRPr="00AC57EA">
        <w:rPr>
          <w:sz w:val="20"/>
          <w:szCs w:val="20"/>
          <w:lang w:val="en-US" w:eastAsia="en-US"/>
        </w:rPr>
        <w:t>, t</w:t>
      </w:r>
      <w:r w:rsidRPr="00AC57EA">
        <w:rPr>
          <w:sz w:val="20"/>
          <w:szCs w:val="20"/>
          <w:lang w:val="en-US" w:eastAsia="en-US"/>
        </w:rPr>
        <w:t xml:space="preserve">he personal capacities </w:t>
      </w:r>
      <w:r w:rsidR="000D7D97" w:rsidRPr="00AC57EA">
        <w:rPr>
          <w:sz w:val="20"/>
          <w:szCs w:val="20"/>
          <w:lang w:val="en-US" w:eastAsia="en-US"/>
        </w:rPr>
        <w:t xml:space="preserve">of the judges </w:t>
      </w:r>
      <w:r w:rsidRPr="00AC57EA">
        <w:rPr>
          <w:sz w:val="20"/>
          <w:szCs w:val="20"/>
          <w:lang w:val="en-US" w:eastAsia="en-US"/>
        </w:rPr>
        <w:t>or the</w:t>
      </w:r>
      <w:r w:rsidR="000D7D97" w:rsidRPr="00AC57EA">
        <w:rPr>
          <w:sz w:val="20"/>
          <w:szCs w:val="20"/>
          <w:lang w:val="en-US" w:eastAsia="en-US"/>
        </w:rPr>
        <w:t>ir</w:t>
      </w:r>
      <w:r w:rsidRPr="00AC57EA">
        <w:rPr>
          <w:sz w:val="20"/>
          <w:szCs w:val="20"/>
          <w:lang w:val="en-US" w:eastAsia="en-US"/>
        </w:rPr>
        <w:t xml:space="preserve"> convictions regarding the specific case or their possible relations</w:t>
      </w:r>
      <w:r w:rsidR="000D7D97" w:rsidRPr="00AC57EA">
        <w:rPr>
          <w:sz w:val="20"/>
          <w:szCs w:val="20"/>
          <w:lang w:val="en-US" w:eastAsia="en-US"/>
        </w:rPr>
        <w:t>hips</w:t>
      </w:r>
      <w:r w:rsidRPr="00AC57EA">
        <w:rPr>
          <w:sz w:val="20"/>
          <w:szCs w:val="20"/>
          <w:lang w:val="en-US" w:eastAsia="en-US"/>
        </w:rPr>
        <w:t xml:space="preserve"> with the parties are not in question, but rather facts that</w:t>
      </w:r>
      <w:r w:rsidR="000D7D97" w:rsidRPr="00AC57EA">
        <w:rPr>
          <w:sz w:val="20"/>
          <w:szCs w:val="20"/>
          <w:lang w:val="en-US" w:eastAsia="en-US"/>
        </w:rPr>
        <w:t>,</w:t>
      </w:r>
      <w:r w:rsidRPr="00AC57EA">
        <w:rPr>
          <w:sz w:val="20"/>
          <w:szCs w:val="20"/>
          <w:lang w:val="en-US" w:eastAsia="en-US"/>
        </w:rPr>
        <w:t xml:space="preserve"> in an objective observer</w:t>
      </w:r>
      <w:r w:rsidR="000D7D97" w:rsidRPr="00AC57EA">
        <w:rPr>
          <w:sz w:val="20"/>
          <w:szCs w:val="20"/>
          <w:lang w:val="en-US" w:eastAsia="en-US"/>
        </w:rPr>
        <w:t>, could reasonably justify</w:t>
      </w:r>
      <w:r w:rsidRPr="00AC57EA">
        <w:rPr>
          <w:sz w:val="20"/>
          <w:szCs w:val="20"/>
          <w:lang w:val="en-US" w:eastAsia="en-US"/>
        </w:rPr>
        <w:t xml:space="preserve"> a lack of confidence in those who are responsible for the important mission of imparting justice in a specific case.</w:t>
      </w:r>
    </w:p>
    <w:p w14:paraId="5F362449" w14:textId="77777777" w:rsidR="00B5625C" w:rsidRPr="00AC57EA" w:rsidRDefault="00B5625C" w:rsidP="00B5625C">
      <w:pPr>
        <w:widowControl/>
        <w:adjustRightInd/>
        <w:spacing w:line="240" w:lineRule="auto"/>
        <w:textAlignment w:val="auto"/>
        <w:rPr>
          <w:iCs/>
          <w:sz w:val="20"/>
          <w:lang w:val="en-US" w:eastAsia="en-US"/>
        </w:rPr>
      </w:pPr>
    </w:p>
    <w:p w14:paraId="3B1AEF38" w14:textId="4708C060" w:rsidR="00B5625C" w:rsidRPr="00AC57EA" w:rsidRDefault="001A2418" w:rsidP="00730B0A">
      <w:pPr>
        <w:widowControl/>
        <w:numPr>
          <w:ilvl w:val="0"/>
          <w:numId w:val="2"/>
        </w:numPr>
        <w:tabs>
          <w:tab w:val="left" w:pos="567"/>
          <w:tab w:val="num" w:pos="12305"/>
        </w:tabs>
        <w:adjustRightInd/>
        <w:spacing w:line="240" w:lineRule="auto"/>
        <w:ind w:left="0" w:firstLine="0"/>
        <w:textAlignment w:val="auto"/>
        <w:rPr>
          <w:iCs/>
          <w:sz w:val="20"/>
          <w:lang w:val="en-US" w:eastAsia="en-US"/>
        </w:rPr>
      </w:pPr>
      <w:r w:rsidRPr="00AC57EA">
        <w:rPr>
          <w:iCs/>
          <w:sz w:val="20"/>
          <w:lang w:val="en-US" w:eastAsia="en-US"/>
        </w:rPr>
        <w:t>In this regard</w:t>
      </w:r>
      <w:r w:rsidR="00B5625C" w:rsidRPr="00AC57EA">
        <w:rPr>
          <w:iCs/>
          <w:sz w:val="20"/>
          <w:lang w:val="en-US" w:eastAsia="en-US"/>
        </w:rPr>
        <w:t xml:space="preserve">, </w:t>
      </w:r>
      <w:r w:rsidR="00B7258C" w:rsidRPr="00AC57EA">
        <w:rPr>
          <w:iCs/>
          <w:sz w:val="20"/>
          <w:lang w:val="en-US" w:eastAsia="en-US"/>
        </w:rPr>
        <w:t xml:space="preserve">the </w:t>
      </w:r>
      <w:r w:rsidRPr="00AC57EA">
        <w:rPr>
          <w:iCs/>
          <w:sz w:val="20"/>
          <w:lang w:val="en-US" w:eastAsia="en-US"/>
        </w:rPr>
        <w:t xml:space="preserve">European </w:t>
      </w:r>
      <w:r w:rsidR="00B7258C" w:rsidRPr="00AC57EA">
        <w:rPr>
          <w:iCs/>
          <w:sz w:val="20"/>
          <w:lang w:val="en-US" w:eastAsia="en-US"/>
        </w:rPr>
        <w:t>Court</w:t>
      </w:r>
      <w:r w:rsidR="00B5625C" w:rsidRPr="00AC57EA">
        <w:rPr>
          <w:iCs/>
          <w:sz w:val="20"/>
          <w:lang w:val="en-US" w:eastAsia="en-US"/>
        </w:rPr>
        <w:t xml:space="preserve"> </w:t>
      </w:r>
      <w:r w:rsidRPr="00AC57EA">
        <w:rPr>
          <w:iCs/>
          <w:sz w:val="20"/>
          <w:lang w:val="en-US" w:eastAsia="en-US"/>
        </w:rPr>
        <w:t>has specified that:</w:t>
      </w:r>
    </w:p>
    <w:p w14:paraId="57593A62" w14:textId="1521B79E" w:rsidR="001A2418" w:rsidRPr="00AC57EA" w:rsidRDefault="001A2418" w:rsidP="001A2418">
      <w:pPr>
        <w:widowControl/>
        <w:adjustRightInd/>
        <w:spacing w:line="240" w:lineRule="auto"/>
        <w:ind w:right="582"/>
        <w:textAlignment w:val="auto"/>
        <w:rPr>
          <w:iCs/>
          <w:sz w:val="16"/>
          <w:szCs w:val="16"/>
          <w:lang w:val="en-US" w:eastAsia="en-US"/>
        </w:rPr>
      </w:pPr>
    </w:p>
    <w:p w14:paraId="498DDF19" w14:textId="323BB887" w:rsidR="001A2418" w:rsidRPr="00AC57EA" w:rsidRDefault="001A2418" w:rsidP="00AB262F">
      <w:pPr>
        <w:widowControl/>
        <w:adjustRightInd/>
        <w:spacing w:line="240" w:lineRule="auto"/>
        <w:ind w:left="567" w:right="582"/>
        <w:textAlignment w:val="auto"/>
        <w:rPr>
          <w:b/>
          <w:sz w:val="16"/>
          <w:szCs w:val="16"/>
          <w:u w:val="single"/>
          <w:lang w:val="en-US" w:eastAsia="en-US"/>
        </w:rPr>
      </w:pPr>
      <w:r w:rsidRPr="00AC57EA">
        <w:rPr>
          <w:sz w:val="16"/>
          <w:szCs w:val="16"/>
          <w:lang w:val="en-US"/>
        </w:rPr>
        <w:t>Under the objective test, it must be determined whether, quite apart from the judges’ personal conduct, there are ascertainable facts which may raise doubts as to their impartiality. In this respect even appearances may be of a certain importance. What is at stake is the confidence which the courts in a democratic society must inspire in the public and above all in the parties to proceedings.</w:t>
      </w:r>
      <w:r w:rsidRPr="00AC57EA">
        <w:rPr>
          <w:iCs/>
          <w:sz w:val="16"/>
          <w:szCs w:val="16"/>
          <w:vertAlign w:val="superscript"/>
          <w:lang w:val="en-US" w:eastAsia="en-US"/>
        </w:rPr>
        <w:footnoteReference w:id="326"/>
      </w:r>
    </w:p>
    <w:p w14:paraId="7751F104" w14:textId="77777777" w:rsidR="00B5625C" w:rsidRPr="00AC57EA" w:rsidRDefault="00B5625C" w:rsidP="00B5625C">
      <w:pPr>
        <w:widowControl/>
        <w:adjustRightInd/>
        <w:spacing w:line="240" w:lineRule="auto"/>
        <w:textAlignment w:val="auto"/>
        <w:rPr>
          <w:sz w:val="20"/>
          <w:szCs w:val="20"/>
          <w:lang w:val="en-US" w:eastAsia="en-US"/>
        </w:rPr>
      </w:pPr>
    </w:p>
    <w:p w14:paraId="1D9825D5" w14:textId="6011517F" w:rsidR="00730B0A" w:rsidRPr="00AC57EA" w:rsidRDefault="00B7258C" w:rsidP="001A2418">
      <w:pPr>
        <w:widowControl/>
        <w:numPr>
          <w:ilvl w:val="0"/>
          <w:numId w:val="2"/>
        </w:numPr>
        <w:tabs>
          <w:tab w:val="left" w:pos="567"/>
          <w:tab w:val="num" w:pos="12305"/>
        </w:tabs>
        <w:adjustRightInd/>
        <w:spacing w:line="240" w:lineRule="auto"/>
        <w:ind w:left="0" w:firstLine="0"/>
        <w:textAlignment w:val="auto"/>
        <w:rPr>
          <w:iCs/>
          <w:sz w:val="20"/>
          <w:lang w:val="en-US" w:eastAsia="en-US"/>
        </w:rPr>
      </w:pPr>
      <w:r w:rsidRPr="00AC57EA">
        <w:rPr>
          <w:iCs/>
          <w:sz w:val="20"/>
          <w:lang w:val="en-US" w:eastAsia="en-US"/>
        </w:rPr>
        <w:t>The Court</w:t>
      </w:r>
      <w:r w:rsidR="00730B0A" w:rsidRPr="00AC57EA">
        <w:rPr>
          <w:iCs/>
          <w:sz w:val="20"/>
          <w:lang w:val="en-US" w:eastAsia="en-US"/>
        </w:rPr>
        <w:t xml:space="preserve"> consider</w:t>
      </w:r>
      <w:r w:rsidR="001A2418" w:rsidRPr="00AC57EA">
        <w:rPr>
          <w:iCs/>
          <w:sz w:val="20"/>
          <w:lang w:val="en-US" w:eastAsia="en-US"/>
        </w:rPr>
        <w:t>s that</w:t>
      </w:r>
      <w:r w:rsidR="000D7D97" w:rsidRPr="00AC57EA">
        <w:rPr>
          <w:iCs/>
          <w:sz w:val="20"/>
          <w:lang w:val="en-US" w:eastAsia="en-US"/>
        </w:rPr>
        <w:t xml:space="preserve"> this case does not involve </w:t>
      </w:r>
      <w:r w:rsidR="001A2418" w:rsidRPr="00AC57EA">
        <w:rPr>
          <w:iCs/>
          <w:sz w:val="20"/>
          <w:lang w:val="en-US" w:eastAsia="en-US"/>
        </w:rPr>
        <w:t xml:space="preserve">subjective </w:t>
      </w:r>
      <w:r w:rsidR="000D7D97" w:rsidRPr="00AC57EA">
        <w:rPr>
          <w:iCs/>
          <w:sz w:val="20"/>
          <w:lang w:val="en-US" w:eastAsia="en-US"/>
        </w:rPr>
        <w:t xml:space="preserve">factors </w:t>
      </w:r>
      <w:r w:rsidR="001A2418" w:rsidRPr="00AC57EA">
        <w:rPr>
          <w:iCs/>
          <w:sz w:val="20"/>
          <w:lang w:val="en-US" w:eastAsia="en-US"/>
        </w:rPr>
        <w:t xml:space="preserve">that would affect the impartiality of the </w:t>
      </w:r>
      <w:r w:rsidR="000D7D97" w:rsidRPr="00AC57EA">
        <w:rPr>
          <w:iCs/>
          <w:sz w:val="20"/>
          <w:lang w:val="en-US" w:eastAsia="en-US"/>
        </w:rPr>
        <w:t>court</w:t>
      </w:r>
      <w:r w:rsidR="001A2418" w:rsidRPr="00AC57EA">
        <w:rPr>
          <w:i/>
          <w:iCs/>
          <w:sz w:val="20"/>
          <w:lang w:val="en-US" w:eastAsia="en-US"/>
        </w:rPr>
        <w:t xml:space="preserve"> ab initio</w:t>
      </w:r>
      <w:r w:rsidR="001A2418" w:rsidRPr="00AC57EA">
        <w:rPr>
          <w:iCs/>
          <w:sz w:val="20"/>
          <w:lang w:val="en-US" w:eastAsia="en-US"/>
        </w:rPr>
        <w:t xml:space="preserve"> – in this case constituted by the judge in charge of the case, the judge of law who presided the Jury Court, and the members of the jury; rather the arguments are related to the objective aspect of impartiality. Consequently, the Court will now examine the alleged facts and other elements in order to determine whether a well-founded fear existed that called into question the exercise of the functions of the judge in charge of the proceedings </w:t>
      </w:r>
      <w:r w:rsidR="00171E27" w:rsidRPr="00AC57EA">
        <w:rPr>
          <w:iCs/>
          <w:sz w:val="20"/>
          <w:lang w:val="en-US" w:eastAsia="en-US"/>
        </w:rPr>
        <w:t xml:space="preserve">and </w:t>
      </w:r>
      <w:r w:rsidRPr="00AC57EA">
        <w:rPr>
          <w:iCs/>
          <w:sz w:val="20"/>
          <w:lang w:val="en-US" w:eastAsia="en-US"/>
        </w:rPr>
        <w:t xml:space="preserve">of </w:t>
      </w:r>
      <w:r w:rsidR="00823E77" w:rsidRPr="00AC57EA">
        <w:rPr>
          <w:iCs/>
          <w:sz w:val="20"/>
          <w:lang w:val="en-US" w:eastAsia="en-US"/>
        </w:rPr>
        <w:t>the Jury Court</w:t>
      </w:r>
      <w:r w:rsidR="00486513" w:rsidRPr="00AC57EA">
        <w:rPr>
          <w:iCs/>
          <w:sz w:val="20"/>
          <w:lang w:val="en-US" w:eastAsia="en-US"/>
        </w:rPr>
        <w:t xml:space="preserve"> </w:t>
      </w:r>
      <w:r w:rsidR="001A2418" w:rsidRPr="00AC57EA">
        <w:rPr>
          <w:iCs/>
          <w:sz w:val="20"/>
          <w:lang w:val="en-US" w:eastAsia="en-US"/>
        </w:rPr>
        <w:t>in this specific case.</w:t>
      </w:r>
    </w:p>
    <w:p w14:paraId="70F02E1F" w14:textId="77777777" w:rsidR="00B5625C" w:rsidRPr="00AC57EA" w:rsidRDefault="00B5625C" w:rsidP="00B5625C">
      <w:pPr>
        <w:widowControl/>
        <w:adjustRightInd/>
        <w:spacing w:line="240" w:lineRule="auto"/>
        <w:textAlignment w:val="auto"/>
        <w:rPr>
          <w:sz w:val="20"/>
          <w:szCs w:val="20"/>
          <w:lang w:val="en-US" w:eastAsia="en-US"/>
        </w:rPr>
      </w:pPr>
    </w:p>
    <w:p w14:paraId="2FDE38D7" w14:textId="584647A9" w:rsidR="00912F1E" w:rsidRPr="00AC57EA" w:rsidRDefault="001A2418" w:rsidP="00730B0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In the instant case, the arguments regarding lack of impartiality related, above all, to the following factual matters: (i) the fact that the hearing was suspended twice, allegedly without justification; (ii) the fact that V.P.C. was not allowed to take part in one of the hearings on the random selection of the jury</w:t>
      </w:r>
      <w:r w:rsidR="00B5625C" w:rsidRPr="00AC57EA">
        <w:rPr>
          <w:sz w:val="20"/>
          <w:szCs w:val="20"/>
          <w:lang w:val="en-US" w:eastAsia="en-US"/>
        </w:rPr>
        <w:t xml:space="preserve">; </w:t>
      </w:r>
      <w:r w:rsidRPr="00AC57EA">
        <w:rPr>
          <w:sz w:val="20"/>
          <w:szCs w:val="20"/>
          <w:lang w:val="en-US" w:eastAsia="en-US"/>
        </w:rPr>
        <w:t>(</w:t>
      </w:r>
      <w:r w:rsidR="00B5625C" w:rsidRPr="00AC57EA">
        <w:rPr>
          <w:sz w:val="20"/>
          <w:szCs w:val="20"/>
          <w:lang w:val="en-US" w:eastAsia="en-US"/>
        </w:rPr>
        <w:t>iii)</w:t>
      </w:r>
      <w:r w:rsidRPr="00AC57EA">
        <w:rPr>
          <w:sz w:val="20"/>
          <w:szCs w:val="20"/>
          <w:lang w:val="en-US" w:eastAsia="en-US"/>
        </w:rPr>
        <w:t xml:space="preserve"> the fact that the plaintiff’s lawyer was not allowed to </w:t>
      </w:r>
      <w:r w:rsidR="00912F1E" w:rsidRPr="00AC57EA">
        <w:rPr>
          <w:sz w:val="20"/>
          <w:szCs w:val="20"/>
          <w:lang w:val="en-US" w:eastAsia="en-US"/>
        </w:rPr>
        <w:t>be assisted by another lawyer, and (iv) the fact that occurred at the end of the public hearing and before the jury had left to conduct its secret deliberations: the delivery to the presiding judge of a</w:t>
      </w:r>
      <w:r w:rsidR="00D86AD9" w:rsidRPr="00AC57EA">
        <w:rPr>
          <w:sz w:val="20"/>
          <w:szCs w:val="20"/>
          <w:lang w:val="en-US" w:eastAsia="en-US"/>
        </w:rPr>
        <w:t xml:space="preserve"> silver-</w:t>
      </w:r>
      <w:r w:rsidR="00912F1E" w:rsidRPr="00AC57EA">
        <w:rPr>
          <w:sz w:val="20"/>
          <w:szCs w:val="20"/>
          <w:lang w:val="en-US" w:eastAsia="en-US"/>
        </w:rPr>
        <w:t>grey bag and some sheets of pink paper sent by the accused to be read in the private session.</w:t>
      </w:r>
    </w:p>
    <w:p w14:paraId="6089CACD" w14:textId="77777777" w:rsidR="00B5625C" w:rsidRPr="00AC57EA" w:rsidRDefault="00B5625C" w:rsidP="00B5625C">
      <w:pPr>
        <w:widowControl/>
        <w:adjustRightInd/>
        <w:spacing w:line="240" w:lineRule="auto"/>
        <w:textAlignment w:val="auto"/>
        <w:rPr>
          <w:sz w:val="20"/>
          <w:szCs w:val="20"/>
          <w:lang w:val="en-US" w:eastAsia="en-US"/>
        </w:rPr>
      </w:pPr>
    </w:p>
    <w:p w14:paraId="2135F48A" w14:textId="456DB047" w:rsidR="00B5625C" w:rsidRPr="00AC57EA" w:rsidRDefault="00B7258C" w:rsidP="00912F1E">
      <w:pPr>
        <w:widowControl/>
        <w:numPr>
          <w:ilvl w:val="0"/>
          <w:numId w:val="2"/>
        </w:numPr>
        <w:tabs>
          <w:tab w:val="left" w:pos="567"/>
          <w:tab w:val="num" w:pos="12305"/>
        </w:tabs>
        <w:adjustRightInd/>
        <w:spacing w:line="240" w:lineRule="auto"/>
        <w:ind w:left="0" w:firstLine="0"/>
        <w:textAlignment w:val="auto"/>
        <w:rPr>
          <w:rFonts w:cs="MinionPro-Regular"/>
          <w:sz w:val="20"/>
          <w:szCs w:val="20"/>
          <w:lang w:val="en-US" w:eastAsia="en-US"/>
        </w:rPr>
      </w:pPr>
      <w:r w:rsidRPr="00AC57EA">
        <w:rPr>
          <w:rFonts w:cs="MinionPro-Regular"/>
          <w:sz w:val="20"/>
          <w:szCs w:val="20"/>
          <w:lang w:val="en-US" w:eastAsia="en-US"/>
        </w:rPr>
        <w:t>The Court</w:t>
      </w:r>
      <w:r w:rsidR="00B5625C" w:rsidRPr="00AC57EA">
        <w:rPr>
          <w:rFonts w:cs="MinionPro-Regular"/>
          <w:sz w:val="20"/>
          <w:szCs w:val="20"/>
          <w:lang w:val="en-US" w:eastAsia="en-US"/>
        </w:rPr>
        <w:t xml:space="preserve"> not</w:t>
      </w:r>
      <w:r w:rsidR="00912F1E" w:rsidRPr="00AC57EA">
        <w:rPr>
          <w:rFonts w:cs="MinionPro-Regular"/>
          <w:sz w:val="20"/>
          <w:szCs w:val="20"/>
          <w:lang w:val="en-US" w:eastAsia="en-US"/>
        </w:rPr>
        <w:t xml:space="preserve">es that the main procedure during which the possible impartiality of the jury can be eliminated is their random selection which, in the Anglo-Saxon systems is known as </w:t>
      </w:r>
      <w:r w:rsidR="00B5625C" w:rsidRPr="00AC57EA">
        <w:rPr>
          <w:rFonts w:cs="MinionPro-Regular"/>
          <w:i/>
          <w:sz w:val="20"/>
          <w:szCs w:val="20"/>
          <w:lang w:val="en-US" w:eastAsia="en-US"/>
        </w:rPr>
        <w:t>voir dire.</w:t>
      </w:r>
      <w:r w:rsidR="00B5625C" w:rsidRPr="00AC57EA">
        <w:rPr>
          <w:rFonts w:cs="MinionPro-Regular"/>
          <w:sz w:val="20"/>
          <w:szCs w:val="20"/>
          <w:lang w:val="en-US" w:eastAsia="en-US"/>
        </w:rPr>
        <w:t xml:space="preserve"> </w:t>
      </w:r>
      <w:r w:rsidR="00912F1E" w:rsidRPr="00AC57EA">
        <w:rPr>
          <w:rFonts w:cs="MinionPro-Regular"/>
          <w:sz w:val="20"/>
          <w:szCs w:val="20"/>
          <w:lang w:val="en-US" w:eastAsia="en-US"/>
        </w:rPr>
        <w:t xml:space="preserve">This procedure is especially relevant in cases of sexual violence to establish whether jurors have prejudices and false beliefs in this regard that could have a negative impact on their assessment of a specific case based on prejudices and myths present in the </w:t>
      </w:r>
      <w:r w:rsidR="003A6E47" w:rsidRPr="00AC57EA">
        <w:rPr>
          <w:sz w:val="20"/>
          <w:lang w:val="en-US" w:eastAsia="en-US"/>
        </w:rPr>
        <w:t>social imaginary</w:t>
      </w:r>
      <w:r w:rsidR="007E114C" w:rsidRPr="00AC57EA">
        <w:rPr>
          <w:rFonts w:cs="MinionPro-Regular"/>
          <w:sz w:val="20"/>
          <w:szCs w:val="20"/>
          <w:lang w:val="en-US" w:eastAsia="en-US"/>
        </w:rPr>
        <w:t xml:space="preserve">. In the case of Nicaragua, this procedure </w:t>
      </w:r>
      <w:r w:rsidR="000D7D97" w:rsidRPr="00AC57EA">
        <w:rPr>
          <w:rFonts w:cs="MinionPro-Regular"/>
          <w:sz w:val="20"/>
          <w:szCs w:val="20"/>
          <w:lang w:val="en-US" w:eastAsia="en-US"/>
        </w:rPr>
        <w:t xml:space="preserve">included </w:t>
      </w:r>
      <w:r w:rsidR="007E114C" w:rsidRPr="00AC57EA">
        <w:rPr>
          <w:rFonts w:cs="MinionPro-Regular"/>
          <w:sz w:val="20"/>
          <w:szCs w:val="20"/>
          <w:lang w:val="en-US" w:eastAsia="en-US"/>
        </w:rPr>
        <w:t xml:space="preserve">the possibility of </w:t>
      </w:r>
      <w:r w:rsidR="00F34A14" w:rsidRPr="00AC57EA">
        <w:rPr>
          <w:rFonts w:cs="MinionPro-Regular"/>
          <w:sz w:val="20"/>
          <w:szCs w:val="20"/>
          <w:lang w:val="en-US" w:eastAsia="en-US"/>
        </w:rPr>
        <w:t>vetoing</w:t>
      </w:r>
      <w:r w:rsidR="007E114C" w:rsidRPr="00AC57EA">
        <w:rPr>
          <w:rFonts w:cs="MinionPro-Regular"/>
          <w:sz w:val="20"/>
          <w:szCs w:val="20"/>
          <w:lang w:val="en-US" w:eastAsia="en-US"/>
        </w:rPr>
        <w:t xml:space="preserve"> a juror without </w:t>
      </w:r>
      <w:r w:rsidR="000D7D97" w:rsidRPr="00AC57EA">
        <w:rPr>
          <w:rFonts w:cs="MinionPro-Regular"/>
          <w:sz w:val="20"/>
          <w:szCs w:val="20"/>
          <w:lang w:val="en-US" w:eastAsia="en-US"/>
        </w:rPr>
        <w:t>cause</w:t>
      </w:r>
      <w:r w:rsidR="00B5625C" w:rsidRPr="00AC57EA">
        <w:rPr>
          <w:rFonts w:cs="MinionPro-Regular"/>
          <w:sz w:val="20"/>
          <w:szCs w:val="20"/>
          <w:lang w:val="en-US" w:eastAsia="en-US"/>
        </w:rPr>
        <w:t xml:space="preserve"> (</w:t>
      </w:r>
      <w:r w:rsidR="00B5625C" w:rsidRPr="00AC57EA">
        <w:rPr>
          <w:rFonts w:cs="MinionPro-Regular"/>
          <w:i/>
          <w:sz w:val="20"/>
          <w:szCs w:val="20"/>
          <w:lang w:val="en-US" w:eastAsia="en-US"/>
        </w:rPr>
        <w:t xml:space="preserve">supra </w:t>
      </w:r>
      <w:r w:rsidR="00171E27" w:rsidRPr="00AC57EA">
        <w:rPr>
          <w:rFonts w:cs="MinionPro-Regular"/>
          <w:sz w:val="20"/>
          <w:szCs w:val="20"/>
          <w:lang w:val="en-US" w:eastAsia="en-US"/>
        </w:rPr>
        <w:t>para.</w:t>
      </w:r>
      <w:r w:rsidR="00B5625C" w:rsidRPr="00AC57EA">
        <w:rPr>
          <w:rFonts w:cs="MinionPro-Regular"/>
          <w:sz w:val="20"/>
          <w:szCs w:val="20"/>
          <w:lang w:val="en-US" w:eastAsia="en-US"/>
        </w:rPr>
        <w:t xml:space="preserve"> </w:t>
      </w:r>
      <w:r w:rsidR="00CC7568" w:rsidRPr="00AC57EA">
        <w:rPr>
          <w:rFonts w:cs="MinionPro-Regular"/>
          <w:sz w:val="20"/>
          <w:szCs w:val="20"/>
          <w:lang w:val="en-US" w:eastAsia="en-US"/>
        </w:rPr>
        <w:t>230</w:t>
      </w:r>
      <w:r w:rsidR="005E5B71" w:rsidRPr="00AC57EA">
        <w:rPr>
          <w:rFonts w:cs="MinionPro-Regular"/>
          <w:sz w:val="20"/>
          <w:szCs w:val="20"/>
          <w:lang w:val="en-US" w:eastAsia="en-US"/>
        </w:rPr>
        <w:t>).</w:t>
      </w:r>
    </w:p>
    <w:p w14:paraId="2DF31259" w14:textId="77777777" w:rsidR="00B5625C" w:rsidRPr="00AC57EA" w:rsidRDefault="00B5625C" w:rsidP="00B5625C">
      <w:pPr>
        <w:widowControl/>
        <w:adjustRightInd/>
        <w:spacing w:line="240" w:lineRule="auto"/>
        <w:textAlignment w:val="auto"/>
        <w:rPr>
          <w:sz w:val="20"/>
          <w:szCs w:val="20"/>
          <w:lang w:val="en-US" w:eastAsia="en-US"/>
        </w:rPr>
      </w:pPr>
    </w:p>
    <w:p w14:paraId="3A854150" w14:textId="1CBFAF5D" w:rsidR="00741FB2" w:rsidRPr="00AC57EA" w:rsidRDefault="00741FB2" w:rsidP="00730B0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Regarding the suspension of the hearing on two occasions </w:t>
      </w:r>
      <w:r w:rsidR="00B5625C" w:rsidRPr="00AC57EA">
        <w:rPr>
          <w:sz w:val="20"/>
          <w:szCs w:val="20"/>
          <w:lang w:val="en-US" w:eastAsia="en-US"/>
        </w:rPr>
        <w:t>(</w:t>
      </w:r>
      <w:r w:rsidR="00B5625C" w:rsidRPr="00AC57EA">
        <w:rPr>
          <w:i/>
          <w:sz w:val="20"/>
          <w:szCs w:val="20"/>
          <w:lang w:val="en-US" w:eastAsia="en-US"/>
        </w:rPr>
        <w:t>supra</w:t>
      </w:r>
      <w:r w:rsidR="00B5625C" w:rsidRPr="00AC57EA">
        <w:rPr>
          <w:sz w:val="20"/>
          <w:szCs w:val="20"/>
          <w:lang w:val="en-US" w:eastAsia="en-US"/>
        </w:rPr>
        <w:t xml:space="preserve"> </w:t>
      </w:r>
      <w:r w:rsidR="00171E27" w:rsidRPr="00AC57EA">
        <w:rPr>
          <w:sz w:val="20"/>
          <w:szCs w:val="20"/>
          <w:lang w:val="en-US" w:eastAsia="en-US"/>
        </w:rPr>
        <w:t>para.</w:t>
      </w:r>
      <w:r w:rsidR="00B5625C" w:rsidRPr="00AC57EA">
        <w:rPr>
          <w:sz w:val="20"/>
          <w:szCs w:val="20"/>
          <w:lang w:val="en-US" w:eastAsia="en-US"/>
        </w:rPr>
        <w:t xml:space="preserve"> </w:t>
      </w:r>
      <w:r w:rsidR="005E5B71" w:rsidRPr="00AC57EA">
        <w:rPr>
          <w:sz w:val="20"/>
          <w:szCs w:val="20"/>
          <w:lang w:val="en-US" w:eastAsia="en-US"/>
        </w:rPr>
        <w:t>95</w:t>
      </w:r>
      <w:r w:rsidR="00B5625C" w:rsidRPr="00AC57EA">
        <w:rPr>
          <w:sz w:val="20"/>
          <w:szCs w:val="20"/>
          <w:lang w:val="en-US" w:eastAsia="en-US"/>
        </w:rPr>
        <w:t xml:space="preserve">), </w:t>
      </w:r>
      <w:r w:rsidR="00B7258C" w:rsidRPr="00AC57EA">
        <w:rPr>
          <w:sz w:val="20"/>
          <w:szCs w:val="20"/>
          <w:lang w:val="en-US" w:eastAsia="en-US"/>
        </w:rPr>
        <w:t>the Court</w:t>
      </w:r>
      <w:r w:rsidR="00B5625C" w:rsidRPr="00AC57EA">
        <w:rPr>
          <w:sz w:val="20"/>
          <w:szCs w:val="20"/>
          <w:lang w:val="en-US" w:eastAsia="en-US"/>
        </w:rPr>
        <w:t xml:space="preserve"> not</w:t>
      </w:r>
      <w:r w:rsidRPr="00AC57EA">
        <w:rPr>
          <w:sz w:val="20"/>
          <w:szCs w:val="20"/>
          <w:lang w:val="en-US" w:eastAsia="en-US"/>
        </w:rPr>
        <w:t>es that, as indicated by the State, there are no aspects that could objectively indicate that this harmed the</w:t>
      </w:r>
      <w:r w:rsidR="000D7D97" w:rsidRPr="00AC57EA">
        <w:rPr>
          <w:sz w:val="20"/>
          <w:szCs w:val="20"/>
          <w:lang w:val="en-US" w:eastAsia="en-US"/>
        </w:rPr>
        <w:t xml:space="preserve"> court’s</w:t>
      </w:r>
      <w:r w:rsidRPr="00AC57EA">
        <w:rPr>
          <w:sz w:val="20"/>
          <w:szCs w:val="20"/>
          <w:lang w:val="en-US" w:eastAsia="en-US"/>
        </w:rPr>
        <w:t xml:space="preserve"> impartiality.</w:t>
      </w:r>
    </w:p>
    <w:p w14:paraId="4AEE71C5" w14:textId="77777777" w:rsidR="00B5625C" w:rsidRPr="00AC57EA" w:rsidRDefault="00B5625C" w:rsidP="00B5625C">
      <w:pPr>
        <w:widowControl/>
        <w:adjustRightInd/>
        <w:spacing w:line="240" w:lineRule="auto"/>
        <w:textAlignment w:val="auto"/>
        <w:rPr>
          <w:sz w:val="20"/>
          <w:szCs w:val="20"/>
          <w:lang w:val="en-US" w:eastAsia="en-US"/>
        </w:rPr>
      </w:pPr>
    </w:p>
    <w:p w14:paraId="6DCF1E55" w14:textId="00B75702" w:rsidR="00741FB2" w:rsidRPr="00AC57EA" w:rsidRDefault="00741FB2" w:rsidP="00741FB2">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Another of the alleged irregularities in the proceedings was that V.P.C. was not allowed to be present in a hearing for the random selection of the jury, which had presumably prevented her from </w:t>
      </w:r>
      <w:r w:rsidR="00F34A14" w:rsidRPr="00AC57EA">
        <w:rPr>
          <w:sz w:val="20"/>
          <w:szCs w:val="20"/>
          <w:lang w:val="en-US" w:eastAsia="en-US"/>
        </w:rPr>
        <w:t>vetoing</w:t>
      </w:r>
      <w:r w:rsidRPr="00AC57EA">
        <w:rPr>
          <w:sz w:val="20"/>
          <w:szCs w:val="20"/>
          <w:lang w:val="en-US" w:eastAsia="en-US"/>
        </w:rPr>
        <w:t xml:space="preserve"> some of the members. The Court notes that her official legal representative was present.</w:t>
      </w:r>
      <w:r w:rsidR="005929E6" w:rsidRPr="00AC57EA">
        <w:rPr>
          <w:rStyle w:val="Refdenotaalpie"/>
          <w:sz w:val="20"/>
          <w:szCs w:val="20"/>
          <w:lang w:val="en-US" w:eastAsia="en-US"/>
        </w:rPr>
        <w:footnoteReference w:id="327"/>
      </w:r>
      <w:r w:rsidRPr="00AC57EA">
        <w:rPr>
          <w:sz w:val="20"/>
          <w:szCs w:val="20"/>
          <w:lang w:val="en-US" w:eastAsia="en-US"/>
        </w:rPr>
        <w:t xml:space="preserve"> However, no facts or circumstances that could have constituted </w:t>
      </w:r>
      <w:r w:rsidR="00F34A14" w:rsidRPr="00AC57EA">
        <w:rPr>
          <w:sz w:val="20"/>
          <w:szCs w:val="20"/>
          <w:lang w:val="en-US" w:eastAsia="en-US"/>
        </w:rPr>
        <w:t xml:space="preserve">justification </w:t>
      </w:r>
      <w:r w:rsidRPr="00AC57EA">
        <w:rPr>
          <w:sz w:val="20"/>
          <w:szCs w:val="20"/>
          <w:lang w:val="en-US" w:eastAsia="en-US"/>
        </w:rPr>
        <w:t xml:space="preserve">for </w:t>
      </w:r>
      <w:r w:rsidR="00F34A14" w:rsidRPr="00AC57EA">
        <w:rPr>
          <w:sz w:val="20"/>
          <w:szCs w:val="20"/>
          <w:lang w:val="en-US" w:eastAsia="en-US"/>
        </w:rPr>
        <w:t xml:space="preserve">vetoing </w:t>
      </w:r>
      <w:r w:rsidRPr="00AC57EA">
        <w:rPr>
          <w:sz w:val="20"/>
          <w:szCs w:val="20"/>
          <w:lang w:val="en-US" w:eastAsia="en-US"/>
        </w:rPr>
        <w:t xml:space="preserve">any of the members of the jury were specified and that were unknown to her lawyer and that he was therefore unable to affirm at that time. Consequently, the Court does not find that any irregularity existed in this specific </w:t>
      </w:r>
      <w:r w:rsidR="00127899" w:rsidRPr="00AC57EA">
        <w:rPr>
          <w:sz w:val="20"/>
          <w:szCs w:val="20"/>
          <w:lang w:val="en-US" w:eastAsia="en-US"/>
        </w:rPr>
        <w:t>case, especially as the members of the jury constituted at that time did not form part of the Jury Court for the public hearing.</w:t>
      </w:r>
    </w:p>
    <w:p w14:paraId="734CABC9" w14:textId="77777777" w:rsidR="00B5625C" w:rsidRPr="00AC57EA" w:rsidRDefault="00B5625C" w:rsidP="00B5625C">
      <w:pPr>
        <w:widowControl/>
        <w:adjustRightInd/>
        <w:spacing w:line="240" w:lineRule="auto"/>
        <w:textAlignment w:val="auto"/>
        <w:rPr>
          <w:sz w:val="20"/>
          <w:szCs w:val="20"/>
          <w:lang w:val="en-US" w:eastAsia="en-US"/>
        </w:rPr>
      </w:pPr>
    </w:p>
    <w:p w14:paraId="678C0B17" w14:textId="739E26CB" w:rsidR="00127899" w:rsidRPr="00AC57EA" w:rsidRDefault="00127899" w:rsidP="00730B0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Furthermore, the Court notes that, regarding the composition </w:t>
      </w:r>
      <w:r w:rsidR="00B7258C" w:rsidRPr="00AC57EA">
        <w:rPr>
          <w:sz w:val="20"/>
          <w:szCs w:val="20"/>
          <w:lang w:val="en-US" w:eastAsia="en-US"/>
        </w:rPr>
        <w:t xml:space="preserve">of </w:t>
      </w:r>
      <w:r w:rsidR="00823E77" w:rsidRPr="00AC57EA">
        <w:rPr>
          <w:sz w:val="20"/>
          <w:szCs w:val="20"/>
          <w:lang w:val="en-US" w:eastAsia="en-US"/>
        </w:rPr>
        <w:t>the Jury Court</w:t>
      </w:r>
      <w:r w:rsidR="00B5625C" w:rsidRPr="00AC57EA">
        <w:rPr>
          <w:sz w:val="20"/>
          <w:szCs w:val="20"/>
          <w:lang w:val="en-US" w:eastAsia="en-US"/>
        </w:rPr>
        <w:t>,</w:t>
      </w:r>
      <w:r w:rsidRPr="00AC57EA">
        <w:rPr>
          <w:sz w:val="20"/>
          <w:szCs w:val="20"/>
          <w:lang w:val="en-US" w:eastAsia="en-US"/>
        </w:rPr>
        <w:t xml:space="preserve"> the parties were able to present </w:t>
      </w:r>
      <w:r w:rsidR="00F34A14" w:rsidRPr="00AC57EA">
        <w:rPr>
          <w:sz w:val="20"/>
          <w:szCs w:val="20"/>
          <w:lang w:val="en-US" w:eastAsia="en-US"/>
        </w:rPr>
        <w:t>vetoes</w:t>
      </w:r>
      <w:r w:rsidRPr="00AC57EA">
        <w:rPr>
          <w:sz w:val="20"/>
          <w:szCs w:val="20"/>
          <w:lang w:val="en-US" w:eastAsia="en-US"/>
        </w:rPr>
        <w:t xml:space="preserve"> with and without </w:t>
      </w:r>
      <w:r w:rsidR="00F34A14" w:rsidRPr="00AC57EA">
        <w:rPr>
          <w:sz w:val="20"/>
          <w:szCs w:val="20"/>
          <w:lang w:val="en-US" w:eastAsia="en-US"/>
        </w:rPr>
        <w:t>justification</w:t>
      </w:r>
      <w:r w:rsidRPr="00AC57EA">
        <w:rPr>
          <w:sz w:val="20"/>
          <w:szCs w:val="20"/>
          <w:lang w:val="en-US" w:eastAsia="en-US"/>
        </w:rPr>
        <w:t>, as established in the</w:t>
      </w:r>
      <w:r w:rsidR="00B5625C" w:rsidRPr="00AC57EA">
        <w:rPr>
          <w:sz w:val="20"/>
          <w:szCs w:val="20"/>
          <w:lang w:val="en-US" w:eastAsia="en-US"/>
        </w:rPr>
        <w:t xml:space="preserve"> </w:t>
      </w:r>
      <w:r w:rsidR="002A1A7C" w:rsidRPr="00AC57EA">
        <w:rPr>
          <w:sz w:val="20"/>
          <w:szCs w:val="20"/>
          <w:lang w:val="en-US" w:eastAsia="en-US"/>
        </w:rPr>
        <w:t>Code of Criminal Procedure</w:t>
      </w:r>
      <w:r w:rsidR="00B5625C" w:rsidRPr="00AC57EA">
        <w:rPr>
          <w:sz w:val="20"/>
          <w:szCs w:val="20"/>
          <w:lang w:val="en-US" w:eastAsia="en-US"/>
        </w:rPr>
        <w:t xml:space="preserve"> (</w:t>
      </w:r>
      <w:r w:rsidR="00B5625C" w:rsidRPr="00AC57EA">
        <w:rPr>
          <w:i/>
          <w:sz w:val="20"/>
          <w:szCs w:val="20"/>
          <w:lang w:val="en-US" w:eastAsia="en-US"/>
        </w:rPr>
        <w:t>supra</w:t>
      </w:r>
      <w:r w:rsidR="00B5625C" w:rsidRPr="00AC57EA">
        <w:rPr>
          <w:sz w:val="20"/>
          <w:szCs w:val="20"/>
          <w:lang w:val="en-US" w:eastAsia="en-US"/>
        </w:rPr>
        <w:t xml:space="preserve"> </w:t>
      </w:r>
      <w:r w:rsidR="00171E27" w:rsidRPr="00AC57EA">
        <w:rPr>
          <w:sz w:val="20"/>
          <w:szCs w:val="20"/>
          <w:lang w:val="en-US" w:eastAsia="en-US"/>
        </w:rPr>
        <w:t>para.</w:t>
      </w:r>
      <w:r w:rsidR="00B5625C" w:rsidRPr="00AC57EA">
        <w:rPr>
          <w:sz w:val="20"/>
          <w:szCs w:val="20"/>
          <w:lang w:val="en-US" w:eastAsia="en-US"/>
        </w:rPr>
        <w:t xml:space="preserve"> </w:t>
      </w:r>
      <w:r w:rsidR="00E50575" w:rsidRPr="00AC57EA">
        <w:rPr>
          <w:sz w:val="20"/>
          <w:szCs w:val="20"/>
          <w:lang w:val="en-US" w:eastAsia="en-US"/>
        </w:rPr>
        <w:t>230</w:t>
      </w:r>
      <w:r w:rsidR="00B5625C" w:rsidRPr="00AC57EA">
        <w:rPr>
          <w:sz w:val="20"/>
          <w:szCs w:val="20"/>
          <w:lang w:val="en-US" w:eastAsia="en-US"/>
        </w:rPr>
        <w:t>),</w:t>
      </w:r>
      <w:r w:rsidR="00171E27" w:rsidRPr="00AC57EA">
        <w:rPr>
          <w:sz w:val="20"/>
          <w:szCs w:val="20"/>
          <w:lang w:val="en-US" w:eastAsia="en-US"/>
        </w:rPr>
        <w:t xml:space="preserve"> and</w:t>
      </w:r>
      <w:r w:rsidRPr="00AC57EA">
        <w:rPr>
          <w:sz w:val="20"/>
          <w:szCs w:val="20"/>
          <w:lang w:val="en-US" w:eastAsia="en-US"/>
        </w:rPr>
        <w:t xml:space="preserve"> that they made use of this right during all the jury selections, except the final one. I</w:t>
      </w:r>
      <w:r w:rsidR="00960BB4" w:rsidRPr="00AC57EA">
        <w:rPr>
          <w:sz w:val="20"/>
          <w:szCs w:val="20"/>
          <w:lang w:val="en-US" w:eastAsia="en-US"/>
        </w:rPr>
        <w:t>t is a fact that</w:t>
      </w:r>
      <w:r w:rsidRPr="00AC57EA">
        <w:rPr>
          <w:sz w:val="20"/>
          <w:szCs w:val="20"/>
          <w:lang w:val="en-US" w:eastAsia="en-US"/>
        </w:rPr>
        <w:t xml:space="preserve"> V.P.C.’s lawyer did not </w:t>
      </w:r>
      <w:r w:rsidR="00554351" w:rsidRPr="00AC57EA">
        <w:rPr>
          <w:sz w:val="20"/>
          <w:szCs w:val="20"/>
          <w:lang w:val="en-US" w:eastAsia="en-US"/>
        </w:rPr>
        <w:t>veto</w:t>
      </w:r>
      <w:r w:rsidRPr="00AC57EA">
        <w:rPr>
          <w:sz w:val="20"/>
          <w:szCs w:val="20"/>
          <w:lang w:val="en-US" w:eastAsia="en-US"/>
        </w:rPr>
        <w:t xml:space="preserve"> any of the jurors randomly selected for the public hearing </w:t>
      </w:r>
      <w:r w:rsidR="00960BB4" w:rsidRPr="00AC57EA">
        <w:rPr>
          <w:sz w:val="20"/>
          <w:szCs w:val="20"/>
          <w:lang w:val="en-US" w:eastAsia="en-US"/>
        </w:rPr>
        <w:t>and who would</w:t>
      </w:r>
      <w:r w:rsidRPr="00AC57EA">
        <w:rPr>
          <w:sz w:val="20"/>
          <w:szCs w:val="20"/>
          <w:lang w:val="en-US" w:eastAsia="en-US"/>
        </w:rPr>
        <w:t xml:space="preserve"> issue the verdict. The Court </w:t>
      </w:r>
      <w:r w:rsidR="00960BB4" w:rsidRPr="00AC57EA">
        <w:rPr>
          <w:sz w:val="20"/>
          <w:szCs w:val="20"/>
          <w:lang w:val="en-US" w:eastAsia="en-US"/>
        </w:rPr>
        <w:t xml:space="preserve">also </w:t>
      </w:r>
      <w:r w:rsidRPr="00AC57EA">
        <w:rPr>
          <w:sz w:val="20"/>
          <w:szCs w:val="20"/>
          <w:lang w:val="en-US" w:eastAsia="en-US"/>
        </w:rPr>
        <w:t>notes that</w:t>
      </w:r>
      <w:r w:rsidR="00960BB4" w:rsidRPr="00AC57EA">
        <w:rPr>
          <w:sz w:val="20"/>
          <w:szCs w:val="20"/>
          <w:lang w:val="en-US" w:eastAsia="en-US"/>
        </w:rPr>
        <w:t xml:space="preserve"> the jurors were not questioned </w:t>
      </w:r>
      <w:r w:rsidRPr="00AC57EA">
        <w:rPr>
          <w:sz w:val="20"/>
          <w:szCs w:val="20"/>
          <w:lang w:val="en-US" w:eastAsia="en-US"/>
        </w:rPr>
        <w:t xml:space="preserve">with regard to their opinion on matters that could be conditioned by stereotypes and social prejudices, an aspect that was not expressly established in Nicaragua’s laws. All this is indicative of the fact that, </w:t>
      </w:r>
      <w:r w:rsidR="00960BB4" w:rsidRPr="00AC57EA">
        <w:rPr>
          <w:sz w:val="20"/>
          <w:szCs w:val="20"/>
          <w:lang w:val="en-US" w:eastAsia="en-US"/>
        </w:rPr>
        <w:t>regarding</w:t>
      </w:r>
      <w:r w:rsidRPr="00AC57EA">
        <w:rPr>
          <w:sz w:val="20"/>
          <w:szCs w:val="20"/>
          <w:lang w:val="en-US" w:eastAsia="en-US"/>
        </w:rPr>
        <w:t xml:space="preserve"> the composition of the jury, there were no subjective doubts or elements that had an impact on the impartiality of its members prior to the public hearing. Moreover, no special circumstance was alleged with regard to the procedure for this random selection that could have called into question the subjective impartiality of the jurors.</w:t>
      </w:r>
    </w:p>
    <w:p w14:paraId="12F0EEBE" w14:textId="77777777" w:rsidR="00B5625C" w:rsidRPr="00AC57EA" w:rsidRDefault="00B5625C" w:rsidP="00B5625C">
      <w:pPr>
        <w:widowControl/>
        <w:adjustRightInd/>
        <w:spacing w:line="240" w:lineRule="auto"/>
        <w:textAlignment w:val="auto"/>
        <w:rPr>
          <w:sz w:val="20"/>
          <w:szCs w:val="20"/>
          <w:lang w:val="en-US" w:eastAsia="en-US"/>
        </w:rPr>
      </w:pPr>
    </w:p>
    <w:p w14:paraId="40039C21" w14:textId="4496315B" w:rsidR="00B5625C" w:rsidRPr="00AC57EA" w:rsidRDefault="00960BB4" w:rsidP="00127899">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Regarding</w:t>
      </w:r>
      <w:r w:rsidR="00127899" w:rsidRPr="00AC57EA">
        <w:rPr>
          <w:sz w:val="20"/>
          <w:szCs w:val="20"/>
          <w:lang w:val="en-US" w:eastAsia="en-US"/>
        </w:rPr>
        <w:t xml:space="preserve"> the fact that the plaintiff’s lawyer was not allowed to be assisted by another lawyer, the Court notes that, from its case file, it does not appear that the judge in charge of the case issued a written response to this request, as she did with regard to the defense’s request</w:t>
      </w:r>
      <w:r w:rsidR="00B5625C" w:rsidRPr="00AC57EA">
        <w:rPr>
          <w:sz w:val="20"/>
          <w:szCs w:val="20"/>
          <w:lang w:val="en-US" w:eastAsia="en-US"/>
        </w:rPr>
        <w:t xml:space="preserve"> (</w:t>
      </w:r>
      <w:r w:rsidR="00B5625C" w:rsidRPr="00AC57EA">
        <w:rPr>
          <w:i/>
          <w:sz w:val="20"/>
          <w:szCs w:val="20"/>
          <w:lang w:val="en-US" w:eastAsia="en-US"/>
        </w:rPr>
        <w:t>supra</w:t>
      </w:r>
      <w:r w:rsidR="00B5625C" w:rsidRPr="00AC57EA">
        <w:rPr>
          <w:sz w:val="20"/>
          <w:szCs w:val="20"/>
          <w:lang w:val="en-US" w:eastAsia="en-US"/>
        </w:rPr>
        <w:t xml:space="preserve"> </w:t>
      </w:r>
      <w:r w:rsidR="00171E27" w:rsidRPr="00AC57EA">
        <w:rPr>
          <w:sz w:val="20"/>
          <w:szCs w:val="20"/>
          <w:lang w:val="en-US" w:eastAsia="en-US"/>
        </w:rPr>
        <w:t>para.</w:t>
      </w:r>
      <w:r w:rsidR="00B5625C" w:rsidRPr="00AC57EA">
        <w:rPr>
          <w:sz w:val="20"/>
          <w:szCs w:val="20"/>
          <w:lang w:val="en-US" w:eastAsia="en-US"/>
        </w:rPr>
        <w:t xml:space="preserve"> </w:t>
      </w:r>
      <w:r w:rsidR="00D66AEE" w:rsidRPr="00AC57EA">
        <w:rPr>
          <w:sz w:val="20"/>
          <w:szCs w:val="20"/>
          <w:lang w:val="en-US" w:eastAsia="en-US"/>
        </w:rPr>
        <w:t>97</w:t>
      </w:r>
      <w:r w:rsidR="00B5625C" w:rsidRPr="00AC57EA">
        <w:rPr>
          <w:sz w:val="20"/>
          <w:szCs w:val="20"/>
          <w:lang w:val="en-US" w:eastAsia="en-US"/>
        </w:rPr>
        <w:t xml:space="preserve">). </w:t>
      </w:r>
      <w:r w:rsidR="00447E39" w:rsidRPr="00AC57EA">
        <w:rPr>
          <w:sz w:val="20"/>
          <w:szCs w:val="20"/>
          <w:lang w:val="en-US" w:eastAsia="en-US"/>
        </w:rPr>
        <w:t xml:space="preserve">However, it was indicated that the answer was given orally without any </w:t>
      </w:r>
      <w:r w:rsidRPr="00AC57EA">
        <w:rPr>
          <w:sz w:val="20"/>
          <w:szCs w:val="20"/>
          <w:lang w:val="en-US" w:eastAsia="en-US"/>
        </w:rPr>
        <w:t>reaction</w:t>
      </w:r>
      <w:r w:rsidR="00447E39" w:rsidRPr="00AC57EA">
        <w:rPr>
          <w:sz w:val="20"/>
          <w:szCs w:val="20"/>
          <w:lang w:val="en-US" w:eastAsia="en-US"/>
        </w:rPr>
        <w:t xml:space="preserve"> questioning this. </w:t>
      </w:r>
      <w:r w:rsidR="00B7258C" w:rsidRPr="00AC57EA">
        <w:rPr>
          <w:sz w:val="20"/>
          <w:szCs w:val="20"/>
          <w:lang w:val="en-US" w:eastAsia="en-US"/>
        </w:rPr>
        <w:t>The Court</w:t>
      </w:r>
      <w:r w:rsidR="00B5625C" w:rsidRPr="00AC57EA">
        <w:rPr>
          <w:sz w:val="20"/>
          <w:szCs w:val="20"/>
          <w:lang w:val="en-US" w:eastAsia="en-US"/>
        </w:rPr>
        <w:t xml:space="preserve"> </w:t>
      </w:r>
      <w:r w:rsidR="00447E39" w:rsidRPr="00AC57EA">
        <w:rPr>
          <w:sz w:val="20"/>
          <w:szCs w:val="20"/>
          <w:lang w:val="en-US" w:eastAsia="en-US"/>
        </w:rPr>
        <w:t>understands, in any case, that this circumstances would not cause particular harm to the guarantee that is being analyzed.</w:t>
      </w:r>
    </w:p>
    <w:p w14:paraId="6589852A" w14:textId="77777777" w:rsidR="00B5625C" w:rsidRPr="00AC57EA" w:rsidRDefault="00B5625C" w:rsidP="00B5625C">
      <w:pPr>
        <w:widowControl/>
        <w:adjustRightInd/>
        <w:spacing w:line="240" w:lineRule="auto"/>
        <w:textAlignment w:val="auto"/>
        <w:rPr>
          <w:sz w:val="20"/>
          <w:szCs w:val="20"/>
          <w:lang w:val="en-US" w:eastAsia="en-US"/>
        </w:rPr>
      </w:pPr>
    </w:p>
    <w:p w14:paraId="67C67AAA" w14:textId="700CDAB1" w:rsidR="00B5625C" w:rsidRPr="00AC57EA" w:rsidRDefault="00447E39" w:rsidP="00730B0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lastRenderedPageBreak/>
        <w:t>That said, the Court finds that there are two aspects that, according to the allegations, had sufficient importance to give rise to the plaintiff’s well-founded fear of partiality</w:t>
      </w:r>
      <w:r w:rsidR="00250C15" w:rsidRPr="00AC57EA">
        <w:rPr>
          <w:sz w:val="20"/>
          <w:szCs w:val="20"/>
          <w:lang w:val="en-US" w:eastAsia="en-US"/>
        </w:rPr>
        <w:t>:</w:t>
      </w:r>
      <w:r w:rsidR="00B5625C" w:rsidRPr="00AC57EA">
        <w:rPr>
          <w:sz w:val="20"/>
          <w:szCs w:val="20"/>
          <w:lang w:val="en-US" w:eastAsia="en-US"/>
        </w:rPr>
        <w:t xml:space="preserve"> </w:t>
      </w:r>
      <w:r w:rsidRPr="00AC57EA">
        <w:rPr>
          <w:sz w:val="20"/>
          <w:szCs w:val="20"/>
          <w:lang w:val="en-US" w:eastAsia="en-US"/>
        </w:rPr>
        <w:t xml:space="preserve">the delivery to the judge who presided the jury of the </w:t>
      </w:r>
      <w:r w:rsidR="00D86AD9" w:rsidRPr="00AC57EA">
        <w:rPr>
          <w:sz w:val="20"/>
          <w:szCs w:val="20"/>
          <w:lang w:val="en-US" w:eastAsia="en-US"/>
        </w:rPr>
        <w:t>silver-</w:t>
      </w:r>
      <w:r w:rsidRPr="00AC57EA">
        <w:rPr>
          <w:sz w:val="20"/>
          <w:szCs w:val="20"/>
          <w:lang w:val="en-US" w:eastAsia="en-US"/>
        </w:rPr>
        <w:t>grey bag and two sheets of pink paper sent by the accused to be read in private session.</w:t>
      </w:r>
    </w:p>
    <w:p w14:paraId="445CC6DD" w14:textId="77777777" w:rsidR="00B5625C" w:rsidRPr="00AC57EA" w:rsidRDefault="00B5625C" w:rsidP="00B5625C">
      <w:pPr>
        <w:widowControl/>
        <w:adjustRightInd/>
        <w:spacing w:line="240" w:lineRule="auto"/>
        <w:textAlignment w:val="auto"/>
        <w:rPr>
          <w:sz w:val="20"/>
          <w:szCs w:val="20"/>
          <w:lang w:val="en-US" w:eastAsia="en-US"/>
        </w:rPr>
      </w:pPr>
    </w:p>
    <w:p w14:paraId="0E0E34C2" w14:textId="2187AFC9" w:rsidR="00CC7A6B" w:rsidRPr="00AC57EA" w:rsidRDefault="009A0855" w:rsidP="00CC7A6B">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In this regard</w:t>
      </w:r>
      <w:r w:rsidR="00B5625C" w:rsidRPr="00AC57EA">
        <w:rPr>
          <w:sz w:val="20"/>
          <w:szCs w:val="20"/>
          <w:lang w:val="en-US" w:eastAsia="en-US"/>
        </w:rPr>
        <w:t xml:space="preserve">, </w:t>
      </w:r>
      <w:r w:rsidR="00B7258C" w:rsidRPr="00AC57EA">
        <w:rPr>
          <w:sz w:val="20"/>
          <w:szCs w:val="20"/>
          <w:lang w:val="en-US" w:eastAsia="en-US"/>
        </w:rPr>
        <w:t>the Court</w:t>
      </w:r>
      <w:r w:rsidR="00B5625C" w:rsidRPr="00AC57EA">
        <w:rPr>
          <w:sz w:val="20"/>
          <w:szCs w:val="20"/>
          <w:lang w:val="en-US" w:eastAsia="en-US"/>
        </w:rPr>
        <w:t xml:space="preserve"> consider</w:t>
      </w:r>
      <w:r w:rsidR="00CC7A6B" w:rsidRPr="00AC57EA">
        <w:rPr>
          <w:sz w:val="20"/>
          <w:szCs w:val="20"/>
          <w:lang w:val="en-US" w:eastAsia="en-US"/>
        </w:rPr>
        <w:t xml:space="preserve">s that, even though </w:t>
      </w:r>
      <w:r w:rsidR="00D86AD9" w:rsidRPr="00AC57EA">
        <w:rPr>
          <w:sz w:val="20"/>
          <w:szCs w:val="20"/>
          <w:lang w:val="en-US" w:eastAsia="en-US"/>
        </w:rPr>
        <w:t>it</w:t>
      </w:r>
      <w:r w:rsidR="00CC7A6B" w:rsidRPr="00AC57EA">
        <w:rPr>
          <w:sz w:val="20"/>
          <w:szCs w:val="20"/>
          <w:lang w:val="en-US" w:eastAsia="en-US"/>
        </w:rPr>
        <w:t xml:space="preserve"> does not have </w:t>
      </w:r>
      <w:r w:rsidR="00D86AD9" w:rsidRPr="00AC57EA">
        <w:rPr>
          <w:sz w:val="20"/>
          <w:szCs w:val="20"/>
          <w:lang w:val="en-US" w:eastAsia="en-US"/>
        </w:rPr>
        <w:t>the</w:t>
      </w:r>
      <w:r w:rsidR="00CC7A6B" w:rsidRPr="00AC57EA">
        <w:rPr>
          <w:sz w:val="20"/>
          <w:szCs w:val="20"/>
          <w:lang w:val="en-US" w:eastAsia="en-US"/>
        </w:rPr>
        <w:t xml:space="preserve"> video of the hearing,</w:t>
      </w:r>
      <w:r w:rsidR="00B5625C" w:rsidRPr="00AC57EA">
        <w:rPr>
          <w:sz w:val="20"/>
          <w:szCs w:val="20"/>
          <w:vertAlign w:val="superscript"/>
          <w:lang w:val="en-US" w:eastAsia="en-US"/>
        </w:rPr>
        <w:footnoteReference w:id="328"/>
      </w:r>
      <w:r w:rsidR="00CC7A6B" w:rsidRPr="00AC57EA">
        <w:rPr>
          <w:sz w:val="20"/>
          <w:szCs w:val="20"/>
          <w:lang w:val="en-US" w:eastAsia="en-US"/>
        </w:rPr>
        <w:t xml:space="preserve"> the existence of these two </w:t>
      </w:r>
      <w:r w:rsidR="00D86AD9" w:rsidRPr="00AC57EA">
        <w:rPr>
          <w:sz w:val="20"/>
          <w:szCs w:val="20"/>
          <w:lang w:val="en-US" w:eastAsia="en-US"/>
        </w:rPr>
        <w:t>elements</w:t>
      </w:r>
      <w:r w:rsidR="00CC7A6B" w:rsidRPr="00AC57EA">
        <w:rPr>
          <w:sz w:val="20"/>
          <w:szCs w:val="20"/>
          <w:lang w:val="en-US" w:eastAsia="en-US"/>
        </w:rPr>
        <w:t xml:space="preserve"> is not disputed because both were verified in the inspection procedure conducted on the video</w:t>
      </w:r>
      <w:r w:rsidR="00B5625C" w:rsidRPr="00AC57EA">
        <w:rPr>
          <w:sz w:val="20"/>
          <w:szCs w:val="20"/>
          <w:lang w:val="en-US" w:eastAsia="en-US"/>
        </w:rPr>
        <w:t xml:space="preserve"> (</w:t>
      </w:r>
      <w:r w:rsidR="00B5625C" w:rsidRPr="00AC57EA">
        <w:rPr>
          <w:i/>
          <w:sz w:val="20"/>
          <w:szCs w:val="20"/>
          <w:lang w:val="en-US" w:eastAsia="en-US"/>
        </w:rPr>
        <w:t>supra</w:t>
      </w:r>
      <w:r w:rsidR="00B31B77" w:rsidRPr="00AC57EA">
        <w:rPr>
          <w:sz w:val="20"/>
          <w:szCs w:val="20"/>
          <w:lang w:val="en-US" w:eastAsia="en-US"/>
        </w:rPr>
        <w:t xml:space="preserve"> </w:t>
      </w:r>
      <w:r w:rsidR="00171E27" w:rsidRPr="00AC57EA">
        <w:rPr>
          <w:sz w:val="20"/>
          <w:szCs w:val="20"/>
          <w:lang w:val="en-US" w:eastAsia="en-US"/>
        </w:rPr>
        <w:t>para.</w:t>
      </w:r>
      <w:r w:rsidR="00B31B77" w:rsidRPr="00AC57EA">
        <w:rPr>
          <w:sz w:val="20"/>
          <w:szCs w:val="20"/>
          <w:lang w:val="en-US" w:eastAsia="en-US"/>
        </w:rPr>
        <w:t xml:space="preserve"> 118</w:t>
      </w:r>
      <w:r w:rsidR="00B5625C" w:rsidRPr="00AC57EA">
        <w:rPr>
          <w:sz w:val="20"/>
          <w:szCs w:val="20"/>
          <w:lang w:val="en-US" w:eastAsia="en-US"/>
        </w:rPr>
        <w:t>)</w:t>
      </w:r>
      <w:r w:rsidR="00171E27" w:rsidRPr="00AC57EA">
        <w:rPr>
          <w:sz w:val="20"/>
          <w:szCs w:val="20"/>
          <w:lang w:val="en-US" w:eastAsia="en-US"/>
        </w:rPr>
        <w:t xml:space="preserve"> and </w:t>
      </w:r>
      <w:r w:rsidR="00CC7A6B" w:rsidRPr="00AC57EA">
        <w:rPr>
          <w:sz w:val="20"/>
          <w:szCs w:val="20"/>
          <w:lang w:val="en-US" w:eastAsia="en-US"/>
        </w:rPr>
        <w:t>by the Ombud</w:t>
      </w:r>
      <w:r w:rsidR="00D86AD9" w:rsidRPr="00AC57EA">
        <w:rPr>
          <w:sz w:val="20"/>
          <w:szCs w:val="20"/>
          <w:lang w:val="en-US" w:eastAsia="en-US"/>
        </w:rPr>
        <w:t>s</w:t>
      </w:r>
      <w:r w:rsidR="00CC7A6B" w:rsidRPr="00AC57EA">
        <w:rPr>
          <w:sz w:val="20"/>
          <w:szCs w:val="20"/>
          <w:lang w:val="en-US" w:eastAsia="en-US"/>
        </w:rPr>
        <w:t>man’s Office</w:t>
      </w:r>
      <w:r w:rsidR="00B5625C" w:rsidRPr="00AC57EA">
        <w:rPr>
          <w:sz w:val="20"/>
          <w:szCs w:val="20"/>
          <w:lang w:val="en-US" w:eastAsia="en-US"/>
        </w:rPr>
        <w:t xml:space="preserve"> (</w:t>
      </w:r>
      <w:r w:rsidR="00B5625C" w:rsidRPr="00AC57EA">
        <w:rPr>
          <w:i/>
          <w:sz w:val="20"/>
          <w:szCs w:val="20"/>
          <w:lang w:val="en-US" w:eastAsia="en-US"/>
        </w:rPr>
        <w:t>supra</w:t>
      </w:r>
      <w:r w:rsidR="00B5625C" w:rsidRPr="00AC57EA">
        <w:rPr>
          <w:sz w:val="20"/>
          <w:szCs w:val="20"/>
          <w:lang w:val="en-US" w:eastAsia="en-US"/>
        </w:rPr>
        <w:t xml:space="preserve"> </w:t>
      </w:r>
      <w:r w:rsidR="00171E27" w:rsidRPr="00AC57EA">
        <w:rPr>
          <w:sz w:val="20"/>
          <w:szCs w:val="20"/>
          <w:lang w:val="en-US" w:eastAsia="en-US"/>
        </w:rPr>
        <w:t>para.</w:t>
      </w:r>
      <w:r w:rsidR="00B5625C" w:rsidRPr="00AC57EA">
        <w:rPr>
          <w:sz w:val="20"/>
          <w:szCs w:val="20"/>
          <w:lang w:val="en-US" w:eastAsia="en-US"/>
        </w:rPr>
        <w:t xml:space="preserve"> </w:t>
      </w:r>
      <w:r w:rsidR="00B31B77" w:rsidRPr="00AC57EA">
        <w:rPr>
          <w:sz w:val="20"/>
          <w:szCs w:val="20"/>
          <w:lang w:val="en-US" w:eastAsia="en-US"/>
        </w:rPr>
        <w:t>100</w:t>
      </w:r>
      <w:r w:rsidR="00B5625C" w:rsidRPr="00AC57EA">
        <w:rPr>
          <w:sz w:val="20"/>
          <w:szCs w:val="20"/>
          <w:lang w:val="en-US" w:eastAsia="en-US"/>
        </w:rPr>
        <w:t xml:space="preserve">). </w:t>
      </w:r>
      <w:r w:rsidR="00CC7A6B" w:rsidRPr="00AC57EA">
        <w:rPr>
          <w:sz w:val="20"/>
          <w:szCs w:val="20"/>
          <w:lang w:val="en-US" w:eastAsia="en-US"/>
        </w:rPr>
        <w:t>Therefore, the Court considers that it has been established that a silver-</w:t>
      </w:r>
      <w:r w:rsidR="00D86AD9" w:rsidRPr="00AC57EA">
        <w:rPr>
          <w:sz w:val="20"/>
          <w:szCs w:val="20"/>
          <w:lang w:val="en-US" w:eastAsia="en-US"/>
        </w:rPr>
        <w:t>grey</w:t>
      </w:r>
      <w:r w:rsidR="00CC7A6B" w:rsidRPr="00AC57EA">
        <w:rPr>
          <w:sz w:val="20"/>
          <w:szCs w:val="20"/>
          <w:lang w:val="en-US" w:eastAsia="en-US"/>
        </w:rPr>
        <w:t xml:space="preserve"> plastic bag was handed to the judge of </w:t>
      </w:r>
      <w:r w:rsidR="00D86AD9" w:rsidRPr="00AC57EA">
        <w:rPr>
          <w:sz w:val="20"/>
          <w:szCs w:val="20"/>
          <w:lang w:val="en-US" w:eastAsia="en-US"/>
        </w:rPr>
        <w:t>law who presided the jury</w:t>
      </w:r>
      <w:r w:rsidR="00CC7A6B" w:rsidRPr="00AC57EA">
        <w:rPr>
          <w:sz w:val="20"/>
          <w:szCs w:val="20"/>
          <w:lang w:val="en-US" w:eastAsia="en-US"/>
        </w:rPr>
        <w:t xml:space="preserve"> and </w:t>
      </w:r>
      <w:r w:rsidR="00D86AD9" w:rsidRPr="00AC57EA">
        <w:rPr>
          <w:sz w:val="20"/>
          <w:szCs w:val="20"/>
          <w:lang w:val="en-US" w:eastAsia="en-US"/>
        </w:rPr>
        <w:t xml:space="preserve">also </w:t>
      </w:r>
      <w:r w:rsidR="00CC7A6B" w:rsidRPr="00AC57EA">
        <w:rPr>
          <w:sz w:val="20"/>
          <w:szCs w:val="20"/>
          <w:lang w:val="en-US" w:eastAsia="en-US"/>
        </w:rPr>
        <w:t xml:space="preserve">two sheets of pink paper written by the accused to be read by the jury in private. However, uncertainty remains regarding the content of both the bag and the sheets of </w:t>
      </w:r>
      <w:r w:rsidR="00D86AD9" w:rsidRPr="00AC57EA">
        <w:rPr>
          <w:sz w:val="20"/>
          <w:szCs w:val="20"/>
          <w:lang w:val="en-US" w:eastAsia="en-US"/>
        </w:rPr>
        <w:t xml:space="preserve">pink </w:t>
      </w:r>
      <w:r w:rsidR="00CC7A6B" w:rsidRPr="00AC57EA">
        <w:rPr>
          <w:sz w:val="20"/>
          <w:szCs w:val="20"/>
          <w:lang w:val="en-US" w:eastAsia="en-US"/>
        </w:rPr>
        <w:t>paper.</w:t>
      </w:r>
    </w:p>
    <w:p w14:paraId="351B2E75" w14:textId="77777777" w:rsidR="00B5625C" w:rsidRPr="00AC57EA" w:rsidRDefault="00B5625C" w:rsidP="00B5625C">
      <w:pPr>
        <w:widowControl/>
        <w:adjustRightInd/>
        <w:spacing w:line="240" w:lineRule="auto"/>
        <w:textAlignment w:val="auto"/>
        <w:rPr>
          <w:sz w:val="20"/>
          <w:szCs w:val="20"/>
          <w:lang w:val="en-US" w:eastAsia="en-US"/>
        </w:rPr>
      </w:pPr>
    </w:p>
    <w:p w14:paraId="6F3EB7BB" w14:textId="2C560FBD" w:rsidR="00FB0EBD" w:rsidRPr="00AC57EA" w:rsidRDefault="00FB0EBD" w:rsidP="00730B0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Although both V.P.C. and the judge of law have given their version of the events</w:t>
      </w:r>
      <w:r w:rsidR="00B5625C" w:rsidRPr="00AC57EA">
        <w:rPr>
          <w:sz w:val="20"/>
          <w:szCs w:val="20"/>
          <w:vertAlign w:val="superscript"/>
          <w:lang w:val="en-US" w:eastAsia="en-US"/>
        </w:rPr>
        <w:footnoteReference w:id="329"/>
      </w:r>
      <w:r w:rsidR="00B5625C" w:rsidRPr="00AC57EA">
        <w:rPr>
          <w:sz w:val="20"/>
          <w:szCs w:val="20"/>
          <w:lang w:val="en-US" w:eastAsia="en-US"/>
        </w:rPr>
        <w:t xml:space="preserve"> re</w:t>
      </w:r>
      <w:r w:rsidRPr="00AC57EA">
        <w:rPr>
          <w:sz w:val="20"/>
          <w:szCs w:val="20"/>
          <w:lang w:val="en-US" w:eastAsia="en-US"/>
        </w:rPr>
        <w:t>lating to the silver</w:t>
      </w:r>
      <w:r w:rsidR="00D86AD9" w:rsidRPr="00AC57EA">
        <w:rPr>
          <w:sz w:val="20"/>
          <w:szCs w:val="20"/>
          <w:lang w:val="en-US" w:eastAsia="en-US"/>
        </w:rPr>
        <w:t>-grey</w:t>
      </w:r>
      <w:r w:rsidRPr="00AC57EA">
        <w:rPr>
          <w:sz w:val="20"/>
          <w:szCs w:val="20"/>
          <w:lang w:val="en-US" w:eastAsia="en-US"/>
        </w:rPr>
        <w:t xml:space="preserve"> plastic bag, this Court has no way of establishing what it contained. In addition, the case file does not contain the pink sheets of paper, so that it is impossible to know their content.</w:t>
      </w:r>
    </w:p>
    <w:p w14:paraId="0D2D9772" w14:textId="77777777" w:rsidR="00B5625C" w:rsidRPr="00AC57EA" w:rsidRDefault="00B5625C" w:rsidP="00B5625C">
      <w:pPr>
        <w:widowControl/>
        <w:adjustRightInd/>
        <w:spacing w:line="240" w:lineRule="auto"/>
        <w:textAlignment w:val="auto"/>
        <w:rPr>
          <w:sz w:val="20"/>
          <w:szCs w:val="20"/>
          <w:lang w:val="en-US" w:eastAsia="en-US"/>
        </w:rPr>
      </w:pPr>
    </w:p>
    <w:p w14:paraId="2917AA2F" w14:textId="2EA9712B" w:rsidR="00B5625C" w:rsidRPr="00AC57EA" w:rsidRDefault="00B5625C" w:rsidP="00FB0EBD">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N</w:t>
      </w:r>
      <w:r w:rsidR="00FB0EBD" w:rsidRPr="00AC57EA">
        <w:rPr>
          <w:sz w:val="20"/>
          <w:szCs w:val="20"/>
          <w:lang w:val="en-US" w:eastAsia="en-US"/>
        </w:rPr>
        <w:t xml:space="preserve">evertheless, the Court considers that, in themselves, these facts constitute convincing </w:t>
      </w:r>
      <w:r w:rsidR="00D86AD9" w:rsidRPr="00AC57EA">
        <w:rPr>
          <w:sz w:val="20"/>
          <w:szCs w:val="20"/>
          <w:lang w:val="en-US" w:eastAsia="en-US"/>
        </w:rPr>
        <w:t xml:space="preserve">evidence </w:t>
      </w:r>
      <w:r w:rsidR="00FB0EBD" w:rsidRPr="00AC57EA">
        <w:rPr>
          <w:sz w:val="20"/>
          <w:szCs w:val="20"/>
          <w:lang w:val="en-US" w:eastAsia="en-US"/>
        </w:rPr>
        <w:t>that</w:t>
      </w:r>
      <w:r w:rsidR="00D86AD9" w:rsidRPr="00AC57EA">
        <w:rPr>
          <w:sz w:val="20"/>
          <w:szCs w:val="20"/>
          <w:lang w:val="en-US" w:eastAsia="en-US"/>
        </w:rPr>
        <w:t xml:space="preserve"> would</w:t>
      </w:r>
      <w:r w:rsidR="00FB0EBD" w:rsidRPr="00AC57EA">
        <w:rPr>
          <w:sz w:val="20"/>
          <w:szCs w:val="20"/>
          <w:lang w:val="en-US" w:eastAsia="en-US"/>
        </w:rPr>
        <w:t xml:space="preserve"> allow any objective observer to doubt the impartiality of the members of the Jury Court</w:t>
      </w:r>
      <w:r w:rsidR="00D86AD9" w:rsidRPr="00AC57EA">
        <w:rPr>
          <w:sz w:val="20"/>
          <w:szCs w:val="20"/>
          <w:lang w:val="en-US" w:eastAsia="en-US"/>
        </w:rPr>
        <w:t>. Moreover, they</w:t>
      </w:r>
      <w:r w:rsidR="00FB0EBD" w:rsidRPr="00AC57EA">
        <w:rPr>
          <w:sz w:val="20"/>
          <w:szCs w:val="20"/>
          <w:lang w:val="en-US" w:eastAsia="en-US"/>
        </w:rPr>
        <w:t xml:space="preserve"> </w:t>
      </w:r>
      <w:r w:rsidR="00D86AD9" w:rsidRPr="00AC57EA">
        <w:rPr>
          <w:sz w:val="20"/>
          <w:szCs w:val="20"/>
          <w:lang w:val="en-US" w:eastAsia="en-US"/>
        </w:rPr>
        <w:t xml:space="preserve">caused the victim and the plaintiff to have </w:t>
      </w:r>
      <w:r w:rsidR="00FB0EBD" w:rsidRPr="00AC57EA">
        <w:rPr>
          <w:sz w:val="20"/>
          <w:szCs w:val="20"/>
          <w:lang w:val="en-US" w:eastAsia="en-US"/>
        </w:rPr>
        <w:t xml:space="preserve">a legitimate </w:t>
      </w:r>
      <w:r w:rsidR="00D86AD9" w:rsidRPr="00AC57EA">
        <w:rPr>
          <w:sz w:val="20"/>
          <w:szCs w:val="20"/>
          <w:lang w:val="en-US" w:eastAsia="en-US"/>
        </w:rPr>
        <w:t>fear of</w:t>
      </w:r>
      <w:r w:rsidR="00FB0EBD" w:rsidRPr="00AC57EA">
        <w:rPr>
          <w:sz w:val="20"/>
          <w:szCs w:val="20"/>
          <w:lang w:val="en-US" w:eastAsia="en-US"/>
        </w:rPr>
        <w:t xml:space="preserve"> partiality that</w:t>
      </w:r>
      <w:r w:rsidR="00D86AD9" w:rsidRPr="00AC57EA">
        <w:rPr>
          <w:sz w:val="20"/>
          <w:szCs w:val="20"/>
          <w:lang w:val="en-US" w:eastAsia="en-US"/>
        </w:rPr>
        <w:t xml:space="preserve"> it has not been possible to</w:t>
      </w:r>
      <w:r w:rsidR="00FB0EBD" w:rsidRPr="00AC57EA">
        <w:rPr>
          <w:sz w:val="20"/>
          <w:szCs w:val="20"/>
          <w:lang w:val="en-US" w:eastAsia="en-US"/>
        </w:rPr>
        <w:t xml:space="preserve"> dissipate because the content</w:t>
      </w:r>
      <w:r w:rsidR="00D86AD9" w:rsidRPr="00AC57EA">
        <w:rPr>
          <w:sz w:val="20"/>
          <w:szCs w:val="20"/>
          <w:lang w:val="en-US" w:eastAsia="en-US"/>
        </w:rPr>
        <w:t>s</w:t>
      </w:r>
      <w:r w:rsidR="00FB0EBD" w:rsidRPr="00AC57EA">
        <w:rPr>
          <w:sz w:val="20"/>
          <w:szCs w:val="20"/>
          <w:lang w:val="en-US" w:eastAsia="en-US"/>
        </w:rPr>
        <w:t xml:space="preserve"> of the bag was not revealed and the message on the sheets of </w:t>
      </w:r>
      <w:r w:rsidR="00D34F81" w:rsidRPr="00AC57EA">
        <w:rPr>
          <w:sz w:val="20"/>
          <w:szCs w:val="20"/>
          <w:lang w:val="en-US" w:eastAsia="en-US"/>
        </w:rPr>
        <w:t xml:space="preserve">pink </w:t>
      </w:r>
      <w:r w:rsidR="00FB0EBD" w:rsidRPr="00AC57EA">
        <w:rPr>
          <w:sz w:val="20"/>
          <w:szCs w:val="20"/>
          <w:lang w:val="en-US" w:eastAsia="en-US"/>
        </w:rPr>
        <w:t>paper was not read out in the presence of the parties. Furthermore, the State failed to investigate the reports of possible bribery based on this incident, beyond the decision taken following the appeal for annulment</w:t>
      </w:r>
      <w:r w:rsidRPr="00AC57EA">
        <w:rPr>
          <w:sz w:val="20"/>
          <w:szCs w:val="20"/>
          <w:lang w:val="en-US" w:eastAsia="en-US"/>
        </w:rPr>
        <w:t xml:space="preserve"> (</w:t>
      </w:r>
      <w:r w:rsidRPr="00AC57EA">
        <w:rPr>
          <w:i/>
          <w:sz w:val="20"/>
          <w:szCs w:val="20"/>
          <w:lang w:val="en-US" w:eastAsia="en-US"/>
        </w:rPr>
        <w:t>supra</w:t>
      </w:r>
      <w:r w:rsidR="00B31B77" w:rsidRPr="00AC57EA">
        <w:rPr>
          <w:sz w:val="20"/>
          <w:szCs w:val="20"/>
          <w:lang w:val="en-US" w:eastAsia="en-US"/>
        </w:rPr>
        <w:t xml:space="preserve"> </w:t>
      </w:r>
      <w:r w:rsidR="00171E27" w:rsidRPr="00AC57EA">
        <w:rPr>
          <w:sz w:val="20"/>
          <w:szCs w:val="20"/>
          <w:lang w:val="en-US" w:eastAsia="en-US"/>
        </w:rPr>
        <w:t>para.</w:t>
      </w:r>
      <w:r w:rsidR="00B31B77" w:rsidRPr="00AC57EA">
        <w:rPr>
          <w:sz w:val="20"/>
          <w:szCs w:val="20"/>
          <w:lang w:val="en-US" w:eastAsia="en-US"/>
        </w:rPr>
        <w:t xml:space="preserve"> 107</w:t>
      </w:r>
      <w:r w:rsidRPr="00AC57EA">
        <w:rPr>
          <w:sz w:val="20"/>
          <w:szCs w:val="20"/>
          <w:lang w:val="en-US" w:eastAsia="en-US"/>
        </w:rPr>
        <w:t xml:space="preserve">). </w:t>
      </w:r>
      <w:r w:rsidR="00FB0EBD" w:rsidRPr="00AC57EA">
        <w:rPr>
          <w:sz w:val="20"/>
          <w:szCs w:val="20"/>
          <w:lang w:val="en-US" w:eastAsia="en-US"/>
        </w:rPr>
        <w:t>Consequently, the Court find</w:t>
      </w:r>
      <w:r w:rsidR="00D34F81" w:rsidRPr="00AC57EA">
        <w:rPr>
          <w:sz w:val="20"/>
          <w:szCs w:val="20"/>
          <w:lang w:val="en-US" w:eastAsia="en-US"/>
        </w:rPr>
        <w:t>s</w:t>
      </w:r>
      <w:r w:rsidR="00FB0EBD" w:rsidRPr="00AC57EA">
        <w:rPr>
          <w:sz w:val="20"/>
          <w:szCs w:val="20"/>
          <w:lang w:val="en-US" w:eastAsia="en-US"/>
        </w:rPr>
        <w:t xml:space="preserve"> that</w:t>
      </w:r>
      <w:r w:rsidR="00D34F81" w:rsidRPr="00AC57EA">
        <w:rPr>
          <w:sz w:val="20"/>
          <w:szCs w:val="20"/>
          <w:lang w:val="en-US" w:eastAsia="en-US"/>
        </w:rPr>
        <w:t xml:space="preserve">, in this case, </w:t>
      </w:r>
      <w:r w:rsidR="00FB0EBD" w:rsidRPr="00AC57EA">
        <w:rPr>
          <w:sz w:val="20"/>
          <w:szCs w:val="20"/>
          <w:lang w:val="en-US" w:eastAsia="en-US"/>
        </w:rPr>
        <w:t xml:space="preserve">the fear </w:t>
      </w:r>
      <w:r w:rsidR="00D34F81" w:rsidRPr="00AC57EA">
        <w:rPr>
          <w:sz w:val="20"/>
          <w:szCs w:val="20"/>
          <w:lang w:val="en-US" w:eastAsia="en-US"/>
        </w:rPr>
        <w:t>was</w:t>
      </w:r>
      <w:r w:rsidR="00FB0EBD" w:rsidRPr="00AC57EA">
        <w:rPr>
          <w:sz w:val="20"/>
          <w:szCs w:val="20"/>
          <w:lang w:val="en-US" w:eastAsia="en-US"/>
        </w:rPr>
        <w:t xml:space="preserve"> objectively justified, which constitutes a violation of the guarantee of objective impartiality established in </w:t>
      </w:r>
      <w:r w:rsidR="00B7258C" w:rsidRPr="00AC57EA">
        <w:rPr>
          <w:sz w:val="20"/>
          <w:szCs w:val="20"/>
          <w:lang w:val="en-US" w:eastAsia="en-US"/>
        </w:rPr>
        <w:t>Article</w:t>
      </w:r>
      <w:r w:rsidRPr="00AC57EA">
        <w:rPr>
          <w:sz w:val="20"/>
          <w:szCs w:val="20"/>
          <w:lang w:val="en-US" w:eastAsia="en-US"/>
        </w:rPr>
        <w:t xml:space="preserve"> </w:t>
      </w:r>
      <w:r w:rsidR="00171E27" w:rsidRPr="00AC57EA">
        <w:rPr>
          <w:sz w:val="20"/>
          <w:szCs w:val="20"/>
          <w:lang w:val="en-US" w:eastAsia="en-US"/>
        </w:rPr>
        <w:t>8(1)</w:t>
      </w:r>
      <w:r w:rsidR="00B7258C" w:rsidRPr="00AC57EA">
        <w:rPr>
          <w:sz w:val="20"/>
          <w:szCs w:val="20"/>
          <w:lang w:val="en-US" w:eastAsia="en-US"/>
        </w:rPr>
        <w:t xml:space="preserve"> of the Convention</w:t>
      </w:r>
      <w:r w:rsidRPr="00AC57EA">
        <w:rPr>
          <w:sz w:val="20"/>
          <w:szCs w:val="20"/>
          <w:lang w:val="en-US" w:eastAsia="en-US"/>
        </w:rPr>
        <w:t>.</w:t>
      </w:r>
      <w:r w:rsidR="00FB0EBD" w:rsidRPr="00AC57EA">
        <w:rPr>
          <w:sz w:val="20"/>
          <w:szCs w:val="20"/>
          <w:lang w:val="en-US" w:eastAsia="en-US"/>
        </w:rPr>
        <w:t xml:space="preserve"> </w:t>
      </w:r>
    </w:p>
    <w:p w14:paraId="75A3E015" w14:textId="77777777" w:rsidR="00B5625C" w:rsidRPr="00AC57EA" w:rsidRDefault="00B5625C" w:rsidP="00B5625C">
      <w:pPr>
        <w:widowControl/>
        <w:adjustRightInd/>
        <w:spacing w:line="240" w:lineRule="auto"/>
        <w:textAlignment w:val="auto"/>
        <w:rPr>
          <w:sz w:val="20"/>
          <w:szCs w:val="20"/>
          <w:lang w:val="en-US" w:eastAsia="en-US"/>
        </w:rPr>
      </w:pPr>
    </w:p>
    <w:p w14:paraId="2AD882D6" w14:textId="733F1CD7" w:rsidR="00B5625C" w:rsidRPr="00AC57EA" w:rsidRDefault="00B5625C" w:rsidP="00A92F94">
      <w:pPr>
        <w:pStyle w:val="Ttulo3"/>
        <w:rPr>
          <w:b w:val="0"/>
          <w:i/>
          <w:lang w:val="en-US"/>
        </w:rPr>
      </w:pPr>
      <w:bookmarkStart w:id="130" w:name="_Toc514172643"/>
      <w:r w:rsidRPr="00AC57EA">
        <w:rPr>
          <w:b w:val="0"/>
          <w:i/>
          <w:lang w:val="en-US"/>
        </w:rPr>
        <w:t>B.</w:t>
      </w:r>
      <w:r w:rsidR="00A92F94" w:rsidRPr="00AC57EA">
        <w:rPr>
          <w:b w:val="0"/>
          <w:i/>
          <w:lang w:val="en-US"/>
        </w:rPr>
        <w:t>3.c</w:t>
      </w:r>
      <w:r w:rsidRPr="00AC57EA">
        <w:rPr>
          <w:b w:val="0"/>
          <w:i/>
          <w:lang w:val="en-US"/>
        </w:rPr>
        <w:t xml:space="preserve"> </w:t>
      </w:r>
      <w:r w:rsidRPr="00AC57EA">
        <w:rPr>
          <w:b w:val="0"/>
          <w:i/>
          <w:lang w:val="en-US"/>
        </w:rPr>
        <w:tab/>
      </w:r>
      <w:r w:rsidR="00FB0EBD" w:rsidRPr="00AC57EA">
        <w:rPr>
          <w:b w:val="0"/>
          <w:i/>
          <w:lang w:val="en-US"/>
        </w:rPr>
        <w:t xml:space="preserve">The duty to provide </w:t>
      </w:r>
      <w:r w:rsidR="00513081" w:rsidRPr="00AC57EA">
        <w:rPr>
          <w:b w:val="0"/>
          <w:i/>
          <w:lang w:val="en-US"/>
        </w:rPr>
        <w:t>the grounds for a decision</w:t>
      </w:r>
      <w:r w:rsidR="00FB0EBD" w:rsidRPr="00AC57EA">
        <w:rPr>
          <w:b w:val="0"/>
          <w:i/>
          <w:lang w:val="en-US"/>
        </w:rPr>
        <w:t xml:space="preserve"> and the guarantees against an arbitrary verdict</w:t>
      </w:r>
      <w:bookmarkEnd w:id="130"/>
    </w:p>
    <w:p w14:paraId="4F20134C" w14:textId="77777777" w:rsidR="00B5625C" w:rsidRPr="00AC57EA" w:rsidRDefault="00B5625C" w:rsidP="00B5625C">
      <w:pPr>
        <w:widowControl/>
        <w:autoSpaceDE w:val="0"/>
        <w:autoSpaceDN w:val="0"/>
        <w:adjustRightInd/>
        <w:spacing w:line="240" w:lineRule="auto"/>
        <w:jc w:val="left"/>
        <w:textAlignment w:val="auto"/>
        <w:rPr>
          <w:rFonts w:eastAsia="Calibri" w:cs="Arial"/>
          <w:sz w:val="20"/>
          <w:szCs w:val="20"/>
          <w:lang w:val="en-US" w:eastAsia="en-US"/>
        </w:rPr>
      </w:pPr>
    </w:p>
    <w:p w14:paraId="1C91365C" w14:textId="456E405E" w:rsidR="00B5625C" w:rsidRPr="00AC57EA" w:rsidRDefault="00B7258C" w:rsidP="00730B0A">
      <w:pPr>
        <w:widowControl/>
        <w:numPr>
          <w:ilvl w:val="0"/>
          <w:numId w:val="2"/>
        </w:numPr>
        <w:tabs>
          <w:tab w:val="left" w:pos="567"/>
          <w:tab w:val="num" w:pos="12305"/>
        </w:tabs>
        <w:adjustRightInd/>
        <w:spacing w:line="240" w:lineRule="auto"/>
        <w:ind w:left="0" w:firstLine="0"/>
        <w:textAlignment w:val="auto"/>
        <w:rPr>
          <w:sz w:val="20"/>
          <w:lang w:val="en-US" w:eastAsia="en-US"/>
        </w:rPr>
      </w:pPr>
      <w:r w:rsidRPr="00AC57EA">
        <w:rPr>
          <w:sz w:val="20"/>
          <w:lang w:val="en-US" w:eastAsia="en-US"/>
        </w:rPr>
        <w:t>The Court</w:t>
      </w:r>
      <w:r w:rsidR="00B5625C" w:rsidRPr="00AC57EA">
        <w:rPr>
          <w:sz w:val="20"/>
          <w:lang w:val="en-US" w:eastAsia="en-US"/>
        </w:rPr>
        <w:t xml:space="preserve"> ha</w:t>
      </w:r>
      <w:r w:rsidR="00FB0EBD" w:rsidRPr="00AC57EA">
        <w:rPr>
          <w:sz w:val="20"/>
          <w:lang w:val="en-US" w:eastAsia="en-US"/>
        </w:rPr>
        <w:t xml:space="preserve">s indicated that “the duty to provide </w:t>
      </w:r>
      <w:r w:rsidR="00513081" w:rsidRPr="00AC57EA">
        <w:rPr>
          <w:sz w:val="20"/>
          <w:lang w:val="en-US" w:eastAsia="en-US"/>
        </w:rPr>
        <w:t>the grounds for a decision</w:t>
      </w:r>
      <w:r w:rsidR="00FB0EBD" w:rsidRPr="00AC57EA">
        <w:rPr>
          <w:sz w:val="20"/>
          <w:lang w:val="en-US" w:eastAsia="en-US"/>
        </w:rPr>
        <w:t xml:space="preserve"> is one of the ‘due gu</w:t>
      </w:r>
      <w:r w:rsidR="00FD6DA6" w:rsidRPr="00AC57EA">
        <w:rPr>
          <w:sz w:val="20"/>
          <w:lang w:val="en-US" w:eastAsia="en-US"/>
        </w:rPr>
        <w:t>a</w:t>
      </w:r>
      <w:r w:rsidR="00FB0EBD" w:rsidRPr="00AC57EA">
        <w:rPr>
          <w:sz w:val="20"/>
          <w:lang w:val="en-US" w:eastAsia="en-US"/>
        </w:rPr>
        <w:t xml:space="preserve">rantees’ included in </w:t>
      </w:r>
      <w:r w:rsidRPr="00AC57EA">
        <w:rPr>
          <w:sz w:val="20"/>
          <w:lang w:val="en-US" w:eastAsia="en-US"/>
        </w:rPr>
        <w:t>Article</w:t>
      </w:r>
      <w:r w:rsidR="00B5625C" w:rsidRPr="00AC57EA">
        <w:rPr>
          <w:sz w:val="20"/>
          <w:lang w:val="en-US" w:eastAsia="en-US"/>
        </w:rPr>
        <w:t xml:space="preserve"> </w:t>
      </w:r>
      <w:r w:rsidR="00171E27" w:rsidRPr="00AC57EA">
        <w:rPr>
          <w:sz w:val="20"/>
          <w:lang w:val="en-US" w:eastAsia="en-US"/>
        </w:rPr>
        <w:t>8(1)</w:t>
      </w:r>
      <w:r w:rsidR="00B5625C" w:rsidRPr="00AC57EA">
        <w:rPr>
          <w:sz w:val="20"/>
          <w:lang w:val="en-US" w:eastAsia="en-US"/>
        </w:rPr>
        <w:t xml:space="preserve"> </w:t>
      </w:r>
      <w:r w:rsidR="00FB0EBD" w:rsidRPr="00AC57EA">
        <w:rPr>
          <w:sz w:val="20"/>
          <w:lang w:val="en-US" w:eastAsia="en-US"/>
        </w:rPr>
        <w:t>to safeguard the right to due process.</w:t>
      </w:r>
      <w:r w:rsidR="00B5625C" w:rsidRPr="00AC57EA">
        <w:rPr>
          <w:sz w:val="20"/>
          <w:lang w:val="en-US" w:eastAsia="en-US"/>
        </w:rPr>
        <w:t>”</w:t>
      </w:r>
      <w:r w:rsidR="00B5625C" w:rsidRPr="00AC57EA">
        <w:rPr>
          <w:sz w:val="20"/>
          <w:vertAlign w:val="superscript"/>
          <w:lang w:val="en-US" w:eastAsia="en-US"/>
        </w:rPr>
        <w:footnoteReference w:id="330"/>
      </w:r>
      <w:r w:rsidR="00B5625C" w:rsidRPr="00AC57EA">
        <w:rPr>
          <w:sz w:val="20"/>
          <w:lang w:val="en-US" w:eastAsia="en-US"/>
        </w:rPr>
        <w:t xml:space="preserve"> </w:t>
      </w:r>
      <w:r w:rsidRPr="00AC57EA">
        <w:rPr>
          <w:sz w:val="20"/>
          <w:lang w:val="en-US" w:eastAsia="en-US"/>
        </w:rPr>
        <w:t>The Court</w:t>
      </w:r>
      <w:r w:rsidR="00B5625C" w:rsidRPr="00AC57EA">
        <w:rPr>
          <w:sz w:val="20"/>
          <w:lang w:val="en-US" w:eastAsia="en-US"/>
        </w:rPr>
        <w:t xml:space="preserve"> ha</w:t>
      </w:r>
      <w:r w:rsidR="00FB0EBD" w:rsidRPr="00AC57EA">
        <w:rPr>
          <w:sz w:val="20"/>
          <w:lang w:val="en-US" w:eastAsia="en-US"/>
        </w:rPr>
        <w:t xml:space="preserve">s </w:t>
      </w:r>
      <w:r w:rsidR="00FB0EBD" w:rsidRPr="00AC57EA">
        <w:rPr>
          <w:sz w:val="20"/>
          <w:lang w:val="en-US" w:eastAsia="en-US"/>
        </w:rPr>
        <w:lastRenderedPageBreak/>
        <w:t>stipulated that the reasoning “is the exteriorization of the reasoned justification that allows a conclusion to be reached</w:t>
      </w:r>
      <w:r w:rsidR="00B5625C" w:rsidRPr="00AC57EA">
        <w:rPr>
          <w:sz w:val="20"/>
          <w:lang w:val="en-US" w:eastAsia="en-US"/>
        </w:rPr>
        <w:t>”</w:t>
      </w:r>
      <w:r w:rsidR="00B5625C" w:rsidRPr="00AC57EA">
        <w:rPr>
          <w:sz w:val="20"/>
          <w:vertAlign w:val="superscript"/>
          <w:lang w:val="en-US" w:eastAsia="en-US"/>
        </w:rPr>
        <w:footnoteReference w:id="331"/>
      </w:r>
      <w:r w:rsidR="00171E27" w:rsidRPr="00AC57EA">
        <w:rPr>
          <w:sz w:val="20"/>
          <w:lang w:val="en-US" w:eastAsia="en-US"/>
        </w:rPr>
        <w:t xml:space="preserve"> and </w:t>
      </w:r>
      <w:r w:rsidR="00FB0EBD" w:rsidRPr="00AC57EA">
        <w:rPr>
          <w:sz w:val="20"/>
          <w:lang w:val="en-US" w:eastAsia="en-US"/>
        </w:rPr>
        <w:t xml:space="preserve">entails a rational presentation of the reasons that led the judge to take a decision. The relevance of this guarantee </w:t>
      </w:r>
      <w:r w:rsidR="00FD6DA6" w:rsidRPr="00AC57EA">
        <w:rPr>
          <w:sz w:val="20"/>
          <w:lang w:val="en-US" w:eastAsia="en-US"/>
        </w:rPr>
        <w:t>relates to</w:t>
      </w:r>
      <w:r w:rsidR="00FB0EBD" w:rsidRPr="00AC57EA">
        <w:rPr>
          <w:sz w:val="20"/>
          <w:lang w:val="en-US" w:eastAsia="en-US"/>
        </w:rPr>
        <w:t xml:space="preserve"> the correct administration of justice and </w:t>
      </w:r>
      <w:r w:rsidR="00D34F81" w:rsidRPr="00AC57EA">
        <w:rPr>
          <w:sz w:val="20"/>
          <w:lang w:val="en-US" w:eastAsia="en-US"/>
        </w:rPr>
        <w:t>avoidance</w:t>
      </w:r>
      <w:r w:rsidR="00FB0EBD" w:rsidRPr="00AC57EA">
        <w:rPr>
          <w:sz w:val="20"/>
          <w:lang w:val="en-US" w:eastAsia="en-US"/>
        </w:rPr>
        <w:t xml:space="preserve"> of arbitrary decisions. In addition, the reasoning accords credibility to legal decisions in a democratic society and demonstrates to the parties that they have been heard.</w:t>
      </w:r>
      <w:bookmarkStart w:id="131" w:name="_ftnref67"/>
      <w:r w:rsidR="00B5625C" w:rsidRPr="00AC57EA">
        <w:rPr>
          <w:rFonts w:eastAsia="Calibri"/>
          <w:sz w:val="20"/>
          <w:vertAlign w:val="superscript"/>
          <w:lang w:val="en-US" w:eastAsia="en-US"/>
        </w:rPr>
        <w:footnoteReference w:id="332"/>
      </w:r>
      <w:hyperlink r:id="rId8" w:anchor="_ftn67" w:history="1"/>
      <w:bookmarkEnd w:id="131"/>
    </w:p>
    <w:p w14:paraId="09DF228B" w14:textId="77777777" w:rsidR="00B5625C" w:rsidRPr="00AC57EA" w:rsidRDefault="00B5625C" w:rsidP="00B5625C">
      <w:pPr>
        <w:widowControl/>
        <w:adjustRightInd/>
        <w:spacing w:line="240" w:lineRule="auto"/>
        <w:textAlignment w:val="auto"/>
        <w:rPr>
          <w:sz w:val="20"/>
          <w:szCs w:val="20"/>
          <w:lang w:val="en-US" w:eastAsia="en-US"/>
        </w:rPr>
      </w:pPr>
    </w:p>
    <w:p w14:paraId="503CEE09" w14:textId="78774A79" w:rsidR="00B5625C" w:rsidRPr="00AC57EA" w:rsidRDefault="00FD6DA6" w:rsidP="00FD6DA6">
      <w:pPr>
        <w:widowControl/>
        <w:numPr>
          <w:ilvl w:val="0"/>
          <w:numId w:val="2"/>
        </w:numPr>
        <w:tabs>
          <w:tab w:val="left" w:pos="567"/>
          <w:tab w:val="num" w:pos="12305"/>
        </w:tabs>
        <w:adjustRightInd/>
        <w:spacing w:line="240" w:lineRule="auto"/>
        <w:ind w:left="0" w:firstLine="0"/>
        <w:textAlignment w:val="auto"/>
        <w:rPr>
          <w:rFonts w:eastAsia="Calibri"/>
          <w:sz w:val="20"/>
          <w:lang w:val="en-US" w:eastAsia="en-US"/>
        </w:rPr>
      </w:pPr>
      <w:r w:rsidRPr="00AC57EA">
        <w:rPr>
          <w:sz w:val="20"/>
          <w:lang w:val="en-US" w:eastAsia="en-US"/>
        </w:rPr>
        <w:t xml:space="preserve">This is closely related to another aspect that highlights the value of the reasoning as a guarantee and this is that, in cases in which it is possible to appeal the decision, it provides the possibility of contesting the decision and obtaining a fresh examination of the matter before a higher court. The Court has indicated that “the </w:t>
      </w:r>
      <w:r w:rsidR="00513081" w:rsidRPr="00AC57EA">
        <w:rPr>
          <w:sz w:val="20"/>
          <w:lang w:val="en-US" w:eastAsia="en-US"/>
        </w:rPr>
        <w:t>grounds for</w:t>
      </w:r>
      <w:r w:rsidRPr="00AC57EA">
        <w:rPr>
          <w:sz w:val="20"/>
          <w:lang w:val="en-US" w:eastAsia="en-US"/>
        </w:rPr>
        <w:t xml:space="preserve"> the judicial decision</w:t>
      </w:r>
      <w:r w:rsidR="00513081" w:rsidRPr="00AC57EA">
        <w:rPr>
          <w:sz w:val="20"/>
          <w:lang w:val="en-US" w:eastAsia="en-US"/>
        </w:rPr>
        <w:t xml:space="preserve"> must be provided to be able</w:t>
      </w:r>
      <w:r w:rsidRPr="00AC57EA">
        <w:rPr>
          <w:sz w:val="20"/>
          <w:lang w:val="en-US" w:eastAsia="en-US"/>
        </w:rPr>
        <w:t xml:space="preserve"> to guarantee</w:t>
      </w:r>
      <w:r w:rsidRPr="00AC57EA">
        <w:rPr>
          <w:rFonts w:eastAsia="Calibri"/>
          <w:sz w:val="20"/>
          <w:lang w:val="en-US" w:eastAsia="en-US"/>
        </w:rPr>
        <w:t xml:space="preserve"> </w:t>
      </w:r>
      <w:r w:rsidR="002A5974" w:rsidRPr="00AC57EA">
        <w:rPr>
          <w:rFonts w:eastAsia="Calibri"/>
          <w:sz w:val="20"/>
          <w:lang w:val="en-US" w:eastAsia="en-US"/>
        </w:rPr>
        <w:t>the right of</w:t>
      </w:r>
      <w:r w:rsidR="00B5625C" w:rsidRPr="00AC57EA">
        <w:rPr>
          <w:rFonts w:eastAsia="Calibri"/>
          <w:sz w:val="20"/>
          <w:lang w:val="en-US" w:eastAsia="en-US"/>
        </w:rPr>
        <w:t xml:space="preserve"> defens</w:t>
      </w:r>
      <w:r w:rsidRPr="00AC57EA">
        <w:rPr>
          <w:rFonts w:eastAsia="Calibri"/>
          <w:sz w:val="20"/>
          <w:lang w:val="en-US" w:eastAsia="en-US"/>
        </w:rPr>
        <w:t>e.</w:t>
      </w:r>
      <w:r w:rsidR="00B5625C" w:rsidRPr="00AC57EA">
        <w:rPr>
          <w:rFonts w:eastAsia="Calibri"/>
          <w:sz w:val="20"/>
          <w:lang w:val="en-US" w:eastAsia="en-US"/>
        </w:rPr>
        <w:t>”</w:t>
      </w:r>
      <w:r w:rsidR="00B5625C" w:rsidRPr="00AC57EA">
        <w:rPr>
          <w:rFonts w:eastAsia="Calibri"/>
          <w:sz w:val="20"/>
          <w:vertAlign w:val="superscript"/>
          <w:lang w:val="en-US" w:eastAsia="en-US"/>
        </w:rPr>
        <w:footnoteReference w:id="333"/>
      </w:r>
      <w:r w:rsidRPr="00AC57EA">
        <w:rPr>
          <w:rFonts w:eastAsia="Calibri"/>
          <w:sz w:val="20"/>
          <w:lang w:val="en-US" w:eastAsia="en-US"/>
        </w:rPr>
        <w:t xml:space="preserve"> However, the Court has also indicated that the obligation to provide </w:t>
      </w:r>
      <w:r w:rsidR="00565C8F" w:rsidRPr="00AC57EA">
        <w:rPr>
          <w:rFonts w:eastAsia="Calibri"/>
          <w:sz w:val="20"/>
          <w:lang w:val="en-US" w:eastAsia="en-US"/>
        </w:rPr>
        <w:t>a reasoned decision</w:t>
      </w:r>
      <w:r w:rsidRPr="00AC57EA">
        <w:rPr>
          <w:rFonts w:eastAsia="Calibri"/>
          <w:sz w:val="20"/>
          <w:lang w:val="en-US" w:eastAsia="en-US"/>
        </w:rPr>
        <w:t xml:space="preserve"> does not require a detailed </w:t>
      </w:r>
      <w:r w:rsidR="00565C8F" w:rsidRPr="00AC57EA">
        <w:rPr>
          <w:rFonts w:eastAsia="Calibri"/>
          <w:sz w:val="20"/>
          <w:lang w:val="en-US" w:eastAsia="en-US"/>
        </w:rPr>
        <w:t>answer</w:t>
      </w:r>
      <w:r w:rsidRPr="00AC57EA">
        <w:rPr>
          <w:rFonts w:eastAsia="Calibri"/>
          <w:sz w:val="20"/>
          <w:lang w:val="en-US" w:eastAsia="en-US"/>
        </w:rPr>
        <w:t xml:space="preserve"> to </w:t>
      </w:r>
      <w:r w:rsidR="00565C8F" w:rsidRPr="00AC57EA">
        <w:rPr>
          <w:rFonts w:eastAsia="Calibri"/>
          <w:sz w:val="20"/>
          <w:lang w:val="en-US" w:eastAsia="en-US"/>
        </w:rPr>
        <w:t>every</w:t>
      </w:r>
      <w:r w:rsidRPr="00AC57EA">
        <w:rPr>
          <w:rFonts w:eastAsia="Calibri"/>
          <w:sz w:val="20"/>
          <w:lang w:val="en-US" w:eastAsia="en-US"/>
        </w:rPr>
        <w:t xml:space="preserve"> argument of the parties, but may vary according to the nature of the decision and</w:t>
      </w:r>
      <w:r w:rsidR="00F6742B" w:rsidRPr="00AC57EA">
        <w:rPr>
          <w:rFonts w:eastAsia="Calibri"/>
          <w:sz w:val="20"/>
          <w:lang w:val="en-US" w:eastAsia="en-US"/>
        </w:rPr>
        <w:t>,</w:t>
      </w:r>
      <w:r w:rsidRPr="00AC57EA">
        <w:rPr>
          <w:rFonts w:eastAsia="Calibri"/>
          <w:sz w:val="20"/>
          <w:lang w:val="en-US" w:eastAsia="en-US"/>
        </w:rPr>
        <w:t xml:space="preserve"> in each case, it is necessary to examine whether the guarantee has been fulfilled.</w:t>
      </w:r>
      <w:r w:rsidR="00B5625C" w:rsidRPr="00AC57EA">
        <w:rPr>
          <w:rFonts w:eastAsia="Calibri"/>
          <w:sz w:val="20"/>
          <w:vertAlign w:val="superscript"/>
          <w:lang w:val="en-US" w:eastAsia="en-US"/>
        </w:rPr>
        <w:footnoteReference w:id="334"/>
      </w:r>
    </w:p>
    <w:p w14:paraId="4C84AA4F" w14:textId="77777777" w:rsidR="00B5625C" w:rsidRPr="00AC57EA" w:rsidRDefault="00B5625C" w:rsidP="00B5625C">
      <w:pPr>
        <w:widowControl/>
        <w:adjustRightInd/>
        <w:spacing w:line="240" w:lineRule="auto"/>
        <w:textAlignment w:val="auto"/>
        <w:rPr>
          <w:sz w:val="20"/>
          <w:szCs w:val="20"/>
          <w:lang w:val="en-US" w:eastAsia="en-US"/>
        </w:rPr>
      </w:pPr>
    </w:p>
    <w:p w14:paraId="2972A58E" w14:textId="67871A4A" w:rsidR="005944FA" w:rsidRPr="00AC57EA" w:rsidRDefault="00513081" w:rsidP="005944FA">
      <w:pPr>
        <w:widowControl/>
        <w:numPr>
          <w:ilvl w:val="0"/>
          <w:numId w:val="2"/>
        </w:numPr>
        <w:tabs>
          <w:tab w:val="left" w:pos="567"/>
          <w:tab w:val="num" w:pos="12305"/>
        </w:tabs>
        <w:adjustRightInd/>
        <w:spacing w:line="240" w:lineRule="auto"/>
        <w:ind w:left="0" w:firstLine="0"/>
        <w:textAlignment w:val="auto"/>
        <w:rPr>
          <w:sz w:val="20"/>
          <w:lang w:val="en-US" w:eastAsia="en-US"/>
        </w:rPr>
      </w:pPr>
      <w:r w:rsidRPr="00AC57EA">
        <w:rPr>
          <w:sz w:val="20"/>
          <w:lang w:val="en-US" w:eastAsia="en-US"/>
        </w:rPr>
        <w:t>In the criminal jurisdiction, as a guarantee for the accused, it is also addressed at ensuring the principle of the presumption of innocence because it allows the individual subjected to the punitive powers of the State to understand the reasons why</w:t>
      </w:r>
      <w:r w:rsidR="007D3699" w:rsidRPr="00AC57EA">
        <w:rPr>
          <w:sz w:val="20"/>
          <w:lang w:val="en-US" w:eastAsia="en-US"/>
        </w:rPr>
        <w:t xml:space="preserve"> it was possible to obtain</w:t>
      </w:r>
      <w:r w:rsidRPr="00AC57EA">
        <w:rPr>
          <w:sz w:val="20"/>
          <w:lang w:val="en-US" w:eastAsia="en-US"/>
        </w:rPr>
        <w:t xml:space="preserve"> a conviction </w:t>
      </w:r>
      <w:r w:rsidR="007D3699" w:rsidRPr="00AC57EA">
        <w:rPr>
          <w:sz w:val="20"/>
          <w:lang w:val="en-US" w:eastAsia="en-US"/>
        </w:rPr>
        <w:t>with regard to</w:t>
      </w:r>
      <w:r w:rsidRPr="00AC57EA">
        <w:rPr>
          <w:sz w:val="20"/>
          <w:lang w:val="en-US" w:eastAsia="en-US"/>
        </w:rPr>
        <w:t xml:space="preserve"> the accusation and the criminal responsibility, </w:t>
      </w:r>
      <w:r w:rsidR="007D3699" w:rsidRPr="00AC57EA">
        <w:rPr>
          <w:sz w:val="20"/>
          <w:lang w:val="en-US" w:eastAsia="en-US"/>
        </w:rPr>
        <w:t>and also</w:t>
      </w:r>
      <w:r w:rsidRPr="00AC57EA">
        <w:rPr>
          <w:sz w:val="20"/>
          <w:lang w:val="en-US" w:eastAsia="en-US"/>
        </w:rPr>
        <w:t xml:space="preserve"> how the evidence was assessed </w:t>
      </w:r>
      <w:r w:rsidR="007D3699" w:rsidRPr="00AC57EA">
        <w:rPr>
          <w:sz w:val="20"/>
          <w:lang w:val="en-US" w:eastAsia="en-US"/>
        </w:rPr>
        <w:t xml:space="preserve">to </w:t>
      </w:r>
      <w:r w:rsidRPr="00AC57EA">
        <w:rPr>
          <w:sz w:val="20"/>
          <w:lang w:val="en-US" w:eastAsia="en-US"/>
        </w:rPr>
        <w:t>disprov</w:t>
      </w:r>
      <w:r w:rsidR="007D3699" w:rsidRPr="00AC57EA">
        <w:rPr>
          <w:sz w:val="20"/>
          <w:lang w:val="en-US" w:eastAsia="en-US"/>
        </w:rPr>
        <w:t>e</w:t>
      </w:r>
      <w:r w:rsidRPr="00AC57EA">
        <w:rPr>
          <w:sz w:val="20"/>
          <w:lang w:val="en-US" w:eastAsia="en-US"/>
        </w:rPr>
        <w:t xml:space="preserve"> any suggestion of innocence, </w:t>
      </w:r>
      <w:r w:rsidR="005944FA" w:rsidRPr="00AC57EA">
        <w:rPr>
          <w:sz w:val="20"/>
          <w:lang w:val="en-US" w:eastAsia="en-US"/>
        </w:rPr>
        <w:t xml:space="preserve">and </w:t>
      </w:r>
      <w:r w:rsidR="007D3699" w:rsidRPr="00AC57EA">
        <w:rPr>
          <w:sz w:val="20"/>
          <w:lang w:val="en-US" w:eastAsia="en-US"/>
        </w:rPr>
        <w:t>only thus</w:t>
      </w:r>
      <w:r w:rsidR="005944FA" w:rsidRPr="00AC57EA">
        <w:rPr>
          <w:sz w:val="20"/>
          <w:lang w:val="en-US" w:eastAsia="en-US"/>
        </w:rPr>
        <w:t xml:space="preserve"> to confirm or refute the accusation.</w:t>
      </w:r>
      <w:r w:rsidR="00B5625C" w:rsidRPr="00AC57EA">
        <w:rPr>
          <w:sz w:val="20"/>
          <w:vertAlign w:val="superscript"/>
          <w:lang w:val="en-US" w:eastAsia="en-US"/>
        </w:rPr>
        <w:footnoteReference w:id="335"/>
      </w:r>
      <w:r w:rsidR="005944FA" w:rsidRPr="00AC57EA">
        <w:rPr>
          <w:sz w:val="20"/>
          <w:lang w:val="en-US" w:eastAsia="en-US"/>
        </w:rPr>
        <w:t xml:space="preserve"> This allows the presumption of innocence to be disproved and criminal responsibility to be determined beyond any reasonable doubt, and also makes it possible to exercise the right to defense by the ability to appeal a conviction.</w:t>
      </w:r>
    </w:p>
    <w:p w14:paraId="77219E1B" w14:textId="77777777" w:rsidR="00BD142E" w:rsidRPr="00AC57EA" w:rsidRDefault="00BD142E" w:rsidP="00BD142E">
      <w:pPr>
        <w:widowControl/>
        <w:tabs>
          <w:tab w:val="left" w:pos="567"/>
        </w:tabs>
        <w:adjustRightInd/>
        <w:spacing w:line="240" w:lineRule="auto"/>
        <w:textAlignment w:val="auto"/>
        <w:rPr>
          <w:sz w:val="20"/>
          <w:lang w:val="en-US" w:eastAsia="en-US"/>
        </w:rPr>
      </w:pPr>
    </w:p>
    <w:p w14:paraId="4664A662" w14:textId="10AFFEDB" w:rsidR="005944FA" w:rsidRPr="00AC57EA" w:rsidRDefault="005944FA" w:rsidP="00BD142E">
      <w:pPr>
        <w:widowControl/>
        <w:numPr>
          <w:ilvl w:val="0"/>
          <w:numId w:val="2"/>
        </w:numPr>
        <w:tabs>
          <w:tab w:val="left" w:pos="567"/>
          <w:tab w:val="num" w:pos="12305"/>
        </w:tabs>
        <w:adjustRightInd/>
        <w:spacing w:line="240" w:lineRule="auto"/>
        <w:ind w:left="0" w:firstLine="0"/>
        <w:textAlignment w:val="auto"/>
        <w:rPr>
          <w:sz w:val="20"/>
          <w:lang w:val="en-US" w:eastAsia="en-US"/>
        </w:rPr>
      </w:pPr>
      <w:r w:rsidRPr="00AC57EA">
        <w:rPr>
          <w:rFonts w:eastAsia="Calibri"/>
          <w:kern w:val="1"/>
          <w:sz w:val="20"/>
          <w:lang w:val="en-US" w:eastAsia="en-US"/>
        </w:rPr>
        <w:t>That said</w:t>
      </w:r>
      <w:r w:rsidR="00BD142E" w:rsidRPr="00AC57EA">
        <w:rPr>
          <w:rFonts w:eastAsia="Calibri"/>
          <w:kern w:val="1"/>
          <w:sz w:val="20"/>
          <w:lang w:val="en-US" w:eastAsia="en-US"/>
        </w:rPr>
        <w:t xml:space="preserve">, </w:t>
      </w:r>
      <w:r w:rsidR="00B7258C" w:rsidRPr="00AC57EA">
        <w:rPr>
          <w:rFonts w:eastAsia="Calibri"/>
          <w:kern w:val="1"/>
          <w:sz w:val="20"/>
          <w:lang w:val="en-US" w:eastAsia="en-US"/>
        </w:rPr>
        <w:t>the Court</w:t>
      </w:r>
      <w:r w:rsidR="00BD142E" w:rsidRPr="00AC57EA">
        <w:rPr>
          <w:rFonts w:eastAsia="Calibri"/>
          <w:kern w:val="1"/>
          <w:sz w:val="20"/>
          <w:lang w:val="en-US" w:eastAsia="en-US"/>
        </w:rPr>
        <w:t xml:space="preserve"> </w:t>
      </w:r>
      <w:r w:rsidRPr="00AC57EA">
        <w:rPr>
          <w:rFonts w:eastAsia="Calibri"/>
          <w:kern w:val="1"/>
          <w:sz w:val="20"/>
          <w:lang w:val="en-US" w:eastAsia="en-US"/>
        </w:rPr>
        <w:t xml:space="preserve">finds it pertinent to clarify that the grounds for the decisions adopted by the organs responsible for imparting justice </w:t>
      </w:r>
      <w:r w:rsidR="007D3699" w:rsidRPr="00AC57EA">
        <w:rPr>
          <w:rFonts w:eastAsia="Calibri"/>
          <w:kern w:val="1"/>
          <w:sz w:val="20"/>
          <w:lang w:val="en-US" w:eastAsia="en-US"/>
        </w:rPr>
        <w:t>are</w:t>
      </w:r>
      <w:r w:rsidRPr="00AC57EA">
        <w:rPr>
          <w:rFonts w:eastAsia="Calibri"/>
          <w:kern w:val="1"/>
          <w:sz w:val="20"/>
          <w:lang w:val="en-US" w:eastAsia="en-US"/>
        </w:rPr>
        <w:t xml:space="preserve"> relevant not only for the person accused of the offense, but also allow the citizen to control</w:t>
      </w:r>
      <w:r w:rsidR="007D3699" w:rsidRPr="00AC57EA">
        <w:rPr>
          <w:rFonts w:eastAsia="Calibri"/>
          <w:kern w:val="1"/>
          <w:sz w:val="20"/>
          <w:lang w:val="en-US" w:eastAsia="en-US"/>
        </w:rPr>
        <w:t xml:space="preserve"> government </w:t>
      </w:r>
      <w:r w:rsidRPr="00AC57EA">
        <w:rPr>
          <w:rFonts w:eastAsia="Calibri"/>
          <w:kern w:val="1"/>
          <w:sz w:val="20"/>
          <w:lang w:val="en-US" w:eastAsia="en-US"/>
        </w:rPr>
        <w:t>acts</w:t>
      </w:r>
      <w:r w:rsidR="007D3699" w:rsidRPr="00AC57EA">
        <w:rPr>
          <w:rFonts w:eastAsia="Calibri"/>
          <w:kern w:val="1"/>
          <w:sz w:val="20"/>
          <w:lang w:val="en-US" w:eastAsia="en-US"/>
        </w:rPr>
        <w:t xml:space="preserve"> – in</w:t>
      </w:r>
      <w:r w:rsidRPr="00AC57EA">
        <w:rPr>
          <w:rFonts w:eastAsia="Calibri"/>
          <w:kern w:val="1"/>
          <w:sz w:val="20"/>
          <w:lang w:val="en-US" w:eastAsia="en-US"/>
        </w:rPr>
        <w:t xml:space="preserve"> this case, the administration of justice </w:t>
      </w:r>
      <w:r w:rsidR="007D3699" w:rsidRPr="00AC57EA">
        <w:rPr>
          <w:rFonts w:eastAsia="Calibri"/>
          <w:kern w:val="1"/>
          <w:sz w:val="20"/>
          <w:lang w:val="en-US" w:eastAsia="en-US"/>
        </w:rPr>
        <w:t>– and</w:t>
      </w:r>
      <w:r w:rsidRPr="00AC57EA">
        <w:rPr>
          <w:rFonts w:eastAsia="Calibri"/>
          <w:kern w:val="1"/>
          <w:sz w:val="20"/>
          <w:lang w:val="en-US" w:eastAsia="en-US"/>
        </w:rPr>
        <w:t xml:space="preserve"> exposes them to scrutiny. In the case of juries, this aspect is understood to be covered by the direct participation of the citizenry.</w:t>
      </w:r>
    </w:p>
    <w:p w14:paraId="343A1876" w14:textId="6F160287" w:rsidR="00B5625C" w:rsidRPr="00AC57EA" w:rsidRDefault="005944FA" w:rsidP="00B5625C">
      <w:pPr>
        <w:widowControl/>
        <w:tabs>
          <w:tab w:val="left" w:pos="284"/>
        </w:tabs>
        <w:adjustRightInd/>
        <w:spacing w:line="240" w:lineRule="auto"/>
        <w:textAlignment w:val="auto"/>
        <w:rPr>
          <w:rFonts w:eastAsia="Calibri"/>
          <w:kern w:val="1"/>
          <w:sz w:val="20"/>
          <w:lang w:val="en-US" w:eastAsia="en-US"/>
        </w:rPr>
      </w:pPr>
      <w:r w:rsidRPr="00AC57EA">
        <w:rPr>
          <w:rFonts w:eastAsia="Calibri"/>
          <w:kern w:val="1"/>
          <w:sz w:val="20"/>
          <w:lang w:val="en-US" w:eastAsia="en-US"/>
        </w:rPr>
        <w:t xml:space="preserve"> </w:t>
      </w:r>
    </w:p>
    <w:p w14:paraId="4BE12064" w14:textId="5B747BDA" w:rsidR="006A6DFD" w:rsidRPr="00AC57EA" w:rsidRDefault="005944FA" w:rsidP="005944F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w:t>
      </w:r>
      <w:r w:rsidR="00B7258C" w:rsidRPr="00AC57EA">
        <w:rPr>
          <w:sz w:val="20"/>
          <w:szCs w:val="20"/>
          <w:lang w:val="en-US" w:eastAsia="en-US"/>
        </w:rPr>
        <w:t xml:space="preserve"> Court</w:t>
      </w:r>
      <w:r w:rsidR="00F2372D" w:rsidRPr="00AC57EA">
        <w:rPr>
          <w:sz w:val="20"/>
          <w:szCs w:val="20"/>
          <w:lang w:val="en-US" w:eastAsia="en-US"/>
        </w:rPr>
        <w:t xml:space="preserve"> consider</w:t>
      </w:r>
      <w:r w:rsidRPr="00AC57EA">
        <w:rPr>
          <w:sz w:val="20"/>
          <w:szCs w:val="20"/>
          <w:lang w:val="en-US" w:eastAsia="en-US"/>
        </w:rPr>
        <w:t>s that</w:t>
      </w:r>
      <w:r w:rsidR="00B7258C" w:rsidRPr="00AC57EA">
        <w:rPr>
          <w:sz w:val="20"/>
          <w:szCs w:val="20"/>
          <w:lang w:val="en-US" w:eastAsia="en-US"/>
        </w:rPr>
        <w:t xml:space="preserve"> the Commission</w:t>
      </w:r>
      <w:r w:rsidRPr="00AC57EA">
        <w:rPr>
          <w:sz w:val="20"/>
          <w:szCs w:val="20"/>
          <w:lang w:val="en-US" w:eastAsia="en-US"/>
        </w:rPr>
        <w:t xml:space="preserve">’s argument that the fact that no </w:t>
      </w:r>
      <w:r w:rsidR="007D3699" w:rsidRPr="00AC57EA">
        <w:rPr>
          <w:sz w:val="20"/>
          <w:szCs w:val="20"/>
          <w:lang w:val="en-US" w:eastAsia="en-US"/>
        </w:rPr>
        <w:t>reasons</w:t>
      </w:r>
      <w:r w:rsidRPr="00AC57EA">
        <w:rPr>
          <w:sz w:val="20"/>
          <w:szCs w:val="20"/>
          <w:lang w:val="en-US" w:eastAsia="en-US"/>
        </w:rPr>
        <w:t xml:space="preserve"> were provided for a verdict of acquittal implied, </w:t>
      </w:r>
      <w:r w:rsidRPr="00AC57EA">
        <w:rPr>
          <w:i/>
          <w:sz w:val="20"/>
          <w:szCs w:val="20"/>
          <w:lang w:val="en-US" w:eastAsia="en-US"/>
        </w:rPr>
        <w:t xml:space="preserve">per se, </w:t>
      </w:r>
      <w:r w:rsidRPr="00AC57EA">
        <w:rPr>
          <w:iCs/>
          <w:sz w:val="20"/>
          <w:szCs w:val="20"/>
          <w:lang w:val="en-US" w:eastAsia="en-US"/>
        </w:rPr>
        <w:t xml:space="preserve">a violation </w:t>
      </w:r>
      <w:r w:rsidR="00171E27" w:rsidRPr="00AC57EA">
        <w:rPr>
          <w:sz w:val="20"/>
          <w:szCs w:val="20"/>
          <w:lang w:val="en-US" w:eastAsia="en-US"/>
        </w:rPr>
        <w:t>of Article</w:t>
      </w:r>
      <w:r w:rsidR="00F2372D" w:rsidRPr="00AC57EA">
        <w:rPr>
          <w:sz w:val="20"/>
          <w:szCs w:val="20"/>
          <w:lang w:val="en-US" w:eastAsia="en-US"/>
        </w:rPr>
        <w:t xml:space="preserve"> </w:t>
      </w:r>
      <w:r w:rsidR="00171E27" w:rsidRPr="00AC57EA">
        <w:rPr>
          <w:sz w:val="20"/>
          <w:szCs w:val="20"/>
          <w:lang w:val="en-US" w:eastAsia="en-US"/>
        </w:rPr>
        <w:t>8(1)</w:t>
      </w:r>
      <w:r w:rsidR="00B7258C" w:rsidRPr="00AC57EA">
        <w:rPr>
          <w:sz w:val="20"/>
          <w:szCs w:val="20"/>
          <w:lang w:val="en-US" w:eastAsia="en-US"/>
        </w:rPr>
        <w:t xml:space="preserve"> of the American Convention</w:t>
      </w:r>
      <w:r w:rsidR="00F2372D" w:rsidRPr="00AC57EA">
        <w:rPr>
          <w:sz w:val="20"/>
          <w:szCs w:val="20"/>
          <w:lang w:val="en-US" w:eastAsia="en-US"/>
        </w:rPr>
        <w:t xml:space="preserve">, </w:t>
      </w:r>
      <w:r w:rsidRPr="00AC57EA">
        <w:rPr>
          <w:sz w:val="20"/>
          <w:szCs w:val="20"/>
          <w:lang w:val="en-US" w:eastAsia="en-US"/>
        </w:rPr>
        <w:t xml:space="preserve">is a general and abstract assertion that cannot be admitted without further arguments or an analysis of the historical, social and cultural context in which the different models of criminal trials in the countries of the American continent </w:t>
      </w:r>
      <w:r w:rsidR="006A6DFD" w:rsidRPr="00AC57EA">
        <w:rPr>
          <w:sz w:val="20"/>
          <w:szCs w:val="20"/>
          <w:lang w:val="en-US" w:eastAsia="en-US"/>
        </w:rPr>
        <w:t>were developed</w:t>
      </w:r>
      <w:r w:rsidRPr="00AC57EA">
        <w:rPr>
          <w:sz w:val="20"/>
          <w:szCs w:val="20"/>
          <w:lang w:val="en-US" w:eastAsia="en-US"/>
        </w:rPr>
        <w:t xml:space="preserve"> and, in particular, how </w:t>
      </w:r>
      <w:r w:rsidR="007D3699" w:rsidRPr="00AC57EA">
        <w:rPr>
          <w:sz w:val="20"/>
          <w:szCs w:val="20"/>
          <w:lang w:val="en-US" w:eastAsia="en-US"/>
        </w:rPr>
        <w:t xml:space="preserve">the jury court was </w:t>
      </w:r>
      <w:r w:rsidRPr="00AC57EA">
        <w:rPr>
          <w:sz w:val="20"/>
          <w:szCs w:val="20"/>
          <w:lang w:val="en-US" w:eastAsia="en-US"/>
        </w:rPr>
        <w:t>conceived in Nicaragua.</w:t>
      </w:r>
      <w:r w:rsidR="006A6DFD" w:rsidRPr="00AC57EA">
        <w:rPr>
          <w:sz w:val="20"/>
          <w:szCs w:val="20"/>
          <w:lang w:val="en-US" w:eastAsia="en-US"/>
        </w:rPr>
        <w:t xml:space="preserve"> This is because, historically and </w:t>
      </w:r>
      <w:r w:rsidR="00A664F1" w:rsidRPr="00AC57EA">
        <w:rPr>
          <w:sz w:val="20"/>
          <w:szCs w:val="20"/>
          <w:lang w:val="en-US" w:eastAsia="en-US"/>
        </w:rPr>
        <w:t>customarily</w:t>
      </w:r>
      <w:r w:rsidR="006A6DFD" w:rsidRPr="00AC57EA">
        <w:rPr>
          <w:sz w:val="20"/>
          <w:szCs w:val="20"/>
          <w:lang w:val="en-US" w:eastAsia="en-US"/>
        </w:rPr>
        <w:t xml:space="preserve">, the verdict of a </w:t>
      </w:r>
      <w:r w:rsidR="00A664F1" w:rsidRPr="00AC57EA">
        <w:rPr>
          <w:sz w:val="20"/>
          <w:szCs w:val="20"/>
          <w:lang w:val="en-US" w:eastAsia="en-US"/>
        </w:rPr>
        <w:t xml:space="preserve">traditional </w:t>
      </w:r>
      <w:r w:rsidR="006A6DFD" w:rsidRPr="00AC57EA">
        <w:rPr>
          <w:sz w:val="20"/>
          <w:szCs w:val="20"/>
          <w:lang w:val="en-US" w:eastAsia="en-US"/>
        </w:rPr>
        <w:t>jury did not require presentation of the</w:t>
      </w:r>
      <w:r w:rsidR="007D3699" w:rsidRPr="00AC57EA">
        <w:rPr>
          <w:sz w:val="20"/>
          <w:szCs w:val="20"/>
          <w:lang w:val="en-US" w:eastAsia="en-US"/>
        </w:rPr>
        <w:t xml:space="preserve"> reasoning or the</w:t>
      </w:r>
      <w:r w:rsidR="006A6DFD" w:rsidRPr="00AC57EA">
        <w:rPr>
          <w:sz w:val="20"/>
          <w:szCs w:val="20"/>
          <w:lang w:val="en-US" w:eastAsia="en-US"/>
        </w:rPr>
        <w:t xml:space="preserve"> grounds because the assessment of the evidence was based on the firm conviction of the jurors.</w:t>
      </w:r>
      <w:r w:rsidR="00F2372D" w:rsidRPr="00AC57EA">
        <w:rPr>
          <w:sz w:val="20"/>
          <w:szCs w:val="20"/>
          <w:vertAlign w:val="superscript"/>
          <w:lang w:val="en-US" w:eastAsia="en-US"/>
        </w:rPr>
        <w:footnoteReference w:id="336"/>
      </w:r>
      <w:r w:rsidR="006A6DFD" w:rsidRPr="00AC57EA">
        <w:rPr>
          <w:sz w:val="20"/>
          <w:szCs w:val="20"/>
          <w:lang w:val="en-US" w:eastAsia="en-US"/>
        </w:rPr>
        <w:t xml:space="preserve"> The Court notes that </w:t>
      </w:r>
      <w:r w:rsidR="009B6CB9" w:rsidRPr="00AC57EA">
        <w:rPr>
          <w:sz w:val="20"/>
          <w:szCs w:val="20"/>
          <w:lang w:val="en-US" w:eastAsia="en-US"/>
        </w:rPr>
        <w:t xml:space="preserve"> </w:t>
      </w:r>
      <w:r w:rsidR="00B7258C" w:rsidRPr="00AC57EA">
        <w:rPr>
          <w:sz w:val="20"/>
          <w:szCs w:val="20"/>
          <w:lang w:val="en-US" w:eastAsia="en-US"/>
        </w:rPr>
        <w:t>the Commission</w:t>
      </w:r>
      <w:r w:rsidR="009B6CB9" w:rsidRPr="00AC57EA">
        <w:rPr>
          <w:sz w:val="20"/>
          <w:szCs w:val="20"/>
          <w:lang w:val="en-US" w:eastAsia="en-US"/>
        </w:rPr>
        <w:t xml:space="preserve"> </w:t>
      </w:r>
      <w:r w:rsidR="006A6DFD" w:rsidRPr="00AC57EA">
        <w:rPr>
          <w:sz w:val="20"/>
          <w:szCs w:val="20"/>
          <w:lang w:val="en-US" w:eastAsia="en-US"/>
        </w:rPr>
        <w:t xml:space="preserve">did not present </w:t>
      </w:r>
      <w:r w:rsidR="00A664F1" w:rsidRPr="00AC57EA">
        <w:rPr>
          <w:sz w:val="20"/>
          <w:szCs w:val="20"/>
          <w:lang w:val="en-US" w:eastAsia="en-US"/>
        </w:rPr>
        <w:t>reasons</w:t>
      </w:r>
      <w:r w:rsidR="006A6DFD" w:rsidRPr="00AC57EA">
        <w:rPr>
          <w:sz w:val="20"/>
          <w:szCs w:val="20"/>
          <w:lang w:val="en-US" w:eastAsia="en-US"/>
        </w:rPr>
        <w:t xml:space="preserve"> that explained the particularities of the jury mechanism </w:t>
      </w:r>
      <w:r w:rsidR="006A6DFD" w:rsidRPr="00AC57EA">
        <w:rPr>
          <w:sz w:val="20"/>
          <w:szCs w:val="20"/>
          <w:lang w:val="en-US" w:eastAsia="en-US"/>
        </w:rPr>
        <w:lastRenderedPageBreak/>
        <w:t xml:space="preserve">from a procedural optic or, in particular, </w:t>
      </w:r>
      <w:r w:rsidR="007D3699" w:rsidRPr="00AC57EA">
        <w:rPr>
          <w:sz w:val="20"/>
          <w:szCs w:val="20"/>
          <w:lang w:val="en-US" w:eastAsia="en-US"/>
        </w:rPr>
        <w:t>regarding</w:t>
      </w:r>
      <w:r w:rsidR="006A6DFD" w:rsidRPr="00AC57EA">
        <w:rPr>
          <w:sz w:val="20"/>
          <w:szCs w:val="20"/>
          <w:lang w:val="en-US" w:eastAsia="en-US"/>
        </w:rPr>
        <w:t xml:space="preserve"> its regulation in Nicaragua, when raising the issue of its conformity with the Convention.</w:t>
      </w:r>
    </w:p>
    <w:p w14:paraId="4B064E73" w14:textId="77777777" w:rsidR="00264C1D" w:rsidRPr="00AC57EA" w:rsidRDefault="00264C1D" w:rsidP="00264C1D">
      <w:pPr>
        <w:widowControl/>
        <w:tabs>
          <w:tab w:val="left" w:pos="567"/>
        </w:tabs>
        <w:adjustRightInd/>
        <w:spacing w:line="240" w:lineRule="auto"/>
        <w:textAlignment w:val="auto"/>
        <w:rPr>
          <w:sz w:val="20"/>
          <w:szCs w:val="20"/>
          <w:lang w:val="en-US" w:eastAsia="en-US"/>
        </w:rPr>
      </w:pPr>
    </w:p>
    <w:p w14:paraId="6FFF5A47" w14:textId="5977A00E" w:rsidR="00F3757A" w:rsidRPr="00AC57EA" w:rsidRDefault="00B7258C" w:rsidP="00043EAF">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 Court</w:t>
      </w:r>
      <w:r w:rsidR="006A6DFD" w:rsidRPr="00AC57EA">
        <w:rPr>
          <w:sz w:val="20"/>
          <w:szCs w:val="20"/>
          <w:lang w:val="en-US" w:eastAsia="en-US"/>
        </w:rPr>
        <w:t xml:space="preserve"> finds, as has </w:t>
      </w:r>
      <w:r w:rsidRPr="00AC57EA">
        <w:rPr>
          <w:sz w:val="20"/>
          <w:szCs w:val="20"/>
          <w:lang w:val="en-US" w:eastAsia="en-US"/>
        </w:rPr>
        <w:t xml:space="preserve">the </w:t>
      </w:r>
      <w:r w:rsidR="0028505B" w:rsidRPr="00AC57EA">
        <w:rPr>
          <w:sz w:val="20"/>
          <w:szCs w:val="20"/>
          <w:lang w:val="en-US" w:eastAsia="en-US"/>
        </w:rPr>
        <w:t>European Court of Human Rights</w:t>
      </w:r>
      <w:r w:rsidR="00BC2312" w:rsidRPr="00AC57EA">
        <w:rPr>
          <w:sz w:val="20"/>
          <w:szCs w:val="20"/>
          <w:lang w:val="en-US" w:eastAsia="en-US"/>
        </w:rPr>
        <w:t xml:space="preserve">, </w:t>
      </w:r>
      <w:r w:rsidR="006A6DFD" w:rsidRPr="00AC57EA">
        <w:rPr>
          <w:sz w:val="20"/>
          <w:szCs w:val="20"/>
          <w:lang w:val="en-US" w:eastAsia="en-US"/>
        </w:rPr>
        <w:t xml:space="preserve">that the </w:t>
      </w:r>
      <w:r w:rsidR="00ED6232" w:rsidRPr="00AC57EA">
        <w:rPr>
          <w:sz w:val="20"/>
          <w:szCs w:val="20"/>
          <w:lang w:val="en-US" w:eastAsia="en-US"/>
        </w:rPr>
        <w:t>absence of the reasons</w:t>
      </w:r>
      <w:r w:rsidR="006A6DFD" w:rsidRPr="00AC57EA">
        <w:rPr>
          <w:sz w:val="20"/>
          <w:szCs w:val="20"/>
          <w:lang w:val="en-US" w:eastAsia="en-US"/>
        </w:rPr>
        <w:t xml:space="preserve"> for the verdict does not, of itself, violate the guarantee of </w:t>
      </w:r>
      <w:r w:rsidR="00565C8F" w:rsidRPr="00AC57EA">
        <w:rPr>
          <w:sz w:val="20"/>
          <w:szCs w:val="20"/>
          <w:lang w:val="en-US" w:eastAsia="en-US"/>
        </w:rPr>
        <w:t>a reasoned decision</w:t>
      </w:r>
      <w:r w:rsidR="00F3757A" w:rsidRPr="00AC57EA">
        <w:rPr>
          <w:sz w:val="20"/>
          <w:szCs w:val="20"/>
          <w:lang w:val="en-US" w:eastAsia="en-US"/>
        </w:rPr>
        <w:t>.</w:t>
      </w:r>
      <w:r w:rsidR="00BC2312" w:rsidRPr="00AC57EA">
        <w:rPr>
          <w:sz w:val="20"/>
          <w:szCs w:val="20"/>
          <w:vertAlign w:val="superscript"/>
          <w:lang w:val="en-US" w:eastAsia="en-US"/>
        </w:rPr>
        <w:footnoteReference w:id="337"/>
      </w:r>
      <w:r w:rsidR="00F3757A" w:rsidRPr="00AC57EA">
        <w:rPr>
          <w:sz w:val="20"/>
          <w:szCs w:val="20"/>
          <w:lang w:val="en-US" w:eastAsia="en-US"/>
        </w:rPr>
        <w:t xml:space="preserve"> There are reasons behind every verdict, even though in accordance with the essential nature of the jury, these are not expressed. But, in light of the evidence and the discussions during the hearing, the verdict should allow </w:t>
      </w:r>
      <w:r w:rsidR="007D3699" w:rsidRPr="00AC57EA">
        <w:rPr>
          <w:sz w:val="20"/>
          <w:szCs w:val="20"/>
          <w:lang w:val="en-US" w:eastAsia="en-US"/>
        </w:rPr>
        <w:t>those</w:t>
      </w:r>
      <w:r w:rsidR="00F3757A" w:rsidRPr="00AC57EA">
        <w:rPr>
          <w:sz w:val="20"/>
          <w:szCs w:val="20"/>
          <w:lang w:val="en-US" w:eastAsia="en-US"/>
        </w:rPr>
        <w:t xml:space="preserve"> </w:t>
      </w:r>
      <w:r w:rsidR="007D3699" w:rsidRPr="00AC57EA">
        <w:rPr>
          <w:sz w:val="20"/>
          <w:szCs w:val="20"/>
          <w:lang w:val="en-US" w:eastAsia="en-US"/>
        </w:rPr>
        <w:t>evaluating</w:t>
      </w:r>
      <w:r w:rsidR="00F3757A" w:rsidRPr="00AC57EA">
        <w:rPr>
          <w:sz w:val="20"/>
          <w:szCs w:val="20"/>
          <w:lang w:val="en-US" w:eastAsia="en-US"/>
        </w:rPr>
        <w:t xml:space="preserve"> it to reconstruct the logical process behind the jury’s decision and </w:t>
      </w:r>
      <w:r w:rsidR="007D3699" w:rsidRPr="00AC57EA">
        <w:rPr>
          <w:sz w:val="20"/>
          <w:szCs w:val="20"/>
          <w:lang w:val="en-US" w:eastAsia="en-US"/>
        </w:rPr>
        <w:t>the jury</w:t>
      </w:r>
      <w:r w:rsidR="00F3757A" w:rsidRPr="00AC57EA">
        <w:rPr>
          <w:sz w:val="20"/>
          <w:szCs w:val="20"/>
          <w:lang w:val="en-US" w:eastAsia="en-US"/>
        </w:rPr>
        <w:t xml:space="preserve"> will have acted arbitrarily if it is not possible to </w:t>
      </w:r>
      <w:r w:rsidR="007D3699" w:rsidRPr="00AC57EA">
        <w:rPr>
          <w:sz w:val="20"/>
          <w:szCs w:val="20"/>
          <w:lang w:val="en-US" w:eastAsia="en-US"/>
        </w:rPr>
        <w:t xml:space="preserve">make </w:t>
      </w:r>
      <w:r w:rsidR="00F3757A" w:rsidRPr="00AC57EA">
        <w:rPr>
          <w:sz w:val="20"/>
          <w:szCs w:val="20"/>
          <w:lang w:val="en-US" w:eastAsia="en-US"/>
        </w:rPr>
        <w:t>this reconstruction using a rational approach.</w:t>
      </w:r>
    </w:p>
    <w:p w14:paraId="30B31BCD" w14:textId="77777777" w:rsidR="0006089B" w:rsidRPr="00AC57EA" w:rsidRDefault="0006089B" w:rsidP="0006089B">
      <w:pPr>
        <w:widowControl/>
        <w:tabs>
          <w:tab w:val="left" w:pos="567"/>
        </w:tabs>
        <w:adjustRightInd/>
        <w:spacing w:line="240" w:lineRule="auto"/>
        <w:textAlignment w:val="auto"/>
        <w:rPr>
          <w:sz w:val="20"/>
          <w:szCs w:val="20"/>
          <w:lang w:val="en-US" w:eastAsia="en-US"/>
        </w:rPr>
      </w:pPr>
    </w:p>
    <w:p w14:paraId="551A82AA" w14:textId="6BCD7377" w:rsidR="003051CD" w:rsidRPr="00AC57EA" w:rsidRDefault="00F3757A" w:rsidP="003051CD">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 xml:space="preserve">Some of the OAS Members State that use the system of trial by jury expressly establish different guarantees prohibiting arbitrary decisions. The judge’s instructions to the jury are established in the procedural laws of </w:t>
      </w:r>
      <w:r w:rsidR="00EC10CC" w:rsidRPr="00AC57EA">
        <w:rPr>
          <w:sz w:val="20"/>
          <w:szCs w:val="20"/>
          <w:lang w:val="en-US"/>
        </w:rPr>
        <w:t>Canad</w:t>
      </w:r>
      <w:r w:rsidRPr="00AC57EA">
        <w:rPr>
          <w:sz w:val="20"/>
          <w:szCs w:val="20"/>
          <w:lang w:val="en-US"/>
        </w:rPr>
        <w:t>a,</w:t>
      </w:r>
      <w:r w:rsidR="00EC10CC" w:rsidRPr="00AC57EA">
        <w:rPr>
          <w:rStyle w:val="Refdenotaalpie"/>
          <w:sz w:val="20"/>
          <w:szCs w:val="20"/>
          <w:lang w:val="en-US"/>
        </w:rPr>
        <w:footnoteReference w:id="338"/>
      </w:r>
      <w:r w:rsidR="00EC10CC" w:rsidRPr="00AC57EA">
        <w:rPr>
          <w:sz w:val="20"/>
          <w:szCs w:val="20"/>
          <w:lang w:val="en-US"/>
        </w:rPr>
        <w:t xml:space="preserve"> </w:t>
      </w:r>
      <w:r w:rsidR="000F2A01" w:rsidRPr="00AC57EA">
        <w:rPr>
          <w:sz w:val="20"/>
          <w:szCs w:val="20"/>
          <w:lang w:val="en-US"/>
        </w:rPr>
        <w:t xml:space="preserve">the </w:t>
      </w:r>
      <w:r w:rsidRPr="00AC57EA">
        <w:rPr>
          <w:sz w:val="20"/>
          <w:szCs w:val="20"/>
          <w:lang w:val="en-US"/>
        </w:rPr>
        <w:t>United States,</w:t>
      </w:r>
      <w:r w:rsidR="00EC10CC" w:rsidRPr="00AC57EA">
        <w:rPr>
          <w:rStyle w:val="Refdenotaalpie"/>
          <w:sz w:val="20"/>
          <w:szCs w:val="20"/>
          <w:lang w:val="en-US"/>
        </w:rPr>
        <w:footnoteReference w:id="339"/>
      </w:r>
      <w:r w:rsidR="00EC10CC" w:rsidRPr="00AC57EA">
        <w:rPr>
          <w:sz w:val="20"/>
          <w:szCs w:val="20"/>
          <w:lang w:val="en-US"/>
        </w:rPr>
        <w:t xml:space="preserve"> Nicaragua</w:t>
      </w:r>
      <w:r w:rsidR="00D70BA6" w:rsidRPr="00AC57EA">
        <w:rPr>
          <w:sz w:val="20"/>
          <w:szCs w:val="20"/>
          <w:lang w:val="en-US"/>
        </w:rPr>
        <w:t xml:space="preserve"> </w:t>
      </w:r>
      <w:r w:rsidRPr="00AC57EA">
        <w:rPr>
          <w:sz w:val="20"/>
          <w:szCs w:val="20"/>
          <w:lang w:val="en-US"/>
        </w:rPr>
        <w:t>now,</w:t>
      </w:r>
      <w:r w:rsidR="00EC10CC" w:rsidRPr="00AC57EA">
        <w:rPr>
          <w:rStyle w:val="Refdenotaalpie"/>
          <w:sz w:val="20"/>
          <w:szCs w:val="20"/>
          <w:lang w:val="en-US"/>
        </w:rPr>
        <w:footnoteReference w:id="340"/>
      </w:r>
      <w:r w:rsidR="00EC10CC" w:rsidRPr="00AC57EA">
        <w:rPr>
          <w:sz w:val="20"/>
          <w:szCs w:val="20"/>
          <w:lang w:val="en-US"/>
        </w:rPr>
        <w:t xml:space="preserve"> Panam</w:t>
      </w:r>
      <w:r w:rsidRPr="00AC57EA">
        <w:rPr>
          <w:sz w:val="20"/>
          <w:szCs w:val="20"/>
          <w:lang w:val="en-US"/>
        </w:rPr>
        <w:t>a,</w:t>
      </w:r>
      <w:r w:rsidR="00EC10CC" w:rsidRPr="00AC57EA">
        <w:rPr>
          <w:rStyle w:val="Refdenotaalpie"/>
          <w:sz w:val="20"/>
          <w:szCs w:val="20"/>
          <w:lang w:val="en-US"/>
        </w:rPr>
        <w:footnoteReference w:id="341"/>
      </w:r>
      <w:r w:rsidR="00EC10CC" w:rsidRPr="00AC57EA">
        <w:rPr>
          <w:sz w:val="20"/>
          <w:szCs w:val="20"/>
          <w:lang w:val="en-US"/>
        </w:rPr>
        <w:t xml:space="preserve"> </w:t>
      </w:r>
      <w:r w:rsidR="00D70BA6" w:rsidRPr="00AC57EA">
        <w:rPr>
          <w:sz w:val="20"/>
          <w:szCs w:val="20"/>
          <w:lang w:val="en-US"/>
        </w:rPr>
        <w:t xml:space="preserve">El </w:t>
      </w:r>
      <w:r w:rsidR="00EC10CC" w:rsidRPr="00AC57EA">
        <w:rPr>
          <w:sz w:val="20"/>
          <w:szCs w:val="20"/>
          <w:lang w:val="en-US"/>
        </w:rPr>
        <w:t>Salvador</w:t>
      </w:r>
      <w:r w:rsidRPr="00AC57EA">
        <w:rPr>
          <w:sz w:val="20"/>
          <w:szCs w:val="20"/>
          <w:lang w:val="en-US"/>
        </w:rPr>
        <w:t>,</w:t>
      </w:r>
      <w:r w:rsidR="00EC10CC" w:rsidRPr="00AC57EA">
        <w:rPr>
          <w:rStyle w:val="Refdenotaalpie"/>
          <w:sz w:val="20"/>
          <w:szCs w:val="20"/>
          <w:lang w:val="en-US"/>
        </w:rPr>
        <w:footnoteReference w:id="342"/>
      </w:r>
      <w:r w:rsidR="00171E27" w:rsidRPr="00AC57EA">
        <w:rPr>
          <w:sz w:val="20"/>
          <w:szCs w:val="20"/>
          <w:lang w:val="en-US"/>
        </w:rPr>
        <w:t xml:space="preserve"> and </w:t>
      </w:r>
      <w:r w:rsidR="007D3699" w:rsidRPr="00AC57EA">
        <w:rPr>
          <w:sz w:val="20"/>
          <w:szCs w:val="20"/>
          <w:lang w:val="en-US"/>
        </w:rPr>
        <w:t xml:space="preserve">the </w:t>
      </w:r>
      <w:r w:rsidRPr="00AC57EA">
        <w:rPr>
          <w:sz w:val="20"/>
          <w:szCs w:val="20"/>
          <w:lang w:val="en-US"/>
        </w:rPr>
        <w:t xml:space="preserve">Argentine provinces of </w:t>
      </w:r>
      <w:r w:rsidR="00EC10CC" w:rsidRPr="00AC57EA">
        <w:rPr>
          <w:sz w:val="20"/>
          <w:szCs w:val="20"/>
          <w:lang w:val="en-US"/>
        </w:rPr>
        <w:t>Buenos Aires</w:t>
      </w:r>
      <w:r w:rsidRPr="00AC57EA">
        <w:rPr>
          <w:sz w:val="20"/>
          <w:szCs w:val="20"/>
          <w:lang w:val="en-US"/>
        </w:rPr>
        <w:t>,</w:t>
      </w:r>
      <w:r w:rsidR="00EC10CC" w:rsidRPr="00AC57EA">
        <w:rPr>
          <w:rStyle w:val="Refdenotaalpie"/>
          <w:sz w:val="20"/>
          <w:szCs w:val="20"/>
          <w:lang w:val="en-US"/>
        </w:rPr>
        <w:footnoteReference w:id="343"/>
      </w:r>
      <w:r w:rsidR="00EC10CC" w:rsidRPr="00AC57EA">
        <w:rPr>
          <w:sz w:val="20"/>
          <w:szCs w:val="20"/>
          <w:lang w:val="en-US"/>
        </w:rPr>
        <w:t xml:space="preserve"> Chaco</w:t>
      </w:r>
      <w:r w:rsidRPr="00AC57EA">
        <w:rPr>
          <w:sz w:val="20"/>
          <w:szCs w:val="20"/>
          <w:lang w:val="en-US"/>
        </w:rPr>
        <w:t>,</w:t>
      </w:r>
      <w:r w:rsidR="00EC10CC" w:rsidRPr="00AC57EA">
        <w:rPr>
          <w:rStyle w:val="Refdenotaalpie"/>
          <w:sz w:val="20"/>
          <w:szCs w:val="20"/>
          <w:lang w:val="en-US"/>
        </w:rPr>
        <w:footnoteReference w:id="344"/>
      </w:r>
      <w:r w:rsidR="00EC10CC" w:rsidRPr="00AC57EA">
        <w:rPr>
          <w:sz w:val="20"/>
          <w:szCs w:val="20"/>
          <w:lang w:val="en-US"/>
        </w:rPr>
        <w:t xml:space="preserve"> Neuquén</w:t>
      </w:r>
      <w:r w:rsidR="00EC10CC" w:rsidRPr="00AC57EA">
        <w:rPr>
          <w:sz w:val="20"/>
          <w:szCs w:val="20"/>
          <w:vertAlign w:val="superscript"/>
          <w:lang w:val="en-US"/>
        </w:rPr>
        <w:footnoteReference w:id="345"/>
      </w:r>
      <w:r w:rsidR="00171E27" w:rsidRPr="00AC57EA">
        <w:rPr>
          <w:sz w:val="20"/>
          <w:szCs w:val="20"/>
          <w:lang w:val="en-US"/>
        </w:rPr>
        <w:t xml:space="preserve"> and </w:t>
      </w:r>
      <w:r w:rsidR="00F17651" w:rsidRPr="00AC57EA">
        <w:rPr>
          <w:sz w:val="20"/>
          <w:szCs w:val="20"/>
          <w:lang w:val="en-US"/>
        </w:rPr>
        <w:t>Río Negro</w:t>
      </w:r>
      <w:r w:rsidRPr="00AC57EA">
        <w:rPr>
          <w:sz w:val="20"/>
          <w:szCs w:val="20"/>
          <w:lang w:val="en-US"/>
        </w:rPr>
        <w:t>.</w:t>
      </w:r>
      <w:r w:rsidR="00F17651" w:rsidRPr="00AC57EA">
        <w:rPr>
          <w:rStyle w:val="Refdenotaalpie"/>
          <w:sz w:val="20"/>
          <w:szCs w:val="20"/>
          <w:lang w:val="en-US"/>
        </w:rPr>
        <w:footnoteReference w:id="346"/>
      </w:r>
      <w:r w:rsidRPr="00AC57EA">
        <w:rPr>
          <w:sz w:val="20"/>
          <w:szCs w:val="20"/>
          <w:lang w:val="en-US"/>
        </w:rPr>
        <w:t xml:space="preserve"> The laws of Panama establish that the technical judge</w:t>
      </w:r>
      <w:r w:rsidR="000F2A01" w:rsidRPr="00AC57EA">
        <w:rPr>
          <w:sz w:val="20"/>
          <w:szCs w:val="20"/>
          <w:lang w:val="en-US"/>
        </w:rPr>
        <w:t xml:space="preserve"> </w:t>
      </w:r>
      <w:r w:rsidR="003164B0" w:rsidRPr="00AC57EA">
        <w:rPr>
          <w:sz w:val="20"/>
          <w:szCs w:val="20"/>
          <w:lang w:val="en-US"/>
        </w:rPr>
        <w:t>gives</w:t>
      </w:r>
      <w:r w:rsidR="000F2A01" w:rsidRPr="00AC57EA">
        <w:rPr>
          <w:sz w:val="20"/>
          <w:szCs w:val="20"/>
          <w:lang w:val="en-US"/>
        </w:rPr>
        <w:t xml:space="preserve"> the jury a questionnaire with the matters </w:t>
      </w:r>
      <w:r w:rsidR="003164B0" w:rsidRPr="00AC57EA">
        <w:rPr>
          <w:sz w:val="20"/>
          <w:szCs w:val="20"/>
          <w:lang w:val="en-US"/>
        </w:rPr>
        <w:t>to</w:t>
      </w:r>
      <w:r w:rsidR="000F2A01" w:rsidRPr="00AC57EA">
        <w:rPr>
          <w:sz w:val="20"/>
          <w:szCs w:val="20"/>
          <w:lang w:val="en-US"/>
        </w:rPr>
        <w:t xml:space="preserve"> be decided, and </w:t>
      </w:r>
      <w:r w:rsidR="003164B0" w:rsidRPr="00AC57EA">
        <w:rPr>
          <w:sz w:val="20"/>
          <w:szCs w:val="20"/>
          <w:lang w:val="en-US"/>
        </w:rPr>
        <w:t>the jury has to</w:t>
      </w:r>
      <w:r w:rsidR="000F2A01" w:rsidRPr="00AC57EA">
        <w:rPr>
          <w:sz w:val="20"/>
          <w:szCs w:val="20"/>
          <w:lang w:val="en-US"/>
        </w:rPr>
        <w:t xml:space="preserve"> provide their answers in writing, and th</w:t>
      </w:r>
      <w:r w:rsidR="003164B0" w:rsidRPr="00AC57EA">
        <w:rPr>
          <w:sz w:val="20"/>
          <w:szCs w:val="20"/>
          <w:lang w:val="en-US"/>
        </w:rPr>
        <w:t>is</w:t>
      </w:r>
      <w:r w:rsidR="000F2A01" w:rsidRPr="00AC57EA">
        <w:rPr>
          <w:sz w:val="20"/>
          <w:szCs w:val="20"/>
          <w:lang w:val="en-US"/>
        </w:rPr>
        <w:t xml:space="preserve"> document </w:t>
      </w:r>
      <w:r w:rsidR="003164B0" w:rsidRPr="00AC57EA">
        <w:rPr>
          <w:sz w:val="20"/>
          <w:szCs w:val="20"/>
          <w:lang w:val="en-US"/>
        </w:rPr>
        <w:t>is</w:t>
      </w:r>
      <w:r w:rsidR="000F2A01" w:rsidRPr="00AC57EA">
        <w:rPr>
          <w:sz w:val="20"/>
          <w:szCs w:val="20"/>
          <w:lang w:val="en-US"/>
        </w:rPr>
        <w:t xml:space="preserve"> added to the case file.</w:t>
      </w:r>
      <w:r w:rsidR="00EC10CC" w:rsidRPr="00AC57EA">
        <w:rPr>
          <w:rStyle w:val="Refdenotaalpie"/>
          <w:sz w:val="20"/>
          <w:szCs w:val="20"/>
          <w:lang w:val="en-US"/>
        </w:rPr>
        <w:footnoteReference w:id="347"/>
      </w:r>
      <w:r w:rsidR="000F2A01" w:rsidRPr="00AC57EA">
        <w:rPr>
          <w:sz w:val="20"/>
          <w:szCs w:val="20"/>
          <w:lang w:val="en-US"/>
        </w:rPr>
        <w:t xml:space="preserve"> Meanwhile, the laws of the Argentine province of </w:t>
      </w:r>
      <w:r w:rsidR="00EC10CC" w:rsidRPr="00AC57EA">
        <w:rPr>
          <w:sz w:val="20"/>
          <w:szCs w:val="20"/>
          <w:lang w:val="en-US"/>
        </w:rPr>
        <w:t xml:space="preserve"> Buenos Aires</w:t>
      </w:r>
      <w:r w:rsidR="00EC10CC" w:rsidRPr="00AC57EA">
        <w:rPr>
          <w:rStyle w:val="Refdenotaalpie"/>
          <w:sz w:val="20"/>
          <w:szCs w:val="20"/>
          <w:lang w:val="en-US"/>
        </w:rPr>
        <w:footnoteReference w:id="348"/>
      </w:r>
      <w:r w:rsidR="00EC10CC" w:rsidRPr="00AC57EA">
        <w:rPr>
          <w:sz w:val="20"/>
          <w:szCs w:val="20"/>
          <w:lang w:val="en-US"/>
        </w:rPr>
        <w:t xml:space="preserve"> </w:t>
      </w:r>
      <w:r w:rsidR="000F2A01" w:rsidRPr="00AC57EA">
        <w:rPr>
          <w:sz w:val="20"/>
          <w:szCs w:val="20"/>
          <w:lang w:val="en-US"/>
        </w:rPr>
        <w:t xml:space="preserve">establish that, when a guilty verdict is </w:t>
      </w:r>
      <w:r w:rsidR="003164B0" w:rsidRPr="00AC57EA">
        <w:rPr>
          <w:sz w:val="20"/>
          <w:szCs w:val="20"/>
          <w:lang w:val="en-US"/>
        </w:rPr>
        <w:t>clearly</w:t>
      </w:r>
      <w:r w:rsidR="000F2A01" w:rsidRPr="00AC57EA">
        <w:rPr>
          <w:sz w:val="20"/>
          <w:szCs w:val="20"/>
          <w:lang w:val="en-US"/>
        </w:rPr>
        <w:t xml:space="preserve"> contrary to the evidence provided to the proceedings, the judge may annul </w:t>
      </w:r>
      <w:r w:rsidR="003164B0" w:rsidRPr="00AC57EA">
        <w:rPr>
          <w:sz w:val="20"/>
          <w:szCs w:val="20"/>
          <w:lang w:val="en-US"/>
        </w:rPr>
        <w:t>that verdict</w:t>
      </w:r>
      <w:r w:rsidR="000F2A01" w:rsidRPr="00AC57EA">
        <w:rPr>
          <w:sz w:val="20"/>
          <w:szCs w:val="20"/>
          <w:lang w:val="en-US"/>
        </w:rPr>
        <w:t xml:space="preserve"> and order new proce</w:t>
      </w:r>
      <w:r w:rsidR="003164B0" w:rsidRPr="00AC57EA">
        <w:rPr>
          <w:sz w:val="20"/>
          <w:szCs w:val="20"/>
          <w:lang w:val="en-US"/>
        </w:rPr>
        <w:t>edings</w:t>
      </w:r>
      <w:r w:rsidR="000F2A01" w:rsidRPr="00AC57EA">
        <w:rPr>
          <w:sz w:val="20"/>
          <w:szCs w:val="20"/>
          <w:lang w:val="en-US"/>
        </w:rPr>
        <w:t xml:space="preserve"> with another court. In addition, the possibility of </w:t>
      </w:r>
      <w:r w:rsidR="003164B0" w:rsidRPr="00AC57EA">
        <w:rPr>
          <w:sz w:val="20"/>
          <w:szCs w:val="20"/>
          <w:lang w:val="en-US"/>
        </w:rPr>
        <w:t>vetoing</w:t>
      </w:r>
      <w:r w:rsidR="00F34A14" w:rsidRPr="00AC57EA">
        <w:rPr>
          <w:sz w:val="20"/>
          <w:szCs w:val="20"/>
          <w:lang w:val="en-US"/>
        </w:rPr>
        <w:t xml:space="preserve"> or </w:t>
      </w:r>
      <w:r w:rsidR="000F2A01" w:rsidRPr="00AC57EA">
        <w:rPr>
          <w:sz w:val="20"/>
          <w:szCs w:val="20"/>
          <w:lang w:val="en-US"/>
        </w:rPr>
        <w:t xml:space="preserve">challenging jurors, with or without </w:t>
      </w:r>
      <w:r w:rsidR="003164B0" w:rsidRPr="00AC57EA">
        <w:rPr>
          <w:sz w:val="20"/>
          <w:szCs w:val="20"/>
          <w:lang w:val="en-US"/>
        </w:rPr>
        <w:t>cause</w:t>
      </w:r>
      <w:r w:rsidR="000F2A01" w:rsidRPr="00AC57EA">
        <w:rPr>
          <w:sz w:val="20"/>
          <w:szCs w:val="20"/>
          <w:lang w:val="en-US"/>
        </w:rPr>
        <w:t>, is recognized in the systems of Panama</w:t>
      </w:r>
      <w:r w:rsidR="00EC10CC" w:rsidRPr="00AC57EA">
        <w:rPr>
          <w:rStyle w:val="Refdenotaalpie"/>
          <w:sz w:val="20"/>
          <w:szCs w:val="20"/>
          <w:lang w:val="en-US"/>
        </w:rPr>
        <w:footnoteReference w:id="349"/>
      </w:r>
      <w:r w:rsidR="00171E27" w:rsidRPr="00AC57EA">
        <w:rPr>
          <w:sz w:val="20"/>
          <w:szCs w:val="20"/>
          <w:lang w:val="en-US"/>
        </w:rPr>
        <w:t xml:space="preserve"> and </w:t>
      </w:r>
      <w:r w:rsidR="000F2A01" w:rsidRPr="00AC57EA">
        <w:rPr>
          <w:sz w:val="20"/>
          <w:szCs w:val="20"/>
          <w:lang w:val="en-US"/>
        </w:rPr>
        <w:t>the Argentine provinces of</w:t>
      </w:r>
      <w:r w:rsidR="00EC10CC" w:rsidRPr="00AC57EA">
        <w:rPr>
          <w:sz w:val="20"/>
          <w:szCs w:val="20"/>
          <w:lang w:val="en-US"/>
        </w:rPr>
        <w:t xml:space="preserve"> Chaco</w:t>
      </w:r>
      <w:r w:rsidR="000F2A01" w:rsidRPr="00AC57EA">
        <w:rPr>
          <w:sz w:val="20"/>
          <w:szCs w:val="20"/>
          <w:lang w:val="en-US"/>
        </w:rPr>
        <w:t>,</w:t>
      </w:r>
      <w:r w:rsidR="00EC10CC" w:rsidRPr="00AC57EA">
        <w:rPr>
          <w:rStyle w:val="Refdenotaalpie"/>
          <w:sz w:val="20"/>
          <w:szCs w:val="20"/>
          <w:lang w:val="en-US"/>
        </w:rPr>
        <w:footnoteReference w:id="350"/>
      </w:r>
      <w:r w:rsidR="00EC10CC" w:rsidRPr="00AC57EA">
        <w:rPr>
          <w:sz w:val="20"/>
          <w:szCs w:val="20"/>
          <w:lang w:val="en-US"/>
        </w:rPr>
        <w:t xml:space="preserve"> Córdoba</w:t>
      </w:r>
      <w:r w:rsidR="00EC10CC" w:rsidRPr="00AC57EA">
        <w:rPr>
          <w:rStyle w:val="Refdenotaalpie"/>
          <w:sz w:val="20"/>
          <w:szCs w:val="20"/>
          <w:lang w:val="en-US"/>
        </w:rPr>
        <w:footnoteReference w:id="351"/>
      </w:r>
      <w:r w:rsidR="00171E27" w:rsidRPr="00AC57EA">
        <w:rPr>
          <w:sz w:val="20"/>
          <w:szCs w:val="20"/>
          <w:lang w:val="en-US"/>
        </w:rPr>
        <w:t xml:space="preserve"> and </w:t>
      </w:r>
      <w:r w:rsidR="00F17651" w:rsidRPr="00AC57EA">
        <w:rPr>
          <w:sz w:val="20"/>
          <w:szCs w:val="20"/>
          <w:lang w:val="en-US"/>
        </w:rPr>
        <w:t>Río Negro</w:t>
      </w:r>
      <w:r w:rsidR="000F2A01" w:rsidRPr="00AC57EA">
        <w:rPr>
          <w:sz w:val="20"/>
          <w:szCs w:val="20"/>
          <w:lang w:val="en-US"/>
        </w:rPr>
        <w:t>.</w:t>
      </w:r>
      <w:r w:rsidR="00F17651" w:rsidRPr="00AC57EA">
        <w:rPr>
          <w:rStyle w:val="Refdenotaalpie"/>
          <w:sz w:val="20"/>
          <w:szCs w:val="20"/>
          <w:lang w:val="en-US"/>
        </w:rPr>
        <w:footnoteReference w:id="352"/>
      </w:r>
      <w:r w:rsidR="00EC10CC" w:rsidRPr="00AC57EA">
        <w:rPr>
          <w:sz w:val="20"/>
          <w:szCs w:val="20"/>
          <w:lang w:val="en-US"/>
        </w:rPr>
        <w:t xml:space="preserve"> </w:t>
      </w:r>
      <w:r w:rsidR="000F2A01" w:rsidRPr="00AC57EA">
        <w:rPr>
          <w:sz w:val="20"/>
          <w:szCs w:val="20"/>
          <w:lang w:val="en-US"/>
        </w:rPr>
        <w:t>Also, the laws of the United States,</w:t>
      </w:r>
      <w:r w:rsidR="00EC10CC" w:rsidRPr="00AC57EA">
        <w:rPr>
          <w:rStyle w:val="Refdenotaalpie"/>
          <w:sz w:val="20"/>
          <w:szCs w:val="20"/>
          <w:lang w:val="en-US"/>
        </w:rPr>
        <w:footnoteReference w:id="353"/>
      </w:r>
      <w:r w:rsidR="00EC10CC" w:rsidRPr="00AC57EA">
        <w:rPr>
          <w:sz w:val="20"/>
          <w:szCs w:val="20"/>
          <w:lang w:val="en-US"/>
        </w:rPr>
        <w:t xml:space="preserve"> Nicaragua</w:t>
      </w:r>
      <w:r w:rsidR="003164B0" w:rsidRPr="00AC57EA">
        <w:rPr>
          <w:sz w:val="20"/>
          <w:szCs w:val="20"/>
          <w:lang w:val="en-US"/>
        </w:rPr>
        <w:t>,</w:t>
      </w:r>
      <w:r w:rsidR="00EC10CC" w:rsidRPr="00AC57EA">
        <w:rPr>
          <w:rStyle w:val="Refdenotaalpie"/>
          <w:sz w:val="20"/>
          <w:szCs w:val="20"/>
          <w:lang w:val="en-US"/>
        </w:rPr>
        <w:footnoteReference w:id="354"/>
      </w:r>
      <w:r w:rsidR="00171E27" w:rsidRPr="00AC57EA">
        <w:rPr>
          <w:sz w:val="20"/>
          <w:szCs w:val="20"/>
          <w:lang w:val="en-US"/>
        </w:rPr>
        <w:t xml:space="preserve"> and </w:t>
      </w:r>
      <w:r w:rsidR="000F2A01" w:rsidRPr="00AC57EA">
        <w:rPr>
          <w:sz w:val="20"/>
          <w:szCs w:val="20"/>
          <w:lang w:val="en-US"/>
        </w:rPr>
        <w:t>the Argentine provinces of</w:t>
      </w:r>
      <w:r w:rsidR="00EC10CC" w:rsidRPr="00AC57EA">
        <w:rPr>
          <w:sz w:val="20"/>
          <w:szCs w:val="20"/>
          <w:lang w:val="en-US"/>
        </w:rPr>
        <w:t xml:space="preserve"> Buenos Aires</w:t>
      </w:r>
      <w:r w:rsidR="000F2A01" w:rsidRPr="00AC57EA">
        <w:rPr>
          <w:sz w:val="20"/>
          <w:szCs w:val="20"/>
          <w:lang w:val="en-US"/>
        </w:rPr>
        <w:t>,</w:t>
      </w:r>
      <w:r w:rsidR="00EC10CC" w:rsidRPr="00AC57EA">
        <w:rPr>
          <w:rStyle w:val="Refdenotaalpie"/>
          <w:sz w:val="20"/>
          <w:szCs w:val="20"/>
          <w:lang w:val="en-US"/>
        </w:rPr>
        <w:footnoteReference w:id="355"/>
      </w:r>
      <w:r w:rsidR="00EC10CC" w:rsidRPr="00AC57EA">
        <w:rPr>
          <w:sz w:val="20"/>
          <w:szCs w:val="20"/>
          <w:lang w:val="en-US"/>
        </w:rPr>
        <w:t xml:space="preserve"> Chaco</w:t>
      </w:r>
      <w:r w:rsidR="000F2A01" w:rsidRPr="00AC57EA">
        <w:rPr>
          <w:sz w:val="20"/>
          <w:szCs w:val="20"/>
          <w:lang w:val="en-US"/>
        </w:rPr>
        <w:t>,</w:t>
      </w:r>
      <w:r w:rsidR="00EC10CC" w:rsidRPr="00AC57EA">
        <w:rPr>
          <w:rStyle w:val="Refdenotaalpie"/>
          <w:sz w:val="20"/>
          <w:szCs w:val="20"/>
          <w:lang w:val="en-US"/>
        </w:rPr>
        <w:footnoteReference w:id="356"/>
      </w:r>
      <w:r w:rsidR="00EC10CC" w:rsidRPr="00AC57EA">
        <w:rPr>
          <w:sz w:val="20"/>
          <w:szCs w:val="20"/>
          <w:lang w:val="en-US"/>
        </w:rPr>
        <w:t xml:space="preserve"> </w:t>
      </w:r>
      <w:r w:rsidR="00EC10CC" w:rsidRPr="00AC57EA">
        <w:rPr>
          <w:sz w:val="20"/>
          <w:szCs w:val="20"/>
          <w:lang w:val="en-US"/>
        </w:rPr>
        <w:lastRenderedPageBreak/>
        <w:t>Neuquén</w:t>
      </w:r>
      <w:r w:rsidR="00EC10CC" w:rsidRPr="00AC57EA">
        <w:rPr>
          <w:rStyle w:val="Refdenotaalpie"/>
          <w:sz w:val="20"/>
          <w:szCs w:val="20"/>
          <w:lang w:val="en-US"/>
        </w:rPr>
        <w:footnoteReference w:id="357"/>
      </w:r>
      <w:r w:rsidR="00171E27" w:rsidRPr="00AC57EA">
        <w:rPr>
          <w:sz w:val="20"/>
          <w:szCs w:val="20"/>
          <w:lang w:val="en-US"/>
        </w:rPr>
        <w:t xml:space="preserve"> and </w:t>
      </w:r>
      <w:r w:rsidR="00F17651" w:rsidRPr="00AC57EA">
        <w:rPr>
          <w:sz w:val="20"/>
          <w:szCs w:val="20"/>
          <w:lang w:val="en-US"/>
        </w:rPr>
        <w:t>Río Negro</w:t>
      </w:r>
      <w:r w:rsidR="00F17651" w:rsidRPr="00AC57EA">
        <w:rPr>
          <w:rStyle w:val="Refdenotaalpie"/>
          <w:sz w:val="20"/>
          <w:szCs w:val="20"/>
          <w:lang w:val="en-US"/>
        </w:rPr>
        <w:footnoteReference w:id="358"/>
      </w:r>
      <w:r w:rsidR="00EC10CC" w:rsidRPr="00AC57EA">
        <w:rPr>
          <w:sz w:val="20"/>
          <w:szCs w:val="20"/>
          <w:lang w:val="en-US"/>
        </w:rPr>
        <w:t xml:space="preserve"> establ</w:t>
      </w:r>
      <w:r w:rsidR="000F2A01" w:rsidRPr="00AC57EA">
        <w:rPr>
          <w:sz w:val="20"/>
          <w:szCs w:val="20"/>
          <w:lang w:val="en-US"/>
        </w:rPr>
        <w:t xml:space="preserve">ish a special hearing or </w:t>
      </w:r>
      <w:r w:rsidR="002A01B7" w:rsidRPr="00AC57EA">
        <w:rPr>
          <w:sz w:val="20"/>
          <w:szCs w:val="20"/>
          <w:lang w:val="en-US"/>
        </w:rPr>
        <w:t>specific</w:t>
      </w:r>
      <w:r w:rsidR="000F2A01" w:rsidRPr="00AC57EA">
        <w:rPr>
          <w:sz w:val="20"/>
          <w:szCs w:val="20"/>
          <w:lang w:val="en-US"/>
        </w:rPr>
        <w:t xml:space="preserve"> procedural moment, prior to the oral trial, for jury selection </w:t>
      </w:r>
      <w:r w:rsidR="00EC10CC" w:rsidRPr="00AC57EA">
        <w:rPr>
          <w:color w:val="000000"/>
          <w:sz w:val="20"/>
          <w:szCs w:val="20"/>
          <w:lang w:val="en-US"/>
        </w:rPr>
        <w:t>(</w:t>
      </w:r>
      <w:r w:rsidR="00EC10CC" w:rsidRPr="00AC57EA">
        <w:rPr>
          <w:i/>
          <w:color w:val="000000"/>
          <w:sz w:val="20"/>
          <w:szCs w:val="20"/>
          <w:lang w:val="en-US"/>
        </w:rPr>
        <w:t>voir dire</w:t>
      </w:r>
      <w:r w:rsidR="00EC10CC" w:rsidRPr="00AC57EA">
        <w:rPr>
          <w:color w:val="000000"/>
          <w:sz w:val="20"/>
          <w:szCs w:val="20"/>
          <w:lang w:val="en-US"/>
        </w:rPr>
        <w:t xml:space="preserve">), </w:t>
      </w:r>
      <w:r w:rsidR="000F2A01" w:rsidRPr="00AC57EA">
        <w:rPr>
          <w:color w:val="000000"/>
          <w:sz w:val="20"/>
          <w:szCs w:val="20"/>
          <w:lang w:val="en-US"/>
        </w:rPr>
        <w:t xml:space="preserve">during which the parties have the right to veto or </w:t>
      </w:r>
      <w:r w:rsidR="00554351" w:rsidRPr="00AC57EA">
        <w:rPr>
          <w:color w:val="000000"/>
          <w:sz w:val="20"/>
          <w:szCs w:val="20"/>
          <w:lang w:val="en-US"/>
        </w:rPr>
        <w:t>challenge</w:t>
      </w:r>
      <w:r w:rsidR="000F2A01" w:rsidRPr="00AC57EA">
        <w:rPr>
          <w:color w:val="000000"/>
          <w:sz w:val="20"/>
          <w:szCs w:val="20"/>
          <w:lang w:val="en-US"/>
        </w:rPr>
        <w:t xml:space="preserve"> potential jurors based on questions they may ask on circumstances that could affect </w:t>
      </w:r>
      <w:r w:rsidR="001F64DB" w:rsidRPr="00AC57EA">
        <w:rPr>
          <w:color w:val="000000"/>
          <w:sz w:val="20"/>
          <w:szCs w:val="20"/>
          <w:lang w:val="en-US"/>
        </w:rPr>
        <w:t>a juror’s</w:t>
      </w:r>
      <w:r w:rsidR="000F2A01" w:rsidRPr="00AC57EA">
        <w:rPr>
          <w:color w:val="000000"/>
          <w:sz w:val="20"/>
          <w:szCs w:val="20"/>
          <w:lang w:val="en-US"/>
        </w:rPr>
        <w:t xml:space="preserve"> impartiality.</w:t>
      </w:r>
      <w:r w:rsidR="00EC10CC" w:rsidRPr="00AC57EA">
        <w:rPr>
          <w:rStyle w:val="Refdenotaalpie"/>
          <w:color w:val="000000"/>
          <w:sz w:val="20"/>
          <w:szCs w:val="20"/>
          <w:lang w:val="en-US"/>
        </w:rPr>
        <w:footnoteReference w:id="359"/>
      </w:r>
      <w:r w:rsidR="00EC10CC" w:rsidRPr="00AC57EA">
        <w:rPr>
          <w:sz w:val="20"/>
          <w:szCs w:val="20"/>
          <w:lang w:val="en-US"/>
        </w:rPr>
        <w:t xml:space="preserve"> </w:t>
      </w:r>
      <w:r w:rsidR="000F2A01" w:rsidRPr="00AC57EA">
        <w:rPr>
          <w:sz w:val="20"/>
          <w:szCs w:val="20"/>
          <w:lang w:val="en-US"/>
        </w:rPr>
        <w:t>The laws of</w:t>
      </w:r>
      <w:r w:rsidR="00EC10CC" w:rsidRPr="00AC57EA">
        <w:rPr>
          <w:sz w:val="20"/>
          <w:szCs w:val="20"/>
          <w:lang w:val="en-US"/>
        </w:rPr>
        <w:t xml:space="preserve"> </w:t>
      </w:r>
      <w:r w:rsidR="000F2A01" w:rsidRPr="00AC57EA">
        <w:rPr>
          <w:sz w:val="20"/>
          <w:szCs w:val="20"/>
          <w:lang w:val="en-US"/>
        </w:rPr>
        <w:t>the United States</w:t>
      </w:r>
      <w:r w:rsidR="00EC10CC" w:rsidRPr="00AC57EA">
        <w:rPr>
          <w:rStyle w:val="Refdenotaalpie"/>
          <w:sz w:val="20"/>
          <w:szCs w:val="20"/>
          <w:lang w:val="en-US"/>
        </w:rPr>
        <w:footnoteReference w:id="360"/>
      </w:r>
      <w:r w:rsidR="00171E27" w:rsidRPr="00AC57EA">
        <w:rPr>
          <w:sz w:val="20"/>
          <w:szCs w:val="20"/>
          <w:lang w:val="en-US"/>
        </w:rPr>
        <w:t xml:space="preserve"> and </w:t>
      </w:r>
      <w:r w:rsidR="003051CD" w:rsidRPr="00AC57EA">
        <w:rPr>
          <w:sz w:val="20"/>
          <w:szCs w:val="20"/>
          <w:lang w:val="en-US"/>
        </w:rPr>
        <w:t xml:space="preserve">of the Argentine province of </w:t>
      </w:r>
      <w:r w:rsidR="00EC10CC" w:rsidRPr="00AC57EA">
        <w:rPr>
          <w:sz w:val="20"/>
          <w:szCs w:val="20"/>
          <w:lang w:val="en-US"/>
        </w:rPr>
        <w:t>Chaco</w:t>
      </w:r>
      <w:r w:rsidR="00EC10CC" w:rsidRPr="00AC57EA">
        <w:rPr>
          <w:rStyle w:val="Refdenotaalpie"/>
          <w:sz w:val="20"/>
          <w:szCs w:val="20"/>
          <w:lang w:val="en-US"/>
        </w:rPr>
        <w:footnoteReference w:id="361"/>
      </w:r>
      <w:r w:rsidR="00EC10CC" w:rsidRPr="00AC57EA">
        <w:rPr>
          <w:sz w:val="20"/>
          <w:szCs w:val="20"/>
          <w:lang w:val="en-US"/>
        </w:rPr>
        <w:t xml:space="preserve"> </w:t>
      </w:r>
      <w:r w:rsidR="003051CD" w:rsidRPr="00AC57EA">
        <w:rPr>
          <w:sz w:val="20"/>
          <w:szCs w:val="20"/>
          <w:lang w:val="en-US"/>
        </w:rPr>
        <w:t>establish the possibility for</w:t>
      </w:r>
      <w:r w:rsidR="0025395E" w:rsidRPr="00AC57EA">
        <w:rPr>
          <w:sz w:val="20"/>
          <w:szCs w:val="20"/>
          <w:lang w:val="en-US"/>
        </w:rPr>
        <w:t xml:space="preserve"> the parties</w:t>
      </w:r>
      <w:r w:rsidR="00EC10CC" w:rsidRPr="00AC57EA">
        <w:rPr>
          <w:sz w:val="20"/>
          <w:szCs w:val="20"/>
          <w:lang w:val="en-US"/>
        </w:rPr>
        <w:t xml:space="preserve"> </w:t>
      </w:r>
      <w:r w:rsidR="003051CD" w:rsidRPr="00AC57EA">
        <w:rPr>
          <w:sz w:val="20"/>
          <w:szCs w:val="20"/>
          <w:lang w:val="en-US"/>
        </w:rPr>
        <w:t>or the</w:t>
      </w:r>
      <w:r w:rsidR="00EC10CC" w:rsidRPr="00AC57EA">
        <w:rPr>
          <w:sz w:val="20"/>
          <w:szCs w:val="20"/>
          <w:lang w:val="en-US"/>
        </w:rPr>
        <w:t xml:space="preserve"> </w:t>
      </w:r>
      <w:r w:rsidR="00B7258C" w:rsidRPr="00AC57EA">
        <w:rPr>
          <w:sz w:val="20"/>
          <w:szCs w:val="20"/>
          <w:lang w:val="en-US"/>
        </w:rPr>
        <w:t>judge</w:t>
      </w:r>
      <w:r w:rsidR="00EC10CC" w:rsidRPr="00AC57EA">
        <w:rPr>
          <w:sz w:val="20"/>
          <w:szCs w:val="20"/>
          <w:lang w:val="en-US"/>
        </w:rPr>
        <w:t xml:space="preserve">, </w:t>
      </w:r>
      <w:r w:rsidR="003051CD" w:rsidRPr="00AC57EA">
        <w:rPr>
          <w:sz w:val="20"/>
          <w:szCs w:val="20"/>
          <w:lang w:val="en-US"/>
        </w:rPr>
        <w:t xml:space="preserve">following the verdict, to ask each juror whether the verdict had been reached unanimously. The laws of the Argentine province of </w:t>
      </w:r>
      <w:r w:rsidR="00EC10CC" w:rsidRPr="00AC57EA">
        <w:rPr>
          <w:sz w:val="20"/>
          <w:szCs w:val="20"/>
          <w:lang w:val="en-US"/>
        </w:rPr>
        <w:t>Córdoba</w:t>
      </w:r>
      <w:r w:rsidR="00EC10CC" w:rsidRPr="00AC57EA">
        <w:rPr>
          <w:rStyle w:val="Refdenotaalpie"/>
          <w:sz w:val="20"/>
          <w:szCs w:val="20"/>
          <w:lang w:val="en-US"/>
        </w:rPr>
        <w:footnoteReference w:id="362"/>
      </w:r>
      <w:r w:rsidR="00EC10CC" w:rsidRPr="00AC57EA">
        <w:rPr>
          <w:sz w:val="20"/>
          <w:szCs w:val="20"/>
          <w:lang w:val="en-US"/>
        </w:rPr>
        <w:t xml:space="preserve"> </w:t>
      </w:r>
      <w:r w:rsidR="003051CD" w:rsidRPr="00AC57EA">
        <w:rPr>
          <w:sz w:val="20"/>
          <w:szCs w:val="20"/>
          <w:lang w:val="en-US"/>
        </w:rPr>
        <w:t xml:space="preserve">also establish training courses for members of the public in order to inform them about the judicial function of the jury and </w:t>
      </w:r>
      <w:r w:rsidR="001F64DB" w:rsidRPr="00AC57EA">
        <w:rPr>
          <w:sz w:val="20"/>
          <w:szCs w:val="20"/>
          <w:lang w:val="en-US"/>
        </w:rPr>
        <w:t xml:space="preserve">the </w:t>
      </w:r>
      <w:r w:rsidR="003051CD" w:rsidRPr="00AC57EA">
        <w:rPr>
          <w:sz w:val="20"/>
          <w:szCs w:val="20"/>
          <w:lang w:val="en-US"/>
        </w:rPr>
        <w:t>proper performance of jury duty. Attending and passing these courses is not considered a requirement for exercising jury duty, but it does confirm suitability to do so.</w:t>
      </w:r>
    </w:p>
    <w:p w14:paraId="0B67CB6C" w14:textId="77777777" w:rsidR="00327B38" w:rsidRPr="00AC57EA" w:rsidRDefault="00327B38" w:rsidP="00327B38">
      <w:pPr>
        <w:widowControl/>
        <w:tabs>
          <w:tab w:val="left" w:pos="567"/>
        </w:tabs>
        <w:adjustRightInd/>
        <w:spacing w:line="240" w:lineRule="auto"/>
        <w:textAlignment w:val="auto"/>
        <w:rPr>
          <w:sz w:val="20"/>
          <w:szCs w:val="20"/>
          <w:lang w:val="en-US" w:eastAsia="en-US"/>
        </w:rPr>
      </w:pPr>
    </w:p>
    <w:p w14:paraId="27F3AD7A" w14:textId="35E21746" w:rsidR="0041516D" w:rsidRPr="00AC57EA" w:rsidRDefault="00554351" w:rsidP="00554351">
      <w:pPr>
        <w:widowControl/>
        <w:numPr>
          <w:ilvl w:val="0"/>
          <w:numId w:val="2"/>
        </w:numPr>
        <w:tabs>
          <w:tab w:val="left" w:pos="567"/>
          <w:tab w:val="num" w:pos="12305"/>
        </w:tabs>
        <w:adjustRightInd/>
        <w:spacing w:line="240" w:lineRule="auto"/>
        <w:ind w:left="0" w:firstLine="0"/>
        <w:textAlignment w:val="auto"/>
        <w:rPr>
          <w:sz w:val="16"/>
          <w:szCs w:val="16"/>
          <w:lang w:val="en-US" w:eastAsia="en-US"/>
        </w:rPr>
      </w:pPr>
      <w:r w:rsidRPr="00AC57EA">
        <w:rPr>
          <w:sz w:val="20"/>
          <w:szCs w:val="20"/>
          <w:lang w:val="en-US" w:eastAsia="en-US"/>
        </w:rPr>
        <w:t>In this regard,</w:t>
      </w:r>
      <w:r w:rsidR="00B5625C" w:rsidRPr="00AC57EA">
        <w:rPr>
          <w:sz w:val="20"/>
          <w:szCs w:val="20"/>
          <w:lang w:val="en-US" w:eastAsia="en-US"/>
        </w:rPr>
        <w:t xml:space="preserve"> </w:t>
      </w:r>
      <w:r w:rsidR="00B7258C" w:rsidRPr="00AC57EA">
        <w:rPr>
          <w:sz w:val="20"/>
          <w:szCs w:val="20"/>
          <w:lang w:val="en-US" w:eastAsia="en-US"/>
        </w:rPr>
        <w:t xml:space="preserve">the </w:t>
      </w:r>
      <w:r w:rsidR="0028505B" w:rsidRPr="00AC57EA">
        <w:rPr>
          <w:sz w:val="20"/>
          <w:szCs w:val="20"/>
          <w:lang w:val="en-US" w:eastAsia="en-US"/>
        </w:rPr>
        <w:t>European Court of Human Rights</w:t>
      </w:r>
      <w:r w:rsidR="00B5625C" w:rsidRPr="00AC57EA">
        <w:rPr>
          <w:sz w:val="20"/>
          <w:szCs w:val="20"/>
          <w:lang w:val="en-US" w:eastAsia="en-US"/>
        </w:rPr>
        <w:t xml:space="preserve"> ha</w:t>
      </w:r>
      <w:r w:rsidRPr="00AC57EA">
        <w:rPr>
          <w:sz w:val="20"/>
          <w:szCs w:val="20"/>
          <w:lang w:val="en-US" w:eastAsia="en-US"/>
        </w:rPr>
        <w:t>s determined that the system of decisions based on firm conviction does not, in itself, violat</w:t>
      </w:r>
      <w:r w:rsidR="000D6D8D" w:rsidRPr="00AC57EA">
        <w:rPr>
          <w:sz w:val="20"/>
          <w:szCs w:val="20"/>
          <w:lang w:val="en-US" w:eastAsia="en-US"/>
        </w:rPr>
        <w:t>e</w:t>
      </w:r>
      <w:r w:rsidRPr="00AC57EA">
        <w:rPr>
          <w:sz w:val="20"/>
          <w:szCs w:val="20"/>
          <w:lang w:val="en-US" w:eastAsia="en-US"/>
        </w:rPr>
        <w:t xml:space="preserve"> the right to a fair trial provided that, based on the proceedings</w:t>
      </w:r>
      <w:r w:rsidR="000D6D8D" w:rsidRPr="00AC57EA">
        <w:rPr>
          <w:sz w:val="20"/>
          <w:szCs w:val="20"/>
          <w:lang w:val="en-US" w:eastAsia="en-US"/>
        </w:rPr>
        <w:t xml:space="preserve"> as a whole</w:t>
      </w:r>
      <w:r w:rsidRPr="00AC57EA">
        <w:rPr>
          <w:sz w:val="20"/>
          <w:szCs w:val="20"/>
          <w:lang w:val="en-US" w:eastAsia="en-US"/>
        </w:rPr>
        <w:t>, the person concerned – in th</w:t>
      </w:r>
      <w:r w:rsidR="000D6D8D" w:rsidRPr="00AC57EA">
        <w:rPr>
          <w:sz w:val="20"/>
          <w:szCs w:val="20"/>
          <w:lang w:val="en-US" w:eastAsia="en-US"/>
        </w:rPr>
        <w:t>e</w:t>
      </w:r>
      <w:r w:rsidRPr="00AC57EA">
        <w:rPr>
          <w:sz w:val="20"/>
          <w:szCs w:val="20"/>
          <w:lang w:val="en-US" w:eastAsia="en-US"/>
        </w:rPr>
        <w:t xml:space="preserve"> case</w:t>
      </w:r>
      <w:r w:rsidR="000D6D8D" w:rsidRPr="00AC57EA">
        <w:rPr>
          <w:sz w:val="20"/>
          <w:szCs w:val="20"/>
          <w:lang w:val="en-US" w:eastAsia="en-US"/>
        </w:rPr>
        <w:t xml:space="preserve"> cited</w:t>
      </w:r>
      <w:r w:rsidRPr="00AC57EA">
        <w:rPr>
          <w:sz w:val="20"/>
          <w:szCs w:val="20"/>
          <w:lang w:val="en-US" w:eastAsia="en-US"/>
        </w:rPr>
        <w:t xml:space="preserve"> the accused – can understand the reasons for the decision.</w:t>
      </w:r>
      <w:r w:rsidR="0041516D" w:rsidRPr="00AC57EA">
        <w:rPr>
          <w:sz w:val="20"/>
          <w:szCs w:val="20"/>
          <w:vertAlign w:val="superscript"/>
          <w:lang w:val="en-US" w:eastAsia="en-US"/>
        </w:rPr>
        <w:footnoteReference w:id="363"/>
      </w:r>
      <w:r w:rsidRPr="00AC57EA">
        <w:rPr>
          <w:sz w:val="20"/>
          <w:szCs w:val="20"/>
          <w:lang w:val="en-US" w:eastAsia="en-US"/>
        </w:rPr>
        <w:t xml:space="preserve"> The </w:t>
      </w:r>
      <w:r w:rsidR="002A01B7" w:rsidRPr="00AC57EA">
        <w:rPr>
          <w:sz w:val="20"/>
          <w:szCs w:val="20"/>
          <w:lang w:val="en-US" w:eastAsia="en-US"/>
        </w:rPr>
        <w:t>European</w:t>
      </w:r>
      <w:r w:rsidRPr="00AC57EA">
        <w:rPr>
          <w:sz w:val="20"/>
          <w:szCs w:val="20"/>
          <w:lang w:val="en-US" w:eastAsia="en-US"/>
        </w:rPr>
        <w:t xml:space="preserve"> Court </w:t>
      </w:r>
      <w:r w:rsidR="000D6D8D" w:rsidRPr="00AC57EA">
        <w:rPr>
          <w:sz w:val="20"/>
          <w:szCs w:val="20"/>
          <w:lang w:val="en-US" w:eastAsia="en-US"/>
        </w:rPr>
        <w:t>made clear</w:t>
      </w:r>
      <w:r w:rsidRPr="00AC57EA">
        <w:rPr>
          <w:sz w:val="20"/>
          <w:szCs w:val="20"/>
          <w:lang w:val="en-US" w:eastAsia="en-US"/>
        </w:rPr>
        <w:t xml:space="preserve"> that</w:t>
      </w:r>
      <w:r w:rsidR="0041516D" w:rsidRPr="00AC57EA">
        <w:rPr>
          <w:sz w:val="20"/>
          <w:szCs w:val="20"/>
          <w:lang w:val="en-US" w:eastAsia="en-US"/>
        </w:rPr>
        <w:t>:</w:t>
      </w:r>
    </w:p>
    <w:p w14:paraId="4A52E07C" w14:textId="77777777" w:rsidR="0041516D" w:rsidRPr="00AC57EA" w:rsidRDefault="0041516D" w:rsidP="0041516D">
      <w:pPr>
        <w:widowControl/>
        <w:tabs>
          <w:tab w:val="left" w:pos="567"/>
        </w:tabs>
        <w:adjustRightInd/>
        <w:spacing w:line="240" w:lineRule="auto"/>
        <w:ind w:left="567" w:right="582"/>
        <w:textAlignment w:val="auto"/>
        <w:rPr>
          <w:sz w:val="16"/>
          <w:szCs w:val="16"/>
          <w:lang w:val="en-US" w:eastAsia="en-US"/>
        </w:rPr>
      </w:pPr>
    </w:p>
    <w:p w14:paraId="687AD39B" w14:textId="72900B5A" w:rsidR="0041516D" w:rsidRPr="00AC57EA" w:rsidRDefault="00554351" w:rsidP="00554351">
      <w:pPr>
        <w:widowControl/>
        <w:adjustRightInd/>
        <w:spacing w:line="240" w:lineRule="auto"/>
        <w:ind w:left="567" w:right="582"/>
        <w:textAlignment w:val="auto"/>
        <w:rPr>
          <w:rFonts w:eastAsia="Calibri"/>
          <w:sz w:val="16"/>
          <w:szCs w:val="16"/>
          <w:lang w:val="en-US"/>
        </w:rPr>
      </w:pPr>
      <w:r w:rsidRPr="00AC57EA">
        <w:rPr>
          <w:rStyle w:val="sb8d990e2"/>
          <w:rFonts w:eastAsia="Calibri"/>
          <w:sz w:val="16"/>
          <w:szCs w:val="16"/>
          <w:lang w:val="en-US"/>
        </w:rPr>
        <w:t>Seeing that compliance with the requirements of a fair trial must be assessed on the basis of the proceedings as a whole and in the specific context of the legal system concerned, the Court’s task in reviewing the absence of a reasoned verdict is to determine whether, in the light of all the circumstances of the case, the proceedings afforded sufficient safeguards against arbitrariness and made it possible for the accused to understand why he was found guilty.</w:t>
      </w:r>
      <w:r w:rsidR="0041516D" w:rsidRPr="00AC57EA">
        <w:rPr>
          <w:sz w:val="16"/>
          <w:szCs w:val="16"/>
          <w:vertAlign w:val="superscript"/>
          <w:lang w:val="en-US"/>
        </w:rPr>
        <w:footnoteReference w:id="364"/>
      </w:r>
    </w:p>
    <w:p w14:paraId="4B14C3FD" w14:textId="77777777" w:rsidR="00327B38" w:rsidRPr="00AC57EA" w:rsidRDefault="00327B38" w:rsidP="00327B38">
      <w:pPr>
        <w:widowControl/>
        <w:tabs>
          <w:tab w:val="left" w:pos="567"/>
        </w:tabs>
        <w:adjustRightInd/>
        <w:spacing w:line="240" w:lineRule="auto"/>
        <w:textAlignment w:val="auto"/>
        <w:rPr>
          <w:b/>
          <w:sz w:val="20"/>
          <w:lang w:val="en-US" w:eastAsia="en-US"/>
        </w:rPr>
      </w:pPr>
    </w:p>
    <w:p w14:paraId="45CAEA74" w14:textId="20F86424" w:rsidR="00F34A14" w:rsidRPr="00AC57EA" w:rsidRDefault="00F34A14" w:rsidP="00F34A14">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 xml:space="preserve">Firm conviction is not an arbitrary criterion. The free assessment made by the jury </w:t>
      </w:r>
      <w:r w:rsidR="000D6D8D" w:rsidRPr="00AC57EA">
        <w:rPr>
          <w:sz w:val="20"/>
          <w:szCs w:val="20"/>
          <w:lang w:val="en-US"/>
        </w:rPr>
        <w:t>does not differ</w:t>
      </w:r>
      <w:r w:rsidRPr="00AC57EA">
        <w:rPr>
          <w:sz w:val="20"/>
          <w:szCs w:val="20"/>
          <w:lang w:val="en-US"/>
        </w:rPr>
        <w:t xml:space="preserve"> substantially from the assessment that a technical judge can make; it </w:t>
      </w:r>
      <w:r w:rsidR="000D6D8D" w:rsidRPr="00AC57EA">
        <w:rPr>
          <w:sz w:val="20"/>
          <w:szCs w:val="20"/>
          <w:lang w:val="en-US"/>
        </w:rPr>
        <w:t xml:space="preserve">merely </w:t>
      </w:r>
      <w:r w:rsidRPr="00AC57EA">
        <w:rPr>
          <w:sz w:val="20"/>
          <w:szCs w:val="20"/>
          <w:lang w:val="en-US"/>
        </w:rPr>
        <w:t xml:space="preserve">does not articulate it. Ultimately, any court (whether technical or </w:t>
      </w:r>
      <w:r w:rsidR="00542713" w:rsidRPr="00AC57EA">
        <w:rPr>
          <w:sz w:val="20"/>
          <w:szCs w:val="20"/>
          <w:lang w:val="en-US"/>
        </w:rPr>
        <w:t>lay), must reconstruct a past event and</w:t>
      </w:r>
      <w:r w:rsidR="000D6D8D" w:rsidRPr="00AC57EA">
        <w:rPr>
          <w:sz w:val="20"/>
          <w:szCs w:val="20"/>
          <w:lang w:val="en-US"/>
        </w:rPr>
        <w:t>,</w:t>
      </w:r>
      <w:r w:rsidR="00542713" w:rsidRPr="00AC57EA">
        <w:rPr>
          <w:sz w:val="20"/>
          <w:szCs w:val="20"/>
          <w:lang w:val="en-US"/>
        </w:rPr>
        <w:t xml:space="preserve"> to this end</w:t>
      </w:r>
      <w:r w:rsidR="000D6D8D" w:rsidRPr="00AC57EA">
        <w:rPr>
          <w:sz w:val="20"/>
          <w:szCs w:val="20"/>
          <w:lang w:val="en-US"/>
        </w:rPr>
        <w:t>,</w:t>
      </w:r>
      <w:r w:rsidR="00542713" w:rsidRPr="00AC57EA">
        <w:rPr>
          <w:sz w:val="20"/>
          <w:szCs w:val="20"/>
          <w:lang w:val="en-US"/>
        </w:rPr>
        <w:t xml:space="preserve"> it must use methodological logic which anyone is capable of doing, because </w:t>
      </w:r>
      <w:r w:rsidR="000D6D8D" w:rsidRPr="00AC57EA">
        <w:rPr>
          <w:sz w:val="20"/>
          <w:szCs w:val="20"/>
          <w:lang w:val="en-US"/>
        </w:rPr>
        <w:t>this</w:t>
      </w:r>
      <w:r w:rsidR="00542713" w:rsidRPr="00AC57EA">
        <w:rPr>
          <w:sz w:val="20"/>
          <w:szCs w:val="20"/>
          <w:lang w:val="en-US"/>
        </w:rPr>
        <w:t xml:space="preserve"> does not depend on whether or not the individual has legal training or education. Everyone who has to reconstruct a past event, consciously or unconsciously, uses the historic</w:t>
      </w:r>
      <w:r w:rsidR="003B7548" w:rsidRPr="00AC57EA">
        <w:rPr>
          <w:sz w:val="20"/>
          <w:szCs w:val="20"/>
          <w:lang w:val="en-US"/>
        </w:rPr>
        <w:t>al</w:t>
      </w:r>
      <w:r w:rsidR="00542713" w:rsidRPr="00AC57EA">
        <w:rPr>
          <w:sz w:val="20"/>
          <w:szCs w:val="20"/>
          <w:lang w:val="en-US"/>
        </w:rPr>
        <w:t xml:space="preserve"> method; that is, they first </w:t>
      </w:r>
      <w:r w:rsidR="000D6D8D" w:rsidRPr="00AC57EA">
        <w:rPr>
          <w:sz w:val="20"/>
          <w:szCs w:val="20"/>
          <w:lang w:val="en-US"/>
        </w:rPr>
        <w:t>delimit</w:t>
      </w:r>
      <w:r w:rsidR="00542713" w:rsidRPr="00AC57EA">
        <w:rPr>
          <w:sz w:val="20"/>
          <w:szCs w:val="20"/>
          <w:lang w:val="en-US"/>
        </w:rPr>
        <w:t xml:space="preserve"> the evidence they will take into account (heuristics); then they assess whether that evidence is not substantively false (external evaluation); then they assess the plausibility of the content of the evidence (internal evaluation) and, finally, they reach a synthesis.</w:t>
      </w:r>
      <w:r w:rsidR="004D4F6C" w:rsidRPr="00AC57EA">
        <w:rPr>
          <w:sz w:val="20"/>
          <w:szCs w:val="20"/>
          <w:lang w:val="en-US"/>
        </w:rPr>
        <w:t xml:space="preserve"> Anyone assessing a jury’s verdict must necessarily follow this path, and it is not sufficient to reject any different opinion on the evaluations. To reject a jury’s verdict, it is necessary to verify that the synthesis completely diverged from </w:t>
      </w:r>
      <w:r w:rsidR="003B7548" w:rsidRPr="00AC57EA">
        <w:rPr>
          <w:sz w:val="20"/>
          <w:szCs w:val="20"/>
          <w:lang w:val="en-US"/>
        </w:rPr>
        <w:t>this</w:t>
      </w:r>
      <w:r w:rsidR="004D4F6C" w:rsidRPr="00AC57EA">
        <w:rPr>
          <w:sz w:val="20"/>
          <w:szCs w:val="20"/>
          <w:lang w:val="en-US"/>
        </w:rPr>
        <w:t xml:space="preserve"> methodological logic, which is what happened in this case.</w:t>
      </w:r>
    </w:p>
    <w:p w14:paraId="65760EA5" w14:textId="77777777" w:rsidR="00127805" w:rsidRPr="00AC57EA" w:rsidRDefault="00127805" w:rsidP="00327B38">
      <w:pPr>
        <w:widowControl/>
        <w:tabs>
          <w:tab w:val="left" w:pos="567"/>
        </w:tabs>
        <w:adjustRightInd/>
        <w:spacing w:line="240" w:lineRule="auto"/>
        <w:textAlignment w:val="auto"/>
        <w:rPr>
          <w:sz w:val="20"/>
          <w:lang w:val="en-US" w:eastAsia="en-US"/>
        </w:rPr>
      </w:pPr>
    </w:p>
    <w:p w14:paraId="76AFA337" w14:textId="10C6FB85" w:rsidR="00327B38" w:rsidRPr="00AC57EA" w:rsidRDefault="004D4F6C" w:rsidP="004D4F6C">
      <w:pPr>
        <w:widowControl/>
        <w:numPr>
          <w:ilvl w:val="0"/>
          <w:numId w:val="2"/>
        </w:numPr>
        <w:tabs>
          <w:tab w:val="left" w:pos="567"/>
          <w:tab w:val="num" w:pos="12305"/>
        </w:tabs>
        <w:adjustRightInd/>
        <w:spacing w:line="240" w:lineRule="auto"/>
        <w:ind w:left="0" w:firstLine="0"/>
        <w:textAlignment w:val="auto"/>
        <w:rPr>
          <w:sz w:val="20"/>
          <w:lang w:val="en-US" w:eastAsia="en-US"/>
        </w:rPr>
      </w:pPr>
      <w:r w:rsidRPr="00AC57EA">
        <w:rPr>
          <w:sz w:val="20"/>
          <w:szCs w:val="20"/>
          <w:lang w:val="en-US" w:eastAsia="en-US"/>
        </w:rPr>
        <w:t>Consequently</w:t>
      </w:r>
      <w:r w:rsidR="001E5DF9" w:rsidRPr="00AC57EA">
        <w:rPr>
          <w:sz w:val="20"/>
          <w:szCs w:val="20"/>
          <w:lang w:val="en-US" w:eastAsia="en-US"/>
        </w:rPr>
        <w:t xml:space="preserve">, </w:t>
      </w:r>
      <w:r w:rsidR="00B7258C" w:rsidRPr="00AC57EA">
        <w:rPr>
          <w:sz w:val="20"/>
          <w:szCs w:val="20"/>
          <w:lang w:val="en-US" w:eastAsia="en-US"/>
        </w:rPr>
        <w:t>the Court</w:t>
      </w:r>
      <w:r w:rsidR="001E5DF9" w:rsidRPr="00AC57EA">
        <w:rPr>
          <w:sz w:val="20"/>
          <w:szCs w:val="20"/>
          <w:lang w:val="en-US" w:eastAsia="en-US"/>
        </w:rPr>
        <w:t xml:space="preserve"> consider</w:t>
      </w:r>
      <w:r w:rsidRPr="00AC57EA">
        <w:rPr>
          <w:sz w:val="20"/>
          <w:szCs w:val="20"/>
          <w:lang w:val="en-US" w:eastAsia="en-US"/>
        </w:rPr>
        <w:t xml:space="preserve">s that it must analyze whether the criminal proceedings as a whole offered mechanisms of protection against arbitrariness that allowed the reasons for the verdict to be understood – not merely </w:t>
      </w:r>
      <w:r w:rsidR="003B7548" w:rsidRPr="00AC57EA">
        <w:rPr>
          <w:sz w:val="20"/>
          <w:szCs w:val="20"/>
          <w:lang w:val="en-US" w:eastAsia="en-US"/>
        </w:rPr>
        <w:t>by</w:t>
      </w:r>
      <w:r w:rsidRPr="00AC57EA">
        <w:rPr>
          <w:sz w:val="20"/>
          <w:szCs w:val="20"/>
          <w:lang w:val="en-US" w:eastAsia="en-US"/>
        </w:rPr>
        <w:t xml:space="preserve"> the accused, but also </w:t>
      </w:r>
      <w:r w:rsidR="003B7548" w:rsidRPr="00AC57EA">
        <w:rPr>
          <w:sz w:val="20"/>
          <w:szCs w:val="20"/>
          <w:lang w:val="en-US" w:eastAsia="en-US"/>
        </w:rPr>
        <w:t>by</w:t>
      </w:r>
      <w:r w:rsidRPr="00AC57EA">
        <w:rPr>
          <w:sz w:val="20"/>
          <w:szCs w:val="20"/>
          <w:lang w:val="en-US" w:eastAsia="en-US"/>
        </w:rPr>
        <w:t xml:space="preserve"> the victim and the plaintiff. Essentially, the need for the accused and the victim of the offense or the plaintiff to understand the </w:t>
      </w:r>
      <w:r w:rsidRPr="00AC57EA">
        <w:rPr>
          <w:sz w:val="20"/>
          <w:szCs w:val="20"/>
          <w:lang w:val="en-US" w:eastAsia="en-US"/>
        </w:rPr>
        <w:lastRenderedPageBreak/>
        <w:t>reasons for the decision of guilt or innocence adopted by the jury in its verdict is fully in force “as a vital safeguard against arbitrariness.”</w:t>
      </w:r>
      <w:r w:rsidR="00327B38" w:rsidRPr="00AC57EA">
        <w:rPr>
          <w:sz w:val="20"/>
          <w:vertAlign w:val="superscript"/>
          <w:lang w:val="en-US" w:eastAsia="en-US"/>
        </w:rPr>
        <w:footnoteReference w:id="365"/>
      </w:r>
    </w:p>
    <w:p w14:paraId="4B155ACF" w14:textId="77777777" w:rsidR="00327B38" w:rsidRPr="00AC57EA" w:rsidRDefault="00327B38" w:rsidP="00327B38">
      <w:pPr>
        <w:widowControl/>
        <w:tabs>
          <w:tab w:val="left" w:pos="567"/>
        </w:tabs>
        <w:adjustRightInd/>
        <w:spacing w:line="240" w:lineRule="auto"/>
        <w:textAlignment w:val="auto"/>
        <w:rPr>
          <w:sz w:val="20"/>
          <w:szCs w:val="20"/>
          <w:lang w:val="en-US" w:eastAsia="en-US"/>
        </w:rPr>
      </w:pPr>
    </w:p>
    <w:p w14:paraId="59738822" w14:textId="252AB658" w:rsidR="00B5625C" w:rsidRPr="00AC57EA" w:rsidRDefault="00565C8F" w:rsidP="003A6E47">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lang w:val="en-US" w:eastAsia="en-US"/>
        </w:rPr>
        <w:t xml:space="preserve">That said, it should be underscored that criminal proceedings in cases of sexual violence entail a series of specific technical difficulties that make them </w:t>
      </w:r>
      <w:r w:rsidR="003B7548" w:rsidRPr="00AC57EA">
        <w:rPr>
          <w:sz w:val="20"/>
          <w:lang w:val="en-US" w:eastAsia="en-US"/>
        </w:rPr>
        <w:t>challenging</w:t>
      </w:r>
      <w:r w:rsidRPr="00AC57EA">
        <w:rPr>
          <w:sz w:val="20"/>
          <w:lang w:val="en-US" w:eastAsia="en-US"/>
        </w:rPr>
        <w:t xml:space="preserve"> to prosecute. Usually there is little evidence about what happened, the accused affirms his innocence, and the discussion is circumscribed to one person’s word against another’s. To this is added the prejudices and preconceived ideas and stereotypes</w:t>
      </w:r>
      <w:r w:rsidR="003A6E47" w:rsidRPr="00AC57EA">
        <w:rPr>
          <w:sz w:val="20"/>
          <w:lang w:val="en-US" w:eastAsia="en-US"/>
        </w:rPr>
        <w:t xml:space="preserve"> in relation to sexual violence</w:t>
      </w:r>
      <w:r w:rsidRPr="00AC57EA">
        <w:rPr>
          <w:sz w:val="20"/>
          <w:lang w:val="en-US" w:eastAsia="en-US"/>
        </w:rPr>
        <w:t xml:space="preserve"> inherent in the patriarchal system that exist in the </w:t>
      </w:r>
      <w:r w:rsidR="003A6E47" w:rsidRPr="00AC57EA">
        <w:rPr>
          <w:sz w:val="20"/>
          <w:lang w:val="en-US" w:eastAsia="en-US"/>
        </w:rPr>
        <w:t xml:space="preserve">social imaginary. Juries are susceptible of transferring such prejudices and ideas to the proceedings and being influenced by them when assessing the credibility of the victim and the guilt of the accused, and this is especially true of </w:t>
      </w:r>
      <w:r w:rsidR="003B7548" w:rsidRPr="00AC57EA">
        <w:rPr>
          <w:sz w:val="20"/>
          <w:lang w:val="en-US" w:eastAsia="en-US"/>
        </w:rPr>
        <w:t>people</w:t>
      </w:r>
      <w:r w:rsidR="003A6E47" w:rsidRPr="00AC57EA">
        <w:rPr>
          <w:sz w:val="20"/>
          <w:lang w:val="en-US" w:eastAsia="en-US"/>
        </w:rPr>
        <w:t xml:space="preserve"> who do not have special training </w:t>
      </w:r>
      <w:r w:rsidR="003B7548" w:rsidRPr="00AC57EA">
        <w:rPr>
          <w:sz w:val="20"/>
          <w:lang w:val="en-US" w:eastAsia="en-US"/>
        </w:rPr>
        <w:t>with regard to</w:t>
      </w:r>
      <w:r w:rsidR="003A6E47" w:rsidRPr="00AC57EA">
        <w:rPr>
          <w:sz w:val="20"/>
          <w:lang w:val="en-US" w:eastAsia="en-US"/>
        </w:rPr>
        <w:t xml:space="preserve"> this type of offense.</w:t>
      </w:r>
    </w:p>
    <w:p w14:paraId="2A6AFEDC" w14:textId="77777777" w:rsidR="003A6E47" w:rsidRPr="00AC57EA" w:rsidRDefault="003A6E47" w:rsidP="003A6E47">
      <w:pPr>
        <w:widowControl/>
        <w:tabs>
          <w:tab w:val="left" w:pos="567"/>
        </w:tabs>
        <w:adjustRightInd/>
        <w:spacing w:line="240" w:lineRule="auto"/>
        <w:textAlignment w:val="auto"/>
        <w:rPr>
          <w:sz w:val="20"/>
          <w:szCs w:val="20"/>
          <w:lang w:val="en-US" w:eastAsia="en-US"/>
        </w:rPr>
      </w:pPr>
    </w:p>
    <w:p w14:paraId="5A0FFE3C" w14:textId="748C529B" w:rsidR="003A6E47" w:rsidRPr="00AC57EA" w:rsidRDefault="003A6E47" w:rsidP="005B0E5F">
      <w:pPr>
        <w:widowControl/>
        <w:numPr>
          <w:ilvl w:val="0"/>
          <w:numId w:val="2"/>
        </w:numPr>
        <w:tabs>
          <w:tab w:val="left" w:pos="567"/>
          <w:tab w:val="num" w:pos="12305"/>
        </w:tabs>
        <w:adjustRightInd/>
        <w:spacing w:line="240" w:lineRule="auto"/>
        <w:ind w:left="0" w:firstLine="0"/>
        <w:textAlignment w:val="auto"/>
        <w:rPr>
          <w:rFonts w:cs="Arial"/>
          <w:bCs/>
          <w:sz w:val="20"/>
          <w:szCs w:val="20"/>
          <w:lang w:val="en-US"/>
        </w:rPr>
      </w:pPr>
      <w:r w:rsidRPr="00AC57EA">
        <w:rPr>
          <w:rFonts w:cs="Arial"/>
          <w:bCs/>
          <w:sz w:val="20"/>
          <w:szCs w:val="20"/>
          <w:lang w:val="en-US"/>
        </w:rPr>
        <w:t xml:space="preserve">Consequently, in the case of a trial by jury, some systems establish, as best practices, measures that mitigate the impact of such conditions. For example, they establish the provision of expert evidence, known as counterintuitive evidence, addressed at providing information to the jury on the particularities of the facts they are trying, </w:t>
      </w:r>
      <w:r w:rsidR="00B41538" w:rsidRPr="00AC57EA">
        <w:rPr>
          <w:rFonts w:cs="Arial"/>
          <w:bCs/>
          <w:sz w:val="20"/>
          <w:szCs w:val="20"/>
          <w:lang w:val="en-US"/>
        </w:rPr>
        <w:t>to enable jurors to</w:t>
      </w:r>
      <w:r w:rsidRPr="00AC57EA">
        <w:rPr>
          <w:rFonts w:cs="Arial"/>
          <w:bCs/>
          <w:sz w:val="20"/>
          <w:szCs w:val="20"/>
          <w:lang w:val="en-US"/>
        </w:rPr>
        <w:t xml:space="preserve"> assess the evidence as objectively as possible. Also, the technical judge is </w:t>
      </w:r>
      <w:r w:rsidR="009010D6" w:rsidRPr="00AC57EA">
        <w:rPr>
          <w:rFonts w:cs="Arial"/>
          <w:bCs/>
          <w:sz w:val="20"/>
          <w:szCs w:val="20"/>
          <w:lang w:val="en-US"/>
        </w:rPr>
        <w:t>assigned</w:t>
      </w:r>
      <w:r w:rsidRPr="00AC57EA">
        <w:rPr>
          <w:rFonts w:cs="Arial"/>
          <w:bCs/>
          <w:sz w:val="20"/>
          <w:szCs w:val="20"/>
          <w:lang w:val="en-US"/>
        </w:rPr>
        <w:t xml:space="preserve"> the function of </w:t>
      </w:r>
      <w:r w:rsidR="009010D6" w:rsidRPr="00AC57EA">
        <w:rPr>
          <w:rFonts w:cs="Arial"/>
          <w:bCs/>
          <w:sz w:val="20"/>
          <w:szCs w:val="20"/>
          <w:lang w:val="en-US"/>
        </w:rPr>
        <w:t>instructing the jury on how to analyze specific evidence in the proceedings</w:t>
      </w:r>
      <w:r w:rsidR="00B41538" w:rsidRPr="00AC57EA">
        <w:rPr>
          <w:rFonts w:cs="Arial"/>
          <w:bCs/>
          <w:sz w:val="20"/>
          <w:szCs w:val="20"/>
          <w:lang w:val="en-US"/>
        </w:rPr>
        <w:t>,</w:t>
      </w:r>
      <w:r w:rsidR="009010D6" w:rsidRPr="00AC57EA">
        <w:rPr>
          <w:rFonts w:cs="Arial"/>
          <w:bCs/>
          <w:sz w:val="20"/>
          <w:szCs w:val="20"/>
          <w:lang w:val="en-US"/>
        </w:rPr>
        <w:t xml:space="preserve"> or questions are </w:t>
      </w:r>
      <w:r w:rsidR="00B41538" w:rsidRPr="00AC57EA">
        <w:rPr>
          <w:rFonts w:cs="Arial"/>
          <w:bCs/>
          <w:sz w:val="20"/>
          <w:szCs w:val="20"/>
          <w:lang w:val="en-US"/>
        </w:rPr>
        <w:t>established</w:t>
      </w:r>
      <w:r w:rsidR="009010D6" w:rsidRPr="00AC57EA">
        <w:rPr>
          <w:rFonts w:cs="Arial"/>
          <w:bCs/>
          <w:sz w:val="20"/>
          <w:szCs w:val="20"/>
          <w:lang w:val="en-US"/>
        </w:rPr>
        <w:t xml:space="preserve"> that the jury must answer in its verdict. In addition, some systems provide for a special stage, known in the Anglo-Saxon system as </w:t>
      </w:r>
      <w:r w:rsidR="009010D6" w:rsidRPr="00AC57EA">
        <w:rPr>
          <w:rFonts w:cs="Arial"/>
          <w:bCs/>
          <w:i/>
          <w:sz w:val="20"/>
          <w:szCs w:val="20"/>
          <w:lang w:val="en-US"/>
        </w:rPr>
        <w:t>voir dire</w:t>
      </w:r>
      <w:r w:rsidR="009010D6" w:rsidRPr="00AC57EA">
        <w:rPr>
          <w:rFonts w:cs="Arial"/>
          <w:bCs/>
          <w:sz w:val="20"/>
          <w:szCs w:val="20"/>
          <w:lang w:val="en-US"/>
        </w:rPr>
        <w:t>, for jury selection prior to the trial during which the parties have the possibility of vetoing those persons who they consider may be biased or unsuitable to try the case.</w:t>
      </w:r>
    </w:p>
    <w:p w14:paraId="1A831163" w14:textId="77777777" w:rsidR="00B5625C" w:rsidRPr="00AC57EA" w:rsidRDefault="00B5625C" w:rsidP="00B5625C">
      <w:pPr>
        <w:widowControl/>
        <w:adjustRightInd/>
        <w:spacing w:line="240" w:lineRule="auto"/>
        <w:textAlignment w:val="auto"/>
        <w:rPr>
          <w:sz w:val="20"/>
          <w:szCs w:val="20"/>
          <w:lang w:val="en-US" w:eastAsia="en-US"/>
        </w:rPr>
      </w:pPr>
    </w:p>
    <w:p w14:paraId="57EE9108" w14:textId="05880B60" w:rsidR="009010D6" w:rsidRPr="00AC57EA" w:rsidRDefault="009010D6" w:rsidP="00374EE4">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Therefore, taking into account the system of trial by jury in force in Nicaragua at the time of the events, under which the no reasons were given for the verdict, and the fact that the offense in question concerned sexual violence, the Court must determine whether, under the terms of the American Convention, the proceedings as a whole offered sufficient protection against arbitrariness, so that the parties could understand the result of the process as a reasonable consequence of the evidence obtained during the preliminary investigation stage and presented during the public hearing.</w:t>
      </w:r>
    </w:p>
    <w:p w14:paraId="70D56280" w14:textId="77777777" w:rsidR="00D37FFE" w:rsidRPr="00AC57EA" w:rsidRDefault="00D37FFE" w:rsidP="00D37FFE">
      <w:pPr>
        <w:widowControl/>
        <w:tabs>
          <w:tab w:val="left" w:pos="567"/>
        </w:tabs>
        <w:adjustRightInd/>
        <w:spacing w:line="240" w:lineRule="auto"/>
        <w:textAlignment w:val="auto"/>
        <w:rPr>
          <w:rFonts w:cs="Verdana"/>
          <w:sz w:val="20"/>
          <w:szCs w:val="20"/>
          <w:lang w:val="en-US" w:eastAsia="en-US"/>
        </w:rPr>
      </w:pPr>
    </w:p>
    <w:p w14:paraId="4530B958" w14:textId="705448C1" w:rsidR="00D37FFE" w:rsidRPr="00AC57EA" w:rsidRDefault="00B7258C" w:rsidP="00111FEE">
      <w:pPr>
        <w:widowControl/>
        <w:numPr>
          <w:ilvl w:val="0"/>
          <w:numId w:val="2"/>
        </w:numPr>
        <w:tabs>
          <w:tab w:val="left" w:pos="567"/>
          <w:tab w:val="num" w:pos="12305"/>
        </w:tabs>
        <w:adjustRightInd/>
        <w:spacing w:line="240" w:lineRule="auto"/>
        <w:ind w:left="0" w:firstLine="0"/>
        <w:textAlignment w:val="auto"/>
        <w:rPr>
          <w:rFonts w:cs="Verdana"/>
          <w:sz w:val="20"/>
          <w:szCs w:val="20"/>
          <w:lang w:val="en-US" w:eastAsia="en-US"/>
        </w:rPr>
      </w:pPr>
      <w:r w:rsidRPr="00AC57EA">
        <w:rPr>
          <w:sz w:val="20"/>
          <w:szCs w:val="20"/>
          <w:lang w:val="en-US" w:eastAsia="en-US"/>
        </w:rPr>
        <w:t>The Court</w:t>
      </w:r>
      <w:r w:rsidR="00D37FFE" w:rsidRPr="00AC57EA">
        <w:rPr>
          <w:sz w:val="20"/>
          <w:szCs w:val="20"/>
          <w:lang w:val="en-US" w:eastAsia="en-US"/>
        </w:rPr>
        <w:t xml:space="preserve"> not</w:t>
      </w:r>
      <w:r w:rsidR="00111FEE" w:rsidRPr="00AC57EA">
        <w:rPr>
          <w:sz w:val="20"/>
          <w:szCs w:val="20"/>
          <w:lang w:val="en-US" w:eastAsia="en-US"/>
        </w:rPr>
        <w:t xml:space="preserve">es that the </w:t>
      </w:r>
      <w:r w:rsidR="002A1A7C" w:rsidRPr="00AC57EA">
        <w:rPr>
          <w:sz w:val="20"/>
          <w:szCs w:val="20"/>
          <w:lang w:val="en-US" w:eastAsia="en-US"/>
        </w:rPr>
        <w:t>Code of Criminal Procedure</w:t>
      </w:r>
      <w:r w:rsidR="00D37FFE" w:rsidRPr="00AC57EA">
        <w:rPr>
          <w:sz w:val="20"/>
          <w:szCs w:val="20"/>
          <w:lang w:val="en-US" w:eastAsia="en-US"/>
        </w:rPr>
        <w:t xml:space="preserve"> </w:t>
      </w:r>
      <w:r w:rsidR="00111FEE" w:rsidRPr="00AC57EA">
        <w:rPr>
          <w:sz w:val="20"/>
          <w:szCs w:val="20"/>
          <w:lang w:val="en-US" w:eastAsia="en-US"/>
        </w:rPr>
        <w:t xml:space="preserve">did not contain any explicit regulation </w:t>
      </w:r>
      <w:r w:rsidR="00B41538" w:rsidRPr="00AC57EA">
        <w:rPr>
          <w:sz w:val="20"/>
          <w:szCs w:val="20"/>
          <w:lang w:val="en-US" w:eastAsia="en-US"/>
        </w:rPr>
        <w:t>concerning</w:t>
      </w:r>
      <w:r w:rsidR="00111FEE" w:rsidRPr="00AC57EA">
        <w:rPr>
          <w:sz w:val="20"/>
          <w:szCs w:val="20"/>
          <w:lang w:val="en-US" w:eastAsia="en-US"/>
        </w:rPr>
        <w:t xml:space="preserve"> the professional judge</w:t>
      </w:r>
      <w:r w:rsidR="00B41538" w:rsidRPr="00AC57EA">
        <w:rPr>
          <w:sz w:val="20"/>
          <w:szCs w:val="20"/>
          <w:lang w:val="en-US" w:eastAsia="en-US"/>
        </w:rPr>
        <w:t>’s instructions</w:t>
      </w:r>
      <w:r w:rsidR="00111FEE" w:rsidRPr="00AC57EA">
        <w:rPr>
          <w:sz w:val="20"/>
          <w:szCs w:val="20"/>
          <w:lang w:val="en-US" w:eastAsia="en-US"/>
        </w:rPr>
        <w:t xml:space="preserve"> to the jury, or include questions that the jury had to answer in its verdict, or incorporate any reference to counterintuitive evidence, all measures that could have contributed to the reasonableness of a decision and, ultimately, could have acted as guarantee</w:t>
      </w:r>
      <w:r w:rsidR="00B41538" w:rsidRPr="00AC57EA">
        <w:rPr>
          <w:sz w:val="20"/>
          <w:szCs w:val="20"/>
          <w:lang w:val="en-US" w:eastAsia="en-US"/>
        </w:rPr>
        <w:t>s</w:t>
      </w:r>
      <w:r w:rsidR="00111FEE" w:rsidRPr="00AC57EA">
        <w:rPr>
          <w:sz w:val="20"/>
          <w:szCs w:val="20"/>
          <w:lang w:val="en-US" w:eastAsia="en-US"/>
        </w:rPr>
        <w:t xml:space="preserve"> against an arbitrary decision</w:t>
      </w:r>
      <w:r w:rsidR="00D37FFE" w:rsidRPr="00AC57EA">
        <w:rPr>
          <w:sz w:val="20"/>
          <w:szCs w:val="20"/>
          <w:lang w:val="en-US" w:eastAsia="en-US"/>
        </w:rPr>
        <w:t xml:space="preserve"> (</w:t>
      </w:r>
      <w:r w:rsidR="00D37FFE" w:rsidRPr="00AC57EA">
        <w:rPr>
          <w:i/>
          <w:sz w:val="20"/>
          <w:szCs w:val="20"/>
          <w:lang w:val="en-US" w:eastAsia="en-US"/>
        </w:rPr>
        <w:t>supra</w:t>
      </w:r>
      <w:r w:rsidR="00D37FFE" w:rsidRPr="00AC57EA">
        <w:rPr>
          <w:sz w:val="20"/>
          <w:szCs w:val="20"/>
          <w:lang w:val="en-US" w:eastAsia="en-US"/>
        </w:rPr>
        <w:t xml:space="preserve"> </w:t>
      </w:r>
      <w:r w:rsidR="00171E27" w:rsidRPr="00AC57EA">
        <w:rPr>
          <w:sz w:val="20"/>
          <w:szCs w:val="20"/>
          <w:lang w:val="en-US" w:eastAsia="en-US"/>
        </w:rPr>
        <w:t>para.</w:t>
      </w:r>
      <w:r w:rsidR="00D37FFE" w:rsidRPr="00AC57EA">
        <w:rPr>
          <w:sz w:val="20"/>
          <w:szCs w:val="20"/>
          <w:lang w:val="en-US" w:eastAsia="en-US"/>
        </w:rPr>
        <w:t xml:space="preserve"> </w:t>
      </w:r>
      <w:r w:rsidR="00B31B77" w:rsidRPr="00AC57EA">
        <w:rPr>
          <w:sz w:val="20"/>
          <w:szCs w:val="20"/>
          <w:lang w:val="en-US" w:eastAsia="en-US"/>
        </w:rPr>
        <w:t>265</w:t>
      </w:r>
      <w:r w:rsidR="00D37FFE" w:rsidRPr="00AC57EA">
        <w:rPr>
          <w:sz w:val="20"/>
          <w:szCs w:val="20"/>
          <w:lang w:val="en-US" w:eastAsia="en-US"/>
        </w:rPr>
        <w:t>), especial</w:t>
      </w:r>
      <w:r w:rsidR="00111FEE" w:rsidRPr="00AC57EA">
        <w:rPr>
          <w:sz w:val="20"/>
          <w:szCs w:val="20"/>
          <w:lang w:val="en-US" w:eastAsia="en-US"/>
        </w:rPr>
        <w:t>ly in this case that concerned a crime of sexual violence committed against a child.</w:t>
      </w:r>
    </w:p>
    <w:p w14:paraId="79432DB9" w14:textId="77777777" w:rsidR="00410DFA" w:rsidRPr="00AC57EA" w:rsidRDefault="00410DFA" w:rsidP="00410DFA">
      <w:pPr>
        <w:widowControl/>
        <w:tabs>
          <w:tab w:val="left" w:pos="567"/>
        </w:tabs>
        <w:adjustRightInd/>
        <w:spacing w:line="240" w:lineRule="auto"/>
        <w:textAlignment w:val="auto"/>
        <w:rPr>
          <w:sz w:val="20"/>
          <w:szCs w:val="20"/>
          <w:lang w:val="en-US" w:eastAsia="en-US"/>
        </w:rPr>
      </w:pPr>
    </w:p>
    <w:p w14:paraId="213DFA5C" w14:textId="7A3C668D" w:rsidR="00410DFA" w:rsidRPr="00AC57EA" w:rsidRDefault="00111FEE" w:rsidP="00410DFA">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This assertion is corroborated by the words of the judge of law and president </w:t>
      </w:r>
      <w:r w:rsidR="00B7258C" w:rsidRPr="00AC57EA">
        <w:rPr>
          <w:sz w:val="20"/>
          <w:szCs w:val="20"/>
          <w:lang w:val="en-US" w:eastAsia="en-US"/>
        </w:rPr>
        <w:t xml:space="preserve">of </w:t>
      </w:r>
      <w:r w:rsidR="00823E77" w:rsidRPr="00AC57EA">
        <w:rPr>
          <w:sz w:val="20"/>
          <w:szCs w:val="20"/>
          <w:lang w:val="en-US" w:eastAsia="en-US"/>
        </w:rPr>
        <w:t>the Jury Court</w:t>
      </w:r>
      <w:r w:rsidR="00410DFA" w:rsidRPr="00AC57EA">
        <w:rPr>
          <w:sz w:val="20"/>
          <w:szCs w:val="20"/>
          <w:lang w:val="en-US" w:eastAsia="en-US"/>
        </w:rPr>
        <w:t xml:space="preserve">, </w:t>
      </w:r>
      <w:r w:rsidRPr="00AC57EA">
        <w:rPr>
          <w:sz w:val="20"/>
          <w:szCs w:val="20"/>
          <w:lang w:val="en-US" w:eastAsia="en-US"/>
        </w:rPr>
        <w:t>who stated in her rebuttal of the complaint filed against her by V.P.C. that:</w:t>
      </w:r>
    </w:p>
    <w:p w14:paraId="61BA617A" w14:textId="77777777" w:rsidR="00410DFA" w:rsidRPr="00AC57EA" w:rsidRDefault="00410DFA" w:rsidP="00410DFA">
      <w:pPr>
        <w:widowControl/>
        <w:adjustRightInd/>
        <w:spacing w:line="240" w:lineRule="auto"/>
        <w:textAlignment w:val="auto"/>
        <w:rPr>
          <w:sz w:val="20"/>
          <w:szCs w:val="20"/>
          <w:lang w:val="en-US" w:eastAsia="en-US"/>
        </w:rPr>
      </w:pPr>
    </w:p>
    <w:p w14:paraId="21EECA6D" w14:textId="541CE9A6" w:rsidR="00111FEE" w:rsidRPr="00AC57EA" w:rsidRDefault="00111FEE" w:rsidP="00111FEE">
      <w:pPr>
        <w:widowControl/>
        <w:adjustRightInd/>
        <w:spacing w:line="240" w:lineRule="auto"/>
        <w:ind w:left="567" w:right="582"/>
        <w:textAlignment w:val="auto"/>
        <w:rPr>
          <w:sz w:val="16"/>
          <w:szCs w:val="16"/>
          <w:lang w:val="en-US" w:eastAsia="en-US"/>
        </w:rPr>
      </w:pPr>
      <w:r w:rsidRPr="00AC57EA">
        <w:rPr>
          <w:sz w:val="16"/>
          <w:szCs w:val="16"/>
          <w:lang w:val="en-US" w:eastAsia="en-US"/>
        </w:rPr>
        <w:t>Regarding the verdict, at no time had [she] influenced the Jury Court; the members, as a conscientious tribunal voted based on their firm conviction without [her] having had to intervene at any moment to clarify a legal technical concept because there was no need, no one asked for this; they were all convinced that the forensic medical reports did not prove that the accused was the transmitter of the disease that the child suffered from and this was the reason that the vote</w:t>
      </w:r>
      <w:r w:rsidR="00F253FB" w:rsidRPr="00AC57EA">
        <w:rPr>
          <w:sz w:val="16"/>
          <w:szCs w:val="16"/>
          <w:lang w:val="en-US" w:eastAsia="en-US"/>
        </w:rPr>
        <w:t>,</w:t>
      </w:r>
      <w:r w:rsidRPr="00AC57EA">
        <w:rPr>
          <w:sz w:val="16"/>
          <w:szCs w:val="16"/>
          <w:lang w:val="en-US" w:eastAsia="en-US"/>
        </w:rPr>
        <w:t xml:space="preserve"> conducted </w:t>
      </w:r>
      <w:r w:rsidR="00F253FB" w:rsidRPr="00AC57EA">
        <w:rPr>
          <w:sz w:val="16"/>
          <w:szCs w:val="16"/>
          <w:lang w:val="en-US" w:eastAsia="en-US"/>
        </w:rPr>
        <w:t>just once,</w:t>
      </w:r>
      <w:r w:rsidRPr="00AC57EA">
        <w:rPr>
          <w:sz w:val="16"/>
          <w:szCs w:val="16"/>
          <w:lang w:val="en-US" w:eastAsia="en-US"/>
        </w:rPr>
        <w:t xml:space="preserve"> unanimously declared the accused innocent.</w:t>
      </w:r>
      <w:r w:rsidR="00410DFA" w:rsidRPr="00AC57EA">
        <w:rPr>
          <w:sz w:val="16"/>
          <w:szCs w:val="16"/>
          <w:vertAlign w:val="superscript"/>
          <w:lang w:val="en-US" w:eastAsia="en-US"/>
        </w:rPr>
        <w:footnoteReference w:id="366"/>
      </w:r>
    </w:p>
    <w:p w14:paraId="01D357BC" w14:textId="77777777" w:rsidR="00111FEE" w:rsidRPr="00AC57EA" w:rsidRDefault="00111FEE" w:rsidP="00111FEE">
      <w:pPr>
        <w:widowControl/>
        <w:adjustRightInd/>
        <w:spacing w:line="240" w:lineRule="auto"/>
        <w:ind w:left="567" w:right="582"/>
        <w:textAlignment w:val="auto"/>
        <w:rPr>
          <w:sz w:val="16"/>
          <w:szCs w:val="16"/>
          <w:lang w:val="en-US" w:eastAsia="en-US"/>
        </w:rPr>
      </w:pPr>
    </w:p>
    <w:p w14:paraId="0A21DCED" w14:textId="6EE74E40" w:rsidR="009F3BE2" w:rsidRPr="00AC57EA" w:rsidRDefault="009F3BE2" w:rsidP="00926B9B">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lastRenderedPageBreak/>
        <w:t>I</w:t>
      </w:r>
      <w:r w:rsidR="00CA6659" w:rsidRPr="00AC57EA">
        <w:rPr>
          <w:sz w:val="20"/>
          <w:szCs w:val="20"/>
          <w:lang w:val="en-US" w:eastAsia="en-US"/>
        </w:rPr>
        <w:t xml:space="preserve">n </w:t>
      </w:r>
      <w:r w:rsidRPr="00AC57EA">
        <w:rPr>
          <w:sz w:val="20"/>
          <w:szCs w:val="20"/>
          <w:lang w:val="en-US" w:eastAsia="en-US"/>
        </w:rPr>
        <w:t>sum, the Court finds that the proceedings did not provide sufficient guarantees to scrutinize the jury’s decision and, consequently, ensure that the decision was not arbitrary</w:t>
      </w:r>
      <w:r w:rsidR="00F253FB" w:rsidRPr="00AC57EA">
        <w:rPr>
          <w:sz w:val="20"/>
          <w:szCs w:val="20"/>
          <w:lang w:val="en-US" w:eastAsia="en-US"/>
        </w:rPr>
        <w:t>.</w:t>
      </w:r>
      <w:r w:rsidRPr="00AC57EA">
        <w:rPr>
          <w:sz w:val="20"/>
          <w:szCs w:val="20"/>
          <w:lang w:val="en-US" w:eastAsia="en-US"/>
        </w:rPr>
        <w:t xml:space="preserve"> </w:t>
      </w:r>
      <w:r w:rsidR="00F253FB" w:rsidRPr="00AC57EA">
        <w:rPr>
          <w:sz w:val="20"/>
          <w:szCs w:val="20"/>
          <w:lang w:val="en-US" w:eastAsia="en-US"/>
        </w:rPr>
        <w:t>I</w:t>
      </w:r>
      <w:r w:rsidRPr="00AC57EA">
        <w:rPr>
          <w:sz w:val="20"/>
          <w:szCs w:val="20"/>
          <w:lang w:val="en-US" w:eastAsia="en-US"/>
        </w:rPr>
        <w:t>t is therefore reasonable to conclude that the verdict that rejected the guilt of the accused could not be foreseen by the victims because it was unrelated to the facts, the evidence described in the accusation, and the evidence received in the domestic proceedings.</w:t>
      </w:r>
    </w:p>
    <w:p w14:paraId="2ABDE5FC" w14:textId="77777777" w:rsidR="004D0B4A" w:rsidRPr="00AC57EA" w:rsidRDefault="004D0B4A" w:rsidP="00B5625C">
      <w:pPr>
        <w:widowControl/>
        <w:adjustRightInd/>
        <w:spacing w:line="240" w:lineRule="auto"/>
        <w:textAlignment w:val="auto"/>
        <w:rPr>
          <w:sz w:val="20"/>
          <w:szCs w:val="20"/>
          <w:lang w:val="en-US" w:eastAsia="en-US"/>
        </w:rPr>
      </w:pPr>
    </w:p>
    <w:p w14:paraId="522CB8BB" w14:textId="5CDFF81B" w:rsidR="00B5625C" w:rsidRPr="00AC57EA" w:rsidRDefault="009F3BE2" w:rsidP="003944F9">
      <w:pPr>
        <w:widowControl/>
        <w:numPr>
          <w:ilvl w:val="0"/>
          <w:numId w:val="2"/>
        </w:numPr>
        <w:tabs>
          <w:tab w:val="left" w:pos="567"/>
          <w:tab w:val="num" w:pos="12305"/>
        </w:tabs>
        <w:adjustRightInd/>
        <w:spacing w:line="240" w:lineRule="auto"/>
        <w:ind w:left="0" w:firstLine="0"/>
        <w:textAlignment w:val="auto"/>
        <w:rPr>
          <w:rFonts w:eastAsia="Calibri"/>
          <w:kern w:val="1"/>
          <w:sz w:val="20"/>
          <w:lang w:val="en-US" w:eastAsia="en-US"/>
        </w:rPr>
      </w:pPr>
      <w:r w:rsidRPr="00AC57EA">
        <w:rPr>
          <w:rFonts w:eastAsia="Calibri"/>
          <w:kern w:val="1"/>
          <w:sz w:val="20"/>
          <w:lang w:val="en-US" w:eastAsia="en-US"/>
        </w:rPr>
        <w:t>Consequently</w:t>
      </w:r>
      <w:r w:rsidR="00B5625C" w:rsidRPr="00AC57EA">
        <w:rPr>
          <w:rFonts w:eastAsia="Calibri"/>
          <w:kern w:val="1"/>
          <w:sz w:val="20"/>
          <w:lang w:val="en-US" w:eastAsia="en-US"/>
        </w:rPr>
        <w:t xml:space="preserve">, </w:t>
      </w:r>
      <w:r w:rsidR="00B7258C" w:rsidRPr="00AC57EA">
        <w:rPr>
          <w:rFonts w:eastAsia="Calibri"/>
          <w:kern w:val="1"/>
          <w:sz w:val="20"/>
          <w:lang w:val="en-US" w:eastAsia="en-US"/>
        </w:rPr>
        <w:t>the Court</w:t>
      </w:r>
      <w:r w:rsidR="00B5625C" w:rsidRPr="00AC57EA">
        <w:rPr>
          <w:rFonts w:eastAsia="Calibri"/>
          <w:kern w:val="1"/>
          <w:sz w:val="20"/>
          <w:lang w:val="en-US" w:eastAsia="en-US"/>
        </w:rPr>
        <w:t xml:space="preserve"> </w:t>
      </w:r>
      <w:r w:rsidR="00B5625C" w:rsidRPr="00AC57EA">
        <w:rPr>
          <w:rFonts w:cs="Verdana"/>
          <w:sz w:val="20"/>
          <w:szCs w:val="20"/>
          <w:lang w:val="en-US" w:eastAsia="en-US"/>
        </w:rPr>
        <w:t>conclu</w:t>
      </w:r>
      <w:r w:rsidRPr="00AC57EA">
        <w:rPr>
          <w:rFonts w:cs="Verdana"/>
          <w:sz w:val="20"/>
          <w:szCs w:val="20"/>
          <w:lang w:val="en-US" w:eastAsia="en-US"/>
        </w:rPr>
        <w:t>des that, in this case, the criminal proceedings, as a whole, did not ensure that the victims could understand the reasons why H.R.A. was acquitted, in violation</w:t>
      </w:r>
      <w:r w:rsidR="00B5625C" w:rsidRPr="00AC57EA">
        <w:rPr>
          <w:rFonts w:eastAsia="Calibri"/>
          <w:kern w:val="1"/>
          <w:sz w:val="20"/>
          <w:lang w:val="en-US" w:eastAsia="en-US"/>
        </w:rPr>
        <w:t xml:space="preserve"> </w:t>
      </w:r>
      <w:r w:rsidR="00171E27" w:rsidRPr="00AC57EA">
        <w:rPr>
          <w:rFonts w:eastAsia="Calibri"/>
          <w:kern w:val="1"/>
          <w:sz w:val="20"/>
          <w:lang w:val="en-US" w:eastAsia="en-US"/>
        </w:rPr>
        <w:t>of Article</w:t>
      </w:r>
      <w:r w:rsidR="00B5625C" w:rsidRPr="00AC57EA">
        <w:rPr>
          <w:rFonts w:eastAsia="Calibri"/>
          <w:kern w:val="1"/>
          <w:sz w:val="20"/>
          <w:lang w:val="en-US" w:eastAsia="en-US"/>
        </w:rPr>
        <w:t xml:space="preserve"> </w:t>
      </w:r>
      <w:r w:rsidR="00171E27" w:rsidRPr="00AC57EA">
        <w:rPr>
          <w:rFonts w:eastAsia="Calibri"/>
          <w:kern w:val="1"/>
          <w:sz w:val="20"/>
          <w:lang w:val="en-US" w:eastAsia="en-US"/>
        </w:rPr>
        <w:t>8(1)</w:t>
      </w:r>
      <w:r w:rsidR="00B7258C" w:rsidRPr="00AC57EA">
        <w:rPr>
          <w:rFonts w:eastAsia="Calibri"/>
          <w:kern w:val="1"/>
          <w:sz w:val="20"/>
          <w:lang w:val="en-US" w:eastAsia="en-US"/>
        </w:rPr>
        <w:t xml:space="preserve"> of the Convention</w:t>
      </w:r>
      <w:r w:rsidR="00B5625C" w:rsidRPr="00AC57EA">
        <w:rPr>
          <w:rFonts w:eastAsia="Calibri"/>
          <w:kern w:val="1"/>
          <w:sz w:val="20"/>
          <w:lang w:val="en-US" w:eastAsia="en-US"/>
        </w:rPr>
        <w:t>.</w:t>
      </w:r>
    </w:p>
    <w:p w14:paraId="18B7C304" w14:textId="77777777" w:rsidR="00B5625C" w:rsidRPr="00AC57EA" w:rsidRDefault="00B5625C" w:rsidP="00B5625C">
      <w:pPr>
        <w:widowControl/>
        <w:adjustRightInd/>
        <w:spacing w:line="240" w:lineRule="auto"/>
        <w:textAlignment w:val="auto"/>
        <w:rPr>
          <w:sz w:val="20"/>
          <w:szCs w:val="20"/>
          <w:lang w:val="en-US" w:eastAsia="en-US"/>
        </w:rPr>
      </w:pPr>
    </w:p>
    <w:p w14:paraId="5CC12534" w14:textId="7DE544EF" w:rsidR="00A842BE" w:rsidRPr="00AC57EA" w:rsidRDefault="00A842BE" w:rsidP="00A842BE">
      <w:pPr>
        <w:pStyle w:val="Ttulo3"/>
        <w:rPr>
          <w:b w:val="0"/>
          <w:i/>
          <w:lang w:val="en-US"/>
        </w:rPr>
      </w:pPr>
      <w:bookmarkStart w:id="132" w:name="_Toc514172644"/>
      <w:r w:rsidRPr="00AC57EA">
        <w:rPr>
          <w:b w:val="0"/>
          <w:i/>
          <w:lang w:val="en-US"/>
        </w:rPr>
        <w:t xml:space="preserve">B.3.d </w:t>
      </w:r>
      <w:r w:rsidR="001978B2" w:rsidRPr="00AC57EA">
        <w:rPr>
          <w:b w:val="0"/>
          <w:i/>
          <w:lang w:val="en-US"/>
        </w:rPr>
        <w:tab/>
      </w:r>
      <w:r w:rsidR="0025395E" w:rsidRPr="00AC57EA">
        <w:rPr>
          <w:b w:val="0"/>
          <w:i/>
          <w:lang w:val="en-US"/>
        </w:rPr>
        <w:t>Conclusion</w:t>
      </w:r>
      <w:bookmarkEnd w:id="132"/>
    </w:p>
    <w:p w14:paraId="78BD10EE" w14:textId="77777777" w:rsidR="00A842BE" w:rsidRPr="00AC57EA" w:rsidRDefault="00A842BE" w:rsidP="00B5625C">
      <w:pPr>
        <w:widowControl/>
        <w:adjustRightInd/>
        <w:spacing w:line="240" w:lineRule="auto"/>
        <w:textAlignment w:val="auto"/>
        <w:rPr>
          <w:sz w:val="20"/>
          <w:szCs w:val="20"/>
          <w:lang w:val="en-US" w:eastAsia="en-US"/>
        </w:rPr>
      </w:pPr>
    </w:p>
    <w:p w14:paraId="083F80E3" w14:textId="5F263659" w:rsidR="00993C6D" w:rsidRPr="00AC57EA" w:rsidRDefault="009F3BE2" w:rsidP="009F3BE2">
      <w:pPr>
        <w:widowControl/>
        <w:numPr>
          <w:ilvl w:val="0"/>
          <w:numId w:val="2"/>
        </w:numPr>
        <w:tabs>
          <w:tab w:val="left" w:pos="567"/>
          <w:tab w:val="num" w:pos="12305"/>
        </w:tabs>
        <w:adjustRightInd/>
        <w:spacing w:line="240" w:lineRule="auto"/>
        <w:ind w:left="0" w:firstLine="0"/>
        <w:textAlignment w:val="auto"/>
        <w:rPr>
          <w:sz w:val="20"/>
          <w:szCs w:val="20"/>
          <w:lang w:val="en-US" w:eastAsia="en-US"/>
        </w:rPr>
      </w:pPr>
      <w:r w:rsidRPr="00AC57EA">
        <w:rPr>
          <w:sz w:val="20"/>
          <w:szCs w:val="20"/>
          <w:lang w:val="en-US" w:eastAsia="en-US"/>
        </w:rPr>
        <w:t xml:space="preserve">Based on the preceding considerations, the Court concludes that, during the proceedings and trial held by the Jury Court, the guarantees of due process relating to objective impartiality and the prohibition of arbitrariness were not respected and, therefore, the State is responsible for the violation </w:t>
      </w:r>
      <w:r w:rsidR="00171E27" w:rsidRPr="00AC57EA">
        <w:rPr>
          <w:sz w:val="20"/>
          <w:szCs w:val="20"/>
          <w:lang w:val="en-US" w:eastAsia="en-US"/>
        </w:rPr>
        <w:t>of Article</w:t>
      </w:r>
      <w:r w:rsidR="00F55E07" w:rsidRPr="00AC57EA">
        <w:rPr>
          <w:sz w:val="20"/>
          <w:szCs w:val="20"/>
          <w:lang w:val="en-US" w:eastAsia="en-US"/>
        </w:rPr>
        <w:t xml:space="preserve"> </w:t>
      </w:r>
      <w:r w:rsidR="00171E27" w:rsidRPr="00AC57EA">
        <w:rPr>
          <w:sz w:val="20"/>
          <w:szCs w:val="20"/>
          <w:lang w:val="en-US" w:eastAsia="en-US"/>
        </w:rPr>
        <w:t>8(1)</w:t>
      </w:r>
      <w:r w:rsidR="00B7258C" w:rsidRPr="00AC57EA">
        <w:rPr>
          <w:sz w:val="20"/>
          <w:szCs w:val="20"/>
          <w:lang w:val="en-US" w:eastAsia="en-US"/>
        </w:rPr>
        <w:t xml:space="preserve"> of the American Convention</w:t>
      </w:r>
      <w:r w:rsidR="00F55E07" w:rsidRPr="00AC57EA">
        <w:rPr>
          <w:sz w:val="20"/>
          <w:szCs w:val="20"/>
          <w:lang w:val="en-US" w:eastAsia="en-US"/>
        </w:rPr>
        <w:t xml:space="preserve">, </w:t>
      </w:r>
      <w:r w:rsidR="00171E27" w:rsidRPr="00AC57EA">
        <w:rPr>
          <w:sz w:val="20"/>
          <w:szCs w:val="20"/>
          <w:lang w:val="en-US" w:eastAsia="en-US"/>
        </w:rPr>
        <w:t>in relation to Article 1(1)</w:t>
      </w:r>
      <w:r w:rsidR="00F55E07" w:rsidRPr="00AC57EA">
        <w:rPr>
          <w:sz w:val="20"/>
          <w:szCs w:val="20"/>
          <w:lang w:val="en-US" w:eastAsia="en-US"/>
        </w:rPr>
        <w:t xml:space="preserve"> </w:t>
      </w:r>
      <w:r w:rsidR="002A5974" w:rsidRPr="00AC57EA">
        <w:rPr>
          <w:sz w:val="20"/>
          <w:szCs w:val="20"/>
          <w:lang w:val="en-US" w:eastAsia="en-US"/>
        </w:rPr>
        <w:t>of this instrument</w:t>
      </w:r>
      <w:r w:rsidR="00171E27" w:rsidRPr="00AC57EA">
        <w:rPr>
          <w:sz w:val="20"/>
          <w:szCs w:val="20"/>
          <w:lang w:val="en-US" w:eastAsia="en-US"/>
        </w:rPr>
        <w:t xml:space="preserve"> and </w:t>
      </w:r>
      <w:r w:rsidR="00B7258C" w:rsidRPr="00AC57EA">
        <w:rPr>
          <w:rFonts w:eastAsia="Batang" w:cs="Arial"/>
          <w:sz w:val="20"/>
          <w:szCs w:val="20"/>
          <w:lang w:val="en-US" w:eastAsia="es-MX"/>
        </w:rPr>
        <w:t>Article</w:t>
      </w:r>
      <w:r w:rsidR="001A107F" w:rsidRPr="00AC57EA">
        <w:rPr>
          <w:rFonts w:eastAsia="Batang" w:cs="Arial"/>
          <w:sz w:val="20"/>
          <w:szCs w:val="20"/>
          <w:lang w:val="en-US" w:eastAsia="es-MX"/>
        </w:rPr>
        <w:t xml:space="preserve"> </w:t>
      </w:r>
      <w:r w:rsidR="007D5AA2" w:rsidRPr="00AC57EA">
        <w:rPr>
          <w:rFonts w:eastAsia="Batang" w:cs="Arial"/>
          <w:sz w:val="20"/>
          <w:szCs w:val="20"/>
          <w:lang w:val="en-US" w:eastAsia="es-MX"/>
        </w:rPr>
        <w:t>7(b)</w:t>
      </w:r>
      <w:r w:rsidR="00B7258C" w:rsidRPr="00AC57EA">
        <w:rPr>
          <w:rFonts w:eastAsia="Batang" w:cs="Arial"/>
          <w:sz w:val="20"/>
          <w:szCs w:val="20"/>
          <w:lang w:val="en-US" w:eastAsia="es-MX"/>
        </w:rPr>
        <w:t xml:space="preserve"> of the </w:t>
      </w:r>
      <w:r w:rsidR="00171E27" w:rsidRPr="00AC57EA">
        <w:rPr>
          <w:rFonts w:eastAsia="Batang"/>
          <w:sz w:val="20"/>
          <w:szCs w:val="20"/>
          <w:lang w:val="en-US" w:eastAsia="es-MX"/>
        </w:rPr>
        <w:t>Convention of Belém</w:t>
      </w:r>
      <w:r w:rsidR="001A107F" w:rsidRPr="00AC57EA">
        <w:rPr>
          <w:rFonts w:eastAsia="Batang"/>
          <w:sz w:val="20"/>
          <w:szCs w:val="20"/>
          <w:lang w:val="en-US" w:eastAsia="es-MX"/>
        </w:rPr>
        <w:t xml:space="preserve"> do Pará</w:t>
      </w:r>
      <w:r w:rsidR="00F55E07" w:rsidRPr="00AC57EA">
        <w:rPr>
          <w:sz w:val="20"/>
          <w:szCs w:val="20"/>
          <w:lang w:val="en-US" w:eastAsia="en-US"/>
        </w:rPr>
        <w:t xml:space="preserve">, </w:t>
      </w:r>
      <w:r w:rsidR="002F084B" w:rsidRPr="00AC57EA">
        <w:rPr>
          <w:sz w:val="20"/>
          <w:szCs w:val="20"/>
          <w:lang w:val="en-US" w:eastAsia="en-US"/>
        </w:rPr>
        <w:t>to the detriment of</w:t>
      </w:r>
      <w:r w:rsidR="00F55E07" w:rsidRPr="00AC57EA">
        <w:rPr>
          <w:sz w:val="20"/>
          <w:szCs w:val="20"/>
          <w:lang w:val="en-US" w:eastAsia="en-US"/>
        </w:rPr>
        <w:t xml:space="preserve"> V.R.P.</w:t>
      </w:r>
      <w:r w:rsidR="00171E27" w:rsidRPr="00AC57EA">
        <w:rPr>
          <w:sz w:val="20"/>
          <w:szCs w:val="20"/>
          <w:lang w:val="en-US" w:eastAsia="en-US"/>
        </w:rPr>
        <w:t xml:space="preserve"> and </w:t>
      </w:r>
      <w:r w:rsidR="00F55E07" w:rsidRPr="00AC57EA">
        <w:rPr>
          <w:sz w:val="20"/>
          <w:szCs w:val="20"/>
          <w:lang w:val="en-US" w:eastAsia="en-US"/>
        </w:rPr>
        <w:t>V.P.C.</w:t>
      </w:r>
    </w:p>
    <w:p w14:paraId="074032D9" w14:textId="77777777" w:rsidR="00A842BE" w:rsidRPr="00AC57EA" w:rsidRDefault="00A842BE" w:rsidP="00B5625C">
      <w:pPr>
        <w:widowControl/>
        <w:adjustRightInd/>
        <w:spacing w:line="240" w:lineRule="auto"/>
        <w:textAlignment w:val="auto"/>
        <w:rPr>
          <w:sz w:val="20"/>
          <w:szCs w:val="20"/>
          <w:lang w:val="en-US" w:eastAsia="en-US"/>
        </w:rPr>
      </w:pPr>
    </w:p>
    <w:p w14:paraId="44EB7304" w14:textId="0C4A5783" w:rsidR="00B5625C" w:rsidRPr="00AC57EA" w:rsidRDefault="009F3BE2" w:rsidP="00A92F94">
      <w:pPr>
        <w:pStyle w:val="Prrafodelista"/>
        <w:keepNext/>
        <w:keepLines/>
        <w:widowControl/>
        <w:numPr>
          <w:ilvl w:val="0"/>
          <w:numId w:val="16"/>
        </w:numPr>
        <w:tabs>
          <w:tab w:val="left" w:pos="1134"/>
        </w:tabs>
        <w:autoSpaceDE w:val="0"/>
        <w:autoSpaceDN w:val="0"/>
        <w:adjustRightInd/>
        <w:spacing w:line="240" w:lineRule="auto"/>
        <w:ind w:left="1134" w:hanging="567"/>
        <w:textAlignment w:val="auto"/>
        <w:outlineLvl w:val="1"/>
        <w:rPr>
          <w:rFonts w:eastAsia="MS Mincho" w:cs="Arial"/>
          <w:b/>
          <w:bCs/>
          <w:i/>
          <w:kern w:val="2"/>
          <w:sz w:val="20"/>
          <w:szCs w:val="20"/>
          <w:lang w:val="en-US" w:eastAsia="en-US"/>
        </w:rPr>
      </w:pPr>
      <w:r w:rsidRPr="00AC57EA">
        <w:rPr>
          <w:rFonts w:eastAsia="MS Mincho" w:cs="Arial"/>
          <w:b/>
          <w:bCs/>
          <w:i/>
          <w:kern w:val="2"/>
          <w:sz w:val="20"/>
          <w:szCs w:val="20"/>
          <w:lang w:val="en-US" w:eastAsia="en-US"/>
        </w:rPr>
        <w:t>Reasonable time</w:t>
      </w:r>
    </w:p>
    <w:p w14:paraId="17A84589" w14:textId="77777777" w:rsidR="00B5625C" w:rsidRPr="00AC57EA" w:rsidRDefault="00B5625C" w:rsidP="00B5625C">
      <w:pPr>
        <w:widowControl/>
        <w:adjustRightInd/>
        <w:spacing w:line="240" w:lineRule="auto"/>
        <w:textAlignment w:val="auto"/>
        <w:rPr>
          <w:sz w:val="20"/>
          <w:szCs w:val="20"/>
          <w:lang w:val="en-US" w:eastAsia="en-US"/>
        </w:rPr>
      </w:pPr>
    </w:p>
    <w:p w14:paraId="2D804D85" w14:textId="104A8681" w:rsidR="0032081D" w:rsidRPr="00AC57EA" w:rsidRDefault="00A32A5E" w:rsidP="0032081D">
      <w:pPr>
        <w:keepNext/>
        <w:keepLines/>
        <w:tabs>
          <w:tab w:val="left" w:pos="1701"/>
        </w:tabs>
        <w:spacing w:line="240" w:lineRule="auto"/>
        <w:ind w:left="1134"/>
        <w:outlineLvl w:val="1"/>
        <w:rPr>
          <w:bCs/>
          <w:i/>
          <w:sz w:val="20"/>
          <w:szCs w:val="20"/>
          <w:lang w:val="en-US"/>
        </w:rPr>
      </w:pPr>
      <w:bookmarkStart w:id="133" w:name="_Toc514172646"/>
      <w:r w:rsidRPr="00AC57EA">
        <w:rPr>
          <w:bCs/>
          <w:i/>
          <w:sz w:val="20"/>
          <w:szCs w:val="20"/>
          <w:lang w:val="en-US"/>
        </w:rPr>
        <w:t>C</w:t>
      </w:r>
      <w:r w:rsidR="0032081D" w:rsidRPr="00AC57EA">
        <w:rPr>
          <w:bCs/>
          <w:i/>
          <w:sz w:val="20"/>
          <w:szCs w:val="20"/>
          <w:lang w:val="en-US"/>
        </w:rPr>
        <w:t xml:space="preserve">.1 </w:t>
      </w:r>
      <w:r w:rsidR="001978B2" w:rsidRPr="00AC57EA">
        <w:rPr>
          <w:bCs/>
          <w:i/>
          <w:sz w:val="20"/>
          <w:szCs w:val="20"/>
          <w:lang w:val="en-US"/>
        </w:rPr>
        <w:tab/>
      </w:r>
      <w:r w:rsidR="009E569E" w:rsidRPr="00AC57EA">
        <w:rPr>
          <w:bCs/>
          <w:i/>
          <w:sz w:val="20"/>
          <w:szCs w:val="20"/>
          <w:lang w:val="en-US"/>
        </w:rPr>
        <w:t>Arguments</w:t>
      </w:r>
      <w:r w:rsidR="0032081D" w:rsidRPr="00AC57EA">
        <w:rPr>
          <w:bCs/>
          <w:i/>
          <w:sz w:val="20"/>
          <w:szCs w:val="20"/>
          <w:lang w:val="en-US"/>
        </w:rPr>
        <w:t xml:space="preserve"> </w:t>
      </w:r>
      <w:r w:rsidR="0025395E" w:rsidRPr="00AC57EA">
        <w:rPr>
          <w:bCs/>
          <w:i/>
          <w:sz w:val="20"/>
          <w:szCs w:val="20"/>
          <w:lang w:val="en-US"/>
        </w:rPr>
        <w:t>of the parties</w:t>
      </w:r>
      <w:r w:rsidR="00171E27" w:rsidRPr="00AC57EA">
        <w:rPr>
          <w:bCs/>
          <w:i/>
          <w:sz w:val="20"/>
          <w:szCs w:val="20"/>
          <w:lang w:val="en-US"/>
        </w:rPr>
        <w:t xml:space="preserve"> and </w:t>
      </w:r>
      <w:r w:rsidR="00B7258C" w:rsidRPr="00AC57EA">
        <w:rPr>
          <w:bCs/>
          <w:i/>
          <w:sz w:val="20"/>
          <w:szCs w:val="20"/>
          <w:lang w:val="en-US"/>
        </w:rPr>
        <w:t>of the Commission</w:t>
      </w:r>
      <w:r w:rsidR="0032081D" w:rsidRPr="00AC57EA">
        <w:rPr>
          <w:bCs/>
          <w:i/>
          <w:sz w:val="20"/>
          <w:szCs w:val="20"/>
          <w:lang w:val="en-US"/>
        </w:rPr>
        <w:t xml:space="preserve"> </w:t>
      </w:r>
      <w:r w:rsidR="009F3BE2" w:rsidRPr="00AC57EA">
        <w:rPr>
          <w:bCs/>
          <w:i/>
          <w:sz w:val="20"/>
          <w:szCs w:val="20"/>
          <w:lang w:val="en-US"/>
        </w:rPr>
        <w:t>concerning</w:t>
      </w:r>
      <w:r w:rsidR="0032081D" w:rsidRPr="00AC57EA">
        <w:rPr>
          <w:bCs/>
          <w:i/>
          <w:sz w:val="20"/>
          <w:szCs w:val="20"/>
          <w:lang w:val="en-US"/>
        </w:rPr>
        <w:t xml:space="preserve"> </w:t>
      </w:r>
      <w:r w:rsidR="009F3BE2" w:rsidRPr="00AC57EA">
        <w:rPr>
          <w:bCs/>
          <w:i/>
          <w:sz w:val="20"/>
          <w:szCs w:val="20"/>
          <w:lang w:val="en-US"/>
        </w:rPr>
        <w:t>reasonable time</w:t>
      </w:r>
      <w:bookmarkEnd w:id="133"/>
    </w:p>
    <w:p w14:paraId="2E2ABC5D" w14:textId="77777777" w:rsidR="0032081D" w:rsidRPr="00AC57EA" w:rsidRDefault="0032081D" w:rsidP="0032081D">
      <w:pPr>
        <w:widowControl/>
        <w:adjustRightInd/>
        <w:spacing w:line="240" w:lineRule="auto"/>
        <w:textAlignment w:val="auto"/>
        <w:rPr>
          <w:sz w:val="20"/>
          <w:szCs w:val="20"/>
          <w:lang w:val="en-US" w:eastAsia="en-US"/>
        </w:rPr>
      </w:pPr>
    </w:p>
    <w:p w14:paraId="349B0756" w14:textId="25C9AB84" w:rsidR="000837C9" w:rsidRPr="00AC57EA" w:rsidRDefault="00B7258C" w:rsidP="009F3BE2">
      <w:pPr>
        <w:widowControl/>
        <w:numPr>
          <w:ilvl w:val="0"/>
          <w:numId w:val="2"/>
        </w:numPr>
        <w:tabs>
          <w:tab w:val="left" w:pos="567"/>
          <w:tab w:val="num" w:pos="12305"/>
        </w:tabs>
        <w:adjustRightInd/>
        <w:spacing w:line="240" w:lineRule="auto"/>
        <w:ind w:left="0" w:firstLine="0"/>
        <w:textAlignment w:val="auto"/>
        <w:rPr>
          <w:rFonts w:eastAsiaTheme="minorHAnsi" w:cs="Arial"/>
          <w:b/>
          <w:sz w:val="16"/>
          <w:szCs w:val="20"/>
          <w:lang w:val="en-US" w:eastAsia="en-US"/>
        </w:rPr>
      </w:pPr>
      <w:r w:rsidRPr="00AC57EA">
        <w:rPr>
          <w:rFonts w:eastAsiaTheme="minorHAnsi" w:cs="Arial"/>
          <w:sz w:val="20"/>
          <w:szCs w:val="20"/>
          <w:lang w:val="en-US" w:eastAsia="en-US"/>
        </w:rPr>
        <w:t xml:space="preserve">The </w:t>
      </w:r>
      <w:r w:rsidRPr="00AC57EA">
        <w:rPr>
          <w:rFonts w:eastAsiaTheme="minorHAnsi" w:cs="Arial"/>
          <w:b/>
          <w:bCs/>
          <w:i/>
          <w:iCs/>
          <w:sz w:val="20"/>
          <w:szCs w:val="20"/>
          <w:lang w:val="en-US" w:eastAsia="en-US"/>
        </w:rPr>
        <w:t>Commission</w:t>
      </w:r>
      <w:r w:rsidR="0032081D" w:rsidRPr="00AC57EA">
        <w:rPr>
          <w:rFonts w:eastAsiaTheme="minorHAnsi" w:cs="Arial"/>
          <w:sz w:val="20"/>
          <w:szCs w:val="20"/>
          <w:lang w:val="en-US" w:eastAsia="en-US"/>
        </w:rPr>
        <w:t xml:space="preserve"> </w:t>
      </w:r>
      <w:r w:rsidR="009F3BE2" w:rsidRPr="00AC57EA">
        <w:rPr>
          <w:rFonts w:eastAsiaTheme="minorHAnsi" w:cs="Arial"/>
          <w:sz w:val="20"/>
          <w:szCs w:val="20"/>
          <w:lang w:val="en-US" w:eastAsia="en-US"/>
        </w:rPr>
        <w:t xml:space="preserve">alleged, with regard to </w:t>
      </w:r>
      <w:r w:rsidR="00F253FB" w:rsidRPr="00AC57EA">
        <w:rPr>
          <w:rFonts w:eastAsiaTheme="minorHAnsi" w:cs="Arial"/>
          <w:sz w:val="20"/>
          <w:szCs w:val="20"/>
          <w:lang w:val="en-US" w:eastAsia="en-US"/>
        </w:rPr>
        <w:t xml:space="preserve">the </w:t>
      </w:r>
      <w:r w:rsidR="009F3BE2" w:rsidRPr="00AC57EA">
        <w:rPr>
          <w:rFonts w:eastAsiaTheme="minorHAnsi" w:cs="Arial"/>
          <w:sz w:val="20"/>
          <w:szCs w:val="20"/>
          <w:lang w:val="en-US" w:eastAsia="en-US"/>
        </w:rPr>
        <w:t>complexity</w:t>
      </w:r>
      <w:r w:rsidR="00F253FB" w:rsidRPr="00AC57EA">
        <w:rPr>
          <w:rFonts w:eastAsiaTheme="minorHAnsi" w:cs="Arial"/>
          <w:sz w:val="20"/>
          <w:szCs w:val="20"/>
          <w:lang w:val="en-US" w:eastAsia="en-US"/>
        </w:rPr>
        <w:t xml:space="preserve"> of the matter</w:t>
      </w:r>
      <w:r w:rsidR="009F3BE2" w:rsidRPr="00AC57EA">
        <w:rPr>
          <w:rFonts w:eastAsiaTheme="minorHAnsi" w:cs="Arial"/>
          <w:sz w:val="20"/>
          <w:szCs w:val="20"/>
          <w:lang w:val="en-US" w:eastAsia="en-US"/>
        </w:rPr>
        <w:t>, that the State failed to justify</w:t>
      </w:r>
      <w:r w:rsidR="000837C9" w:rsidRPr="00AC57EA">
        <w:rPr>
          <w:rFonts w:eastAsiaTheme="minorHAnsi" w:cs="Arial"/>
          <w:b/>
          <w:sz w:val="16"/>
          <w:szCs w:val="20"/>
          <w:lang w:val="en-US" w:eastAsia="en-US"/>
        </w:rPr>
        <w:t xml:space="preserve"> </w:t>
      </w:r>
      <w:r w:rsidR="009F3BE2" w:rsidRPr="00AC57EA">
        <w:rPr>
          <w:sz w:val="20"/>
          <w:szCs w:val="20"/>
          <w:lang w:val="en-US"/>
        </w:rPr>
        <w:t xml:space="preserve">the delay in the criminal </w:t>
      </w:r>
      <w:r w:rsidR="00F253FB" w:rsidRPr="00AC57EA">
        <w:rPr>
          <w:sz w:val="20"/>
          <w:szCs w:val="20"/>
          <w:lang w:val="en-US"/>
        </w:rPr>
        <w:t xml:space="preserve">proceedings </w:t>
      </w:r>
      <w:r w:rsidR="000837C9" w:rsidRPr="00AC57EA">
        <w:rPr>
          <w:sz w:val="20"/>
          <w:szCs w:val="20"/>
          <w:lang w:val="en-US"/>
        </w:rPr>
        <w:t>based on this factor</w:t>
      </w:r>
      <w:r w:rsidR="009F3BE2" w:rsidRPr="00AC57EA">
        <w:rPr>
          <w:sz w:val="20"/>
          <w:szCs w:val="20"/>
          <w:lang w:val="en-US"/>
        </w:rPr>
        <w:t xml:space="preserve">. </w:t>
      </w:r>
      <w:r w:rsidR="000837C9" w:rsidRPr="00AC57EA">
        <w:rPr>
          <w:sz w:val="20"/>
          <w:szCs w:val="20"/>
          <w:lang w:val="en-US"/>
        </w:rPr>
        <w:t>Regarding</w:t>
      </w:r>
      <w:r w:rsidR="009F3BE2" w:rsidRPr="00AC57EA">
        <w:rPr>
          <w:sz w:val="20"/>
          <w:szCs w:val="20"/>
          <w:lang w:val="en-US"/>
        </w:rPr>
        <w:t xml:space="preserve"> the </w:t>
      </w:r>
      <w:r w:rsidR="000837C9" w:rsidRPr="00AC57EA">
        <w:rPr>
          <w:sz w:val="20"/>
          <w:szCs w:val="20"/>
          <w:lang w:val="en-US"/>
        </w:rPr>
        <w:t>participation</w:t>
      </w:r>
      <w:r w:rsidR="009F3BE2" w:rsidRPr="00AC57EA">
        <w:rPr>
          <w:sz w:val="20"/>
          <w:szCs w:val="20"/>
          <w:lang w:val="en-US"/>
        </w:rPr>
        <w:t xml:space="preserve"> of the interested part</w:t>
      </w:r>
      <w:r w:rsidR="000837C9" w:rsidRPr="00AC57EA">
        <w:rPr>
          <w:sz w:val="20"/>
          <w:szCs w:val="20"/>
          <w:lang w:val="en-US"/>
        </w:rPr>
        <w:t>ies</w:t>
      </w:r>
      <w:r w:rsidR="009F3BE2" w:rsidRPr="00AC57EA">
        <w:rPr>
          <w:sz w:val="20"/>
          <w:szCs w:val="20"/>
          <w:lang w:val="en-US"/>
        </w:rPr>
        <w:t>, the Commission observe</w:t>
      </w:r>
      <w:r w:rsidR="00F253FB" w:rsidRPr="00AC57EA">
        <w:rPr>
          <w:sz w:val="20"/>
          <w:szCs w:val="20"/>
          <w:lang w:val="en-US"/>
        </w:rPr>
        <w:t>d</w:t>
      </w:r>
      <w:r w:rsidR="009F3BE2" w:rsidRPr="00AC57EA">
        <w:rPr>
          <w:sz w:val="20"/>
          <w:szCs w:val="20"/>
          <w:lang w:val="en-US"/>
        </w:rPr>
        <w:t xml:space="preserve"> that V.P.C. </w:t>
      </w:r>
      <w:r w:rsidR="000837C9" w:rsidRPr="00AC57EA">
        <w:rPr>
          <w:sz w:val="20"/>
          <w:szCs w:val="20"/>
          <w:lang w:val="en-US"/>
        </w:rPr>
        <w:t>played an active role in</w:t>
      </w:r>
      <w:r w:rsidR="009F3BE2" w:rsidRPr="00AC57EA">
        <w:rPr>
          <w:sz w:val="20"/>
          <w:szCs w:val="20"/>
          <w:lang w:val="en-US"/>
        </w:rPr>
        <w:t xml:space="preserve"> the proce</w:t>
      </w:r>
      <w:r w:rsidR="000837C9" w:rsidRPr="00AC57EA">
        <w:rPr>
          <w:sz w:val="20"/>
          <w:szCs w:val="20"/>
          <w:lang w:val="en-US"/>
        </w:rPr>
        <w:t>edings</w:t>
      </w:r>
      <w:r w:rsidR="009F3BE2" w:rsidRPr="00AC57EA">
        <w:rPr>
          <w:sz w:val="20"/>
          <w:szCs w:val="20"/>
          <w:lang w:val="en-US"/>
        </w:rPr>
        <w:t xml:space="preserve">, monitoring and </w:t>
      </w:r>
      <w:r w:rsidR="000837C9" w:rsidRPr="00AC57EA">
        <w:rPr>
          <w:sz w:val="20"/>
          <w:szCs w:val="20"/>
          <w:lang w:val="en-US"/>
        </w:rPr>
        <w:t>furthering</w:t>
      </w:r>
      <w:r w:rsidR="009F3BE2" w:rsidRPr="00AC57EA">
        <w:rPr>
          <w:sz w:val="20"/>
          <w:szCs w:val="20"/>
          <w:lang w:val="en-US"/>
        </w:rPr>
        <w:t xml:space="preserve"> the investigation, complaining on repeated occasions about the delay in </w:t>
      </w:r>
      <w:r w:rsidR="000837C9" w:rsidRPr="00AC57EA">
        <w:rPr>
          <w:sz w:val="20"/>
          <w:szCs w:val="20"/>
          <w:lang w:val="en-US"/>
        </w:rPr>
        <w:t>conducting procedures</w:t>
      </w:r>
      <w:r w:rsidR="009F3BE2" w:rsidRPr="00AC57EA">
        <w:rPr>
          <w:sz w:val="20"/>
          <w:szCs w:val="20"/>
          <w:lang w:val="en-US"/>
        </w:rPr>
        <w:t xml:space="preserve"> and the long periods of procedural inactivity.</w:t>
      </w:r>
      <w:r w:rsidR="000837C9" w:rsidRPr="00AC57EA">
        <w:rPr>
          <w:sz w:val="20"/>
          <w:szCs w:val="20"/>
          <w:lang w:val="en-US"/>
        </w:rPr>
        <w:t xml:space="preserve"> Regarding</w:t>
      </w:r>
      <w:r w:rsidR="000837C9" w:rsidRPr="00AC57EA">
        <w:rPr>
          <w:rFonts w:eastAsiaTheme="minorHAnsi" w:cs="Arial"/>
          <w:b/>
          <w:sz w:val="16"/>
          <w:szCs w:val="20"/>
          <w:lang w:val="en-US" w:eastAsia="en-US"/>
        </w:rPr>
        <w:t xml:space="preserve"> </w:t>
      </w:r>
      <w:r w:rsidR="000837C9" w:rsidRPr="00AC57EA">
        <w:rPr>
          <w:sz w:val="20"/>
          <w:szCs w:val="20"/>
          <w:lang w:val="en-US"/>
        </w:rPr>
        <w:t>the conduct of the judicial authorities, the Commission identified various procedural omissions in the procedures</w:t>
      </w:r>
      <w:r w:rsidR="00F253FB" w:rsidRPr="00AC57EA">
        <w:rPr>
          <w:sz w:val="20"/>
          <w:szCs w:val="20"/>
          <w:lang w:val="en-US"/>
        </w:rPr>
        <w:t xml:space="preserve"> conducted</w:t>
      </w:r>
      <w:r w:rsidR="000837C9" w:rsidRPr="00AC57EA">
        <w:rPr>
          <w:sz w:val="20"/>
          <w:szCs w:val="20"/>
          <w:lang w:val="en-US"/>
        </w:rPr>
        <w:t>. It also observed that, following the April 2002</w:t>
      </w:r>
      <w:r w:rsidR="00F253FB" w:rsidRPr="00AC57EA">
        <w:rPr>
          <w:sz w:val="20"/>
          <w:szCs w:val="20"/>
          <w:lang w:val="en-US"/>
        </w:rPr>
        <w:t xml:space="preserve"> acquittal</w:t>
      </w:r>
      <w:r w:rsidR="000837C9" w:rsidRPr="00AC57EA">
        <w:rPr>
          <w:sz w:val="20"/>
          <w:szCs w:val="20"/>
          <w:lang w:val="en-US"/>
        </w:rPr>
        <w:t>, almost six years passed until the proceedings</w:t>
      </w:r>
      <w:r w:rsidR="00F253FB" w:rsidRPr="00AC57EA">
        <w:rPr>
          <w:sz w:val="20"/>
          <w:szCs w:val="20"/>
          <w:lang w:val="en-US"/>
        </w:rPr>
        <w:t xml:space="preserve"> concluded.</w:t>
      </w:r>
      <w:r w:rsidR="000837C9" w:rsidRPr="00AC57EA">
        <w:rPr>
          <w:rFonts w:eastAsiaTheme="minorHAnsi" w:cs="Arial"/>
          <w:b/>
          <w:sz w:val="16"/>
          <w:szCs w:val="20"/>
          <w:lang w:val="en-US" w:eastAsia="en-US"/>
        </w:rPr>
        <w:t xml:space="preserve"> </w:t>
      </w:r>
      <w:r w:rsidRPr="00AC57EA">
        <w:rPr>
          <w:sz w:val="20"/>
          <w:szCs w:val="20"/>
          <w:lang w:val="en-US" w:eastAsia="en-US"/>
        </w:rPr>
        <w:t>The Commission</w:t>
      </w:r>
      <w:r w:rsidR="0032081D" w:rsidRPr="00AC57EA">
        <w:rPr>
          <w:sz w:val="20"/>
          <w:szCs w:val="20"/>
          <w:lang w:val="en-US" w:eastAsia="en-US"/>
        </w:rPr>
        <w:t xml:space="preserve"> </w:t>
      </w:r>
      <w:r w:rsidR="000837C9" w:rsidRPr="00AC57EA">
        <w:rPr>
          <w:sz w:val="20"/>
          <w:szCs w:val="20"/>
          <w:lang w:val="en-US" w:eastAsia="en-US"/>
        </w:rPr>
        <w:t xml:space="preserve">underlined that, according to the documentation </w:t>
      </w:r>
      <w:r w:rsidR="00F253FB" w:rsidRPr="00AC57EA">
        <w:rPr>
          <w:sz w:val="20"/>
          <w:szCs w:val="20"/>
          <w:lang w:val="en-US" w:eastAsia="en-US"/>
        </w:rPr>
        <w:t>submitted</w:t>
      </w:r>
      <w:r w:rsidR="000837C9" w:rsidRPr="00AC57EA">
        <w:rPr>
          <w:sz w:val="20"/>
          <w:szCs w:val="20"/>
          <w:lang w:val="en-US" w:eastAsia="en-US"/>
        </w:rPr>
        <w:t xml:space="preserve">, more than one judge had </w:t>
      </w:r>
      <w:r w:rsidR="00F253FB" w:rsidRPr="00AC57EA">
        <w:rPr>
          <w:sz w:val="20"/>
          <w:szCs w:val="20"/>
          <w:lang w:val="en-US" w:eastAsia="en-US"/>
        </w:rPr>
        <w:t>ex</w:t>
      </w:r>
      <w:r w:rsidR="000837C9" w:rsidRPr="00AC57EA">
        <w:rPr>
          <w:sz w:val="20"/>
          <w:szCs w:val="20"/>
          <w:lang w:val="en-US" w:eastAsia="en-US"/>
        </w:rPr>
        <w:t>cused themselves from hearing the case alleging that they had some kind of affinity with the accused</w:t>
      </w:r>
      <w:r w:rsidR="00F253FB" w:rsidRPr="00AC57EA">
        <w:rPr>
          <w:sz w:val="20"/>
          <w:szCs w:val="20"/>
          <w:lang w:val="en-US" w:eastAsia="en-US"/>
        </w:rPr>
        <w:t>,</w:t>
      </w:r>
      <w:r w:rsidR="000837C9" w:rsidRPr="00AC57EA">
        <w:rPr>
          <w:sz w:val="20"/>
          <w:szCs w:val="20"/>
          <w:lang w:val="en-US" w:eastAsia="en-US"/>
        </w:rPr>
        <w:t xml:space="preserve"> and the State itself had recognized that one judge excused himself from hearing the case “without any reason.” The Commission indicated that, in view of this situation, the State should have taken measures to avoid the mechanism of excus</w:t>
      </w:r>
      <w:r w:rsidR="00F253FB" w:rsidRPr="00AC57EA">
        <w:rPr>
          <w:sz w:val="20"/>
          <w:szCs w:val="20"/>
          <w:lang w:val="en-US" w:eastAsia="en-US"/>
        </w:rPr>
        <w:t>ation</w:t>
      </w:r>
      <w:r w:rsidR="000837C9" w:rsidRPr="00AC57EA">
        <w:rPr>
          <w:sz w:val="20"/>
          <w:szCs w:val="20"/>
          <w:lang w:val="en-US" w:eastAsia="en-US"/>
        </w:rPr>
        <w:t xml:space="preserve"> becoming a factor </w:t>
      </w:r>
      <w:r w:rsidR="00F253FB" w:rsidRPr="00AC57EA">
        <w:rPr>
          <w:sz w:val="20"/>
          <w:szCs w:val="20"/>
          <w:lang w:val="en-US" w:eastAsia="en-US"/>
        </w:rPr>
        <w:t>that led to</w:t>
      </w:r>
      <w:r w:rsidR="000837C9" w:rsidRPr="00AC57EA">
        <w:rPr>
          <w:sz w:val="20"/>
          <w:szCs w:val="20"/>
          <w:lang w:val="en-US" w:eastAsia="en-US"/>
        </w:rPr>
        <w:t xml:space="preserve"> delay and impunity in this case. Regarding the fourth element, the Commission considered that, owing to the situation of </w:t>
      </w:r>
      <w:r w:rsidR="005F5583" w:rsidRPr="00AC57EA">
        <w:rPr>
          <w:sz w:val="20"/>
          <w:szCs w:val="20"/>
          <w:lang w:val="en-US" w:eastAsia="en-US"/>
        </w:rPr>
        <w:t>V.R.P., as a</w:t>
      </w:r>
      <w:r w:rsidR="000837C9" w:rsidRPr="00AC57EA">
        <w:rPr>
          <w:sz w:val="20"/>
          <w:szCs w:val="20"/>
          <w:lang w:val="en-US" w:eastAsia="en-US"/>
        </w:rPr>
        <w:t xml:space="preserve"> child victim </w:t>
      </w:r>
      <w:r w:rsidR="005F5583" w:rsidRPr="00AC57EA">
        <w:rPr>
          <w:sz w:val="20"/>
          <w:szCs w:val="20"/>
          <w:lang w:val="en-US" w:eastAsia="en-US"/>
        </w:rPr>
        <w:t xml:space="preserve">of rape, the State had an </w:t>
      </w:r>
      <w:r w:rsidR="00F253FB" w:rsidRPr="00AC57EA">
        <w:rPr>
          <w:sz w:val="20"/>
          <w:szCs w:val="20"/>
          <w:lang w:val="en-US" w:eastAsia="en-US"/>
        </w:rPr>
        <w:t>enhanced</w:t>
      </w:r>
      <w:r w:rsidR="005F5583" w:rsidRPr="00AC57EA">
        <w:rPr>
          <w:sz w:val="20"/>
          <w:szCs w:val="20"/>
          <w:lang w:val="en-US" w:eastAsia="en-US"/>
        </w:rPr>
        <w:t xml:space="preserve"> obligation to respect and ensure her rights, and this was not reflect</w:t>
      </w:r>
      <w:r w:rsidR="00F253FB" w:rsidRPr="00AC57EA">
        <w:rPr>
          <w:sz w:val="20"/>
          <w:szCs w:val="20"/>
          <w:lang w:val="en-US" w:eastAsia="en-US"/>
        </w:rPr>
        <w:t>ed</w:t>
      </w:r>
      <w:r w:rsidR="005F5583" w:rsidRPr="00AC57EA">
        <w:rPr>
          <w:sz w:val="20"/>
          <w:szCs w:val="20"/>
          <w:lang w:val="en-US" w:eastAsia="en-US"/>
        </w:rPr>
        <w:t xml:space="preserve"> in the way in which the investigation and the criminal proceedings were conducted. Lastly, the Commission stressed that the State itself had acknowledged the delay in the proceedings without providing any justification.</w:t>
      </w:r>
    </w:p>
    <w:p w14:paraId="793E4446" w14:textId="77777777" w:rsidR="0032081D" w:rsidRPr="00AC57EA" w:rsidRDefault="0032081D" w:rsidP="0032081D">
      <w:pPr>
        <w:widowControl/>
        <w:autoSpaceDE w:val="0"/>
        <w:autoSpaceDN w:val="0"/>
        <w:spacing w:line="240" w:lineRule="auto"/>
        <w:textAlignment w:val="auto"/>
        <w:rPr>
          <w:rFonts w:eastAsiaTheme="minorHAnsi" w:cs="Arial"/>
          <w:b/>
          <w:i/>
          <w:sz w:val="20"/>
          <w:szCs w:val="20"/>
          <w:lang w:val="en-US" w:eastAsia="en-US"/>
        </w:rPr>
      </w:pPr>
    </w:p>
    <w:p w14:paraId="64CE3467" w14:textId="3087B766" w:rsidR="0032081D" w:rsidRPr="00AC57EA" w:rsidRDefault="00171E27" w:rsidP="005F5583">
      <w:pPr>
        <w:widowControl/>
        <w:numPr>
          <w:ilvl w:val="0"/>
          <w:numId w:val="2"/>
        </w:numPr>
        <w:tabs>
          <w:tab w:val="left" w:pos="567"/>
          <w:tab w:val="num" w:pos="12305"/>
        </w:tabs>
        <w:autoSpaceDE w:val="0"/>
        <w:autoSpaceDN w:val="0"/>
        <w:adjustRightInd/>
        <w:spacing w:line="240" w:lineRule="auto"/>
        <w:ind w:left="0" w:firstLine="0"/>
        <w:textAlignment w:val="auto"/>
        <w:rPr>
          <w:rFonts w:eastAsiaTheme="minorHAnsi" w:cs="Arial"/>
          <w:b/>
          <w:bCs/>
          <w:sz w:val="20"/>
          <w:szCs w:val="20"/>
          <w:lang w:val="en-US" w:eastAsia="en-US"/>
        </w:rPr>
      </w:pPr>
      <w:r w:rsidRPr="00AC57EA">
        <w:rPr>
          <w:rFonts w:eastAsiaTheme="minorHAnsi" w:cs="Arial"/>
          <w:sz w:val="20"/>
          <w:szCs w:val="20"/>
          <w:lang w:val="en-US" w:eastAsia="en-US"/>
        </w:rPr>
        <w:t xml:space="preserve">The </w:t>
      </w:r>
      <w:r w:rsidRPr="00AC57EA">
        <w:rPr>
          <w:rFonts w:eastAsiaTheme="minorHAnsi" w:cs="Arial"/>
          <w:b/>
          <w:bCs/>
          <w:i/>
          <w:iCs/>
          <w:sz w:val="20"/>
          <w:szCs w:val="20"/>
          <w:lang w:val="en-US" w:eastAsia="en-US"/>
        </w:rPr>
        <w:t>representatives</w:t>
      </w:r>
      <w:r w:rsidR="0032081D" w:rsidRPr="00AC57EA">
        <w:rPr>
          <w:rFonts w:eastAsiaTheme="minorHAnsi" w:cs="Arial"/>
          <w:b/>
          <w:sz w:val="20"/>
          <w:szCs w:val="20"/>
          <w:lang w:val="en-US" w:eastAsia="en-US"/>
        </w:rPr>
        <w:t xml:space="preserve"> </w:t>
      </w:r>
      <w:r w:rsidR="0032081D" w:rsidRPr="00AC57EA">
        <w:rPr>
          <w:rFonts w:eastAsiaTheme="minorHAnsi" w:cs="Arial"/>
          <w:sz w:val="20"/>
          <w:szCs w:val="20"/>
          <w:lang w:val="en-US" w:eastAsia="en-US"/>
        </w:rPr>
        <w:t>a</w:t>
      </w:r>
      <w:r w:rsidR="005F5583" w:rsidRPr="00AC57EA">
        <w:rPr>
          <w:rFonts w:eastAsiaTheme="minorHAnsi" w:cs="Arial"/>
          <w:sz w:val="20"/>
          <w:szCs w:val="20"/>
          <w:lang w:val="en-US" w:eastAsia="en-US"/>
        </w:rPr>
        <w:t>dded that the evidence was not complex because it was only necessary to conduct medical, psychological and fact-finding studies. In addition, there was only one presumed perpetrator and one victim in the case. Regarding the procedural activity of the person concerned and the conduct of the judicial authorities, the representatives indicated that the unnecessary referrals of the proceedings to individuals who had already rule</w:t>
      </w:r>
      <w:r w:rsidR="00F253FB" w:rsidRPr="00AC57EA">
        <w:rPr>
          <w:rFonts w:eastAsiaTheme="minorHAnsi" w:cs="Arial"/>
          <w:sz w:val="20"/>
          <w:szCs w:val="20"/>
          <w:lang w:val="en-US" w:eastAsia="en-US"/>
        </w:rPr>
        <w:t xml:space="preserve">d </w:t>
      </w:r>
      <w:r w:rsidR="005F5583" w:rsidRPr="00AC57EA">
        <w:rPr>
          <w:rFonts w:eastAsiaTheme="minorHAnsi" w:cs="Arial"/>
          <w:sz w:val="20"/>
          <w:szCs w:val="20"/>
          <w:lang w:val="en-US" w:eastAsia="en-US"/>
        </w:rPr>
        <w:t xml:space="preserve">on the case, the excuses presented by the judges without justification or a long time after they had received the case, the </w:t>
      </w:r>
      <w:r w:rsidR="000F4F4C" w:rsidRPr="00AC57EA">
        <w:rPr>
          <w:rFonts w:eastAsiaTheme="minorHAnsi" w:cs="Arial"/>
          <w:sz w:val="20"/>
          <w:szCs w:val="20"/>
          <w:lang w:val="en-US" w:eastAsia="en-US"/>
        </w:rPr>
        <w:t>appointment</w:t>
      </w:r>
      <w:r w:rsidR="005F5583" w:rsidRPr="00AC57EA">
        <w:rPr>
          <w:rFonts w:eastAsiaTheme="minorHAnsi" w:cs="Arial"/>
          <w:sz w:val="20"/>
          <w:szCs w:val="20"/>
          <w:lang w:val="en-US" w:eastAsia="en-US"/>
        </w:rPr>
        <w:t xml:space="preserve"> and </w:t>
      </w:r>
      <w:r w:rsidR="000F4F4C" w:rsidRPr="00AC57EA">
        <w:rPr>
          <w:rFonts w:eastAsiaTheme="minorHAnsi" w:cs="Arial"/>
          <w:sz w:val="20"/>
          <w:szCs w:val="20"/>
          <w:lang w:val="en-US" w:eastAsia="en-US"/>
        </w:rPr>
        <w:t>replacement of</w:t>
      </w:r>
      <w:r w:rsidR="005F5583" w:rsidRPr="00AC57EA">
        <w:rPr>
          <w:rFonts w:eastAsiaTheme="minorHAnsi" w:cs="Arial"/>
          <w:sz w:val="20"/>
          <w:szCs w:val="20"/>
          <w:lang w:val="en-US" w:eastAsia="en-US"/>
        </w:rPr>
        <w:t xml:space="preserve"> the judges, and the existence of prolonged period</w:t>
      </w:r>
      <w:r w:rsidR="000F4F4C" w:rsidRPr="00AC57EA">
        <w:rPr>
          <w:rFonts w:eastAsiaTheme="minorHAnsi" w:cs="Arial"/>
          <w:sz w:val="20"/>
          <w:szCs w:val="20"/>
          <w:lang w:val="en-US" w:eastAsia="en-US"/>
        </w:rPr>
        <w:t>s</w:t>
      </w:r>
      <w:r w:rsidR="005F5583" w:rsidRPr="00AC57EA">
        <w:rPr>
          <w:rFonts w:eastAsiaTheme="minorHAnsi" w:cs="Arial"/>
          <w:sz w:val="20"/>
          <w:szCs w:val="20"/>
          <w:lang w:val="en-US" w:eastAsia="en-US"/>
        </w:rPr>
        <w:t xml:space="preserve"> during which the case was unjustifiably inactive, merely awaiting </w:t>
      </w:r>
      <w:r w:rsidR="000F4F4C" w:rsidRPr="00AC57EA">
        <w:rPr>
          <w:rFonts w:eastAsiaTheme="minorHAnsi" w:cs="Arial"/>
          <w:sz w:val="20"/>
          <w:szCs w:val="20"/>
          <w:lang w:val="en-US" w:eastAsia="en-US"/>
        </w:rPr>
        <w:t>a</w:t>
      </w:r>
      <w:r w:rsidR="005F5583" w:rsidRPr="00AC57EA">
        <w:rPr>
          <w:rFonts w:eastAsiaTheme="minorHAnsi" w:cs="Arial"/>
          <w:sz w:val="20"/>
          <w:szCs w:val="20"/>
          <w:lang w:val="en-US" w:eastAsia="en-US"/>
        </w:rPr>
        <w:t xml:space="preserve"> decision, c</w:t>
      </w:r>
      <w:r w:rsidR="000F4F4C" w:rsidRPr="00AC57EA">
        <w:rPr>
          <w:rFonts w:eastAsiaTheme="minorHAnsi" w:cs="Arial"/>
          <w:sz w:val="20"/>
          <w:szCs w:val="20"/>
          <w:lang w:val="en-US" w:eastAsia="en-US"/>
        </w:rPr>
        <w:t>ould</w:t>
      </w:r>
      <w:r w:rsidR="005F5583" w:rsidRPr="00AC57EA">
        <w:rPr>
          <w:rFonts w:eastAsiaTheme="minorHAnsi" w:cs="Arial"/>
          <w:sz w:val="20"/>
          <w:szCs w:val="20"/>
          <w:lang w:val="en-US" w:eastAsia="en-US"/>
        </w:rPr>
        <w:t xml:space="preserve"> be attributed to the State</w:t>
      </w:r>
      <w:r w:rsidR="000F4F4C" w:rsidRPr="00AC57EA">
        <w:rPr>
          <w:rFonts w:eastAsiaTheme="minorHAnsi" w:cs="Arial"/>
          <w:sz w:val="20"/>
          <w:szCs w:val="20"/>
          <w:lang w:val="en-US" w:eastAsia="en-US"/>
        </w:rPr>
        <w:t>; therefore,</w:t>
      </w:r>
      <w:r w:rsidR="005F5583" w:rsidRPr="00AC57EA">
        <w:rPr>
          <w:rFonts w:eastAsiaTheme="minorHAnsi" w:cs="Arial"/>
          <w:sz w:val="20"/>
          <w:szCs w:val="20"/>
          <w:lang w:val="en-US" w:eastAsia="en-US"/>
        </w:rPr>
        <w:t xml:space="preserve"> it did not act within a</w:t>
      </w:r>
      <w:r w:rsidR="005F5583" w:rsidRPr="00AC57EA">
        <w:rPr>
          <w:rFonts w:eastAsiaTheme="minorHAnsi" w:cs="Arial"/>
          <w:b/>
          <w:bCs/>
          <w:sz w:val="20"/>
          <w:szCs w:val="20"/>
          <w:lang w:val="en-US" w:eastAsia="en-US"/>
        </w:rPr>
        <w:t xml:space="preserve"> </w:t>
      </w:r>
      <w:r w:rsidR="009F3BE2" w:rsidRPr="00AC57EA">
        <w:rPr>
          <w:rFonts w:eastAsiaTheme="minorHAnsi" w:cs="Arial"/>
          <w:sz w:val="20"/>
          <w:szCs w:val="20"/>
          <w:lang w:val="en-US" w:eastAsia="en-US"/>
        </w:rPr>
        <w:t>reasonable time</w:t>
      </w:r>
      <w:r w:rsidR="0032081D" w:rsidRPr="00AC57EA">
        <w:rPr>
          <w:rFonts w:eastAsiaTheme="minorHAnsi" w:cs="Arial"/>
          <w:sz w:val="20"/>
          <w:szCs w:val="20"/>
          <w:lang w:val="en-US" w:eastAsia="en-US"/>
        </w:rPr>
        <w:t xml:space="preserve">. </w:t>
      </w:r>
      <w:r w:rsidRPr="00AC57EA">
        <w:rPr>
          <w:rFonts w:eastAsiaTheme="minorHAnsi" w:cs="Arial"/>
          <w:sz w:val="20"/>
          <w:szCs w:val="20"/>
          <w:lang w:val="en-US" w:eastAsia="en-US"/>
        </w:rPr>
        <w:t>The representatives</w:t>
      </w:r>
      <w:r w:rsidR="0032081D" w:rsidRPr="00AC57EA">
        <w:rPr>
          <w:rFonts w:eastAsiaTheme="minorHAnsi" w:cs="Arial"/>
          <w:sz w:val="20"/>
          <w:szCs w:val="20"/>
          <w:lang w:val="en-US" w:eastAsia="en-US"/>
        </w:rPr>
        <w:t xml:space="preserve"> </w:t>
      </w:r>
      <w:r w:rsidR="005F5583" w:rsidRPr="00AC57EA">
        <w:rPr>
          <w:rFonts w:eastAsiaTheme="minorHAnsi" w:cs="Arial"/>
          <w:sz w:val="20"/>
          <w:szCs w:val="20"/>
          <w:lang w:val="en-US" w:eastAsia="en-US"/>
        </w:rPr>
        <w:t xml:space="preserve">argued that, although the jury’s verdict was issued 4 months and 23 days after the complaint was filed, 5 years, 6 months and 11 days elapsed, from the moment of the jury’s verdict to </w:t>
      </w:r>
      <w:r w:rsidR="000F4F4C" w:rsidRPr="00AC57EA">
        <w:rPr>
          <w:rFonts w:eastAsiaTheme="minorHAnsi" w:cs="Arial"/>
          <w:sz w:val="20"/>
          <w:szCs w:val="20"/>
          <w:lang w:val="en-US" w:eastAsia="en-US"/>
        </w:rPr>
        <w:t>that</w:t>
      </w:r>
      <w:r w:rsidR="005F5583" w:rsidRPr="00AC57EA">
        <w:rPr>
          <w:rFonts w:eastAsiaTheme="minorHAnsi" w:cs="Arial"/>
          <w:sz w:val="20"/>
          <w:szCs w:val="20"/>
          <w:lang w:val="en-US" w:eastAsia="en-US"/>
        </w:rPr>
        <w:t xml:space="preserve"> of the final judgment</w:t>
      </w:r>
      <w:r w:rsidR="0032081D" w:rsidRPr="00AC57EA">
        <w:rPr>
          <w:rFonts w:eastAsiaTheme="minorHAnsi" w:cs="Arial"/>
          <w:sz w:val="20"/>
          <w:szCs w:val="20"/>
          <w:lang w:val="en-US" w:eastAsia="en-US"/>
        </w:rPr>
        <w:t>;</w:t>
      </w:r>
      <w:r w:rsidRPr="00AC57EA">
        <w:rPr>
          <w:rFonts w:eastAsiaTheme="minorHAnsi" w:cs="Arial"/>
          <w:sz w:val="20"/>
          <w:szCs w:val="20"/>
          <w:lang w:val="en-US" w:eastAsia="en-US"/>
        </w:rPr>
        <w:t xml:space="preserve"> </w:t>
      </w:r>
      <w:r w:rsidRPr="00AC57EA">
        <w:rPr>
          <w:rFonts w:eastAsiaTheme="minorHAnsi" w:cs="Arial"/>
          <w:sz w:val="20"/>
          <w:szCs w:val="20"/>
          <w:lang w:val="en-US" w:eastAsia="en-US"/>
        </w:rPr>
        <w:lastRenderedPageBreak/>
        <w:t xml:space="preserve">and </w:t>
      </w:r>
      <w:r w:rsidR="005F5583" w:rsidRPr="00AC57EA">
        <w:rPr>
          <w:rFonts w:eastAsiaTheme="minorHAnsi" w:cs="Arial"/>
          <w:sz w:val="20"/>
          <w:szCs w:val="20"/>
          <w:lang w:val="en-US" w:eastAsia="en-US"/>
        </w:rPr>
        <w:t>a total of</w:t>
      </w:r>
      <w:r w:rsidR="0032081D" w:rsidRPr="00AC57EA">
        <w:rPr>
          <w:rFonts w:eastAsiaTheme="minorHAnsi" w:cs="Arial"/>
          <w:sz w:val="20"/>
          <w:szCs w:val="20"/>
          <w:lang w:val="en-US" w:eastAsia="en-US"/>
        </w:rPr>
        <w:t xml:space="preserve"> 5 </w:t>
      </w:r>
      <w:r w:rsidR="005F5583" w:rsidRPr="00AC57EA">
        <w:rPr>
          <w:rFonts w:eastAsiaTheme="minorHAnsi" w:cs="Arial"/>
          <w:sz w:val="20"/>
          <w:szCs w:val="20"/>
          <w:lang w:val="en-US" w:eastAsia="en-US"/>
        </w:rPr>
        <w:t>years, 11 months and 4 days from the</w:t>
      </w:r>
      <w:r w:rsidR="000F4F4C" w:rsidRPr="00AC57EA">
        <w:rPr>
          <w:rFonts w:eastAsiaTheme="minorHAnsi" w:cs="Arial"/>
          <w:sz w:val="20"/>
          <w:szCs w:val="20"/>
          <w:lang w:val="en-US" w:eastAsia="en-US"/>
        </w:rPr>
        <w:t xml:space="preserve"> time of the</w:t>
      </w:r>
      <w:r w:rsidR="005F5583" w:rsidRPr="00AC57EA">
        <w:rPr>
          <w:rFonts w:eastAsiaTheme="minorHAnsi" w:cs="Arial"/>
          <w:sz w:val="20"/>
          <w:szCs w:val="20"/>
          <w:lang w:val="en-US" w:eastAsia="en-US"/>
        </w:rPr>
        <w:t xml:space="preserve"> complaint until the judgment on the appeal for annulment, which meant that the time was unreasonable.</w:t>
      </w:r>
    </w:p>
    <w:p w14:paraId="55BD40BD" w14:textId="77777777" w:rsidR="0032081D" w:rsidRPr="00AC57EA" w:rsidRDefault="0032081D" w:rsidP="0032081D">
      <w:pPr>
        <w:widowControl/>
        <w:autoSpaceDE w:val="0"/>
        <w:autoSpaceDN w:val="0"/>
        <w:spacing w:line="240" w:lineRule="auto"/>
        <w:textAlignment w:val="auto"/>
        <w:rPr>
          <w:rFonts w:eastAsiaTheme="minorHAnsi" w:cs="Arial"/>
          <w:sz w:val="20"/>
          <w:szCs w:val="20"/>
          <w:lang w:val="en-US" w:eastAsia="en-US"/>
        </w:rPr>
      </w:pPr>
    </w:p>
    <w:p w14:paraId="7C10115D" w14:textId="2B344AC3" w:rsidR="00AE00F0" w:rsidRPr="00AC57EA" w:rsidRDefault="00EC52D7" w:rsidP="003309A0">
      <w:pPr>
        <w:widowControl/>
        <w:numPr>
          <w:ilvl w:val="0"/>
          <w:numId w:val="2"/>
        </w:numPr>
        <w:tabs>
          <w:tab w:val="left" w:pos="567"/>
          <w:tab w:val="num" w:pos="12305"/>
        </w:tabs>
        <w:adjustRightInd/>
        <w:spacing w:line="240" w:lineRule="auto"/>
        <w:ind w:left="0" w:firstLine="0"/>
        <w:textAlignment w:val="auto"/>
        <w:rPr>
          <w:rFonts w:eastAsiaTheme="minorHAnsi" w:cs="Arial"/>
          <w:b/>
          <w:sz w:val="16"/>
          <w:szCs w:val="20"/>
          <w:lang w:val="en-US" w:eastAsia="en-US"/>
        </w:rPr>
      </w:pPr>
      <w:r w:rsidRPr="00AC57EA">
        <w:rPr>
          <w:rFonts w:eastAsiaTheme="minorHAnsi" w:cs="Arial"/>
          <w:sz w:val="20"/>
          <w:szCs w:val="20"/>
          <w:lang w:val="en-US" w:eastAsia="en-US"/>
        </w:rPr>
        <w:t xml:space="preserve">The </w:t>
      </w:r>
      <w:r w:rsidRPr="00AC57EA">
        <w:rPr>
          <w:rFonts w:eastAsiaTheme="minorHAnsi" w:cs="Arial"/>
          <w:b/>
          <w:bCs/>
          <w:i/>
          <w:iCs/>
          <w:sz w:val="20"/>
          <w:szCs w:val="20"/>
          <w:lang w:val="en-US" w:eastAsia="en-US"/>
        </w:rPr>
        <w:t>State</w:t>
      </w:r>
      <w:r w:rsidR="003309A0" w:rsidRPr="00AC57EA">
        <w:rPr>
          <w:rFonts w:eastAsiaTheme="minorHAnsi" w:cs="Arial"/>
          <w:sz w:val="20"/>
          <w:szCs w:val="20"/>
          <w:lang w:val="en-US" w:eastAsia="en-US"/>
        </w:rPr>
        <w:t xml:space="preserve"> </w:t>
      </w:r>
      <w:r w:rsidR="00AE00F0" w:rsidRPr="00AC57EA">
        <w:rPr>
          <w:rFonts w:eastAsiaTheme="minorHAnsi"/>
          <w:sz w:val="20"/>
          <w:szCs w:val="20"/>
          <w:lang w:val="en-US" w:eastAsia="en-US"/>
        </w:rPr>
        <w:t>indicated that, in this case, the criminal proceedings consisted of two stages: the preliminary investigation stage, which according to the Code of Criminal Procedure was 10 days if the accused had been detained and 20 days if he had not been detained, and the plenary stage that commenced with the first hearings after the</w:t>
      </w:r>
      <w:r w:rsidR="000F4F4C" w:rsidRPr="00AC57EA">
        <w:rPr>
          <w:rFonts w:eastAsiaTheme="minorHAnsi"/>
          <w:sz w:val="20"/>
          <w:szCs w:val="20"/>
          <w:lang w:val="en-US" w:eastAsia="en-US"/>
        </w:rPr>
        <w:t xml:space="preserve"> identification of the accused and statement of the charges</w:t>
      </w:r>
      <w:r w:rsidR="00AE00F0" w:rsidRPr="00AC57EA">
        <w:rPr>
          <w:rFonts w:eastAsiaTheme="minorHAnsi"/>
          <w:sz w:val="20"/>
          <w:szCs w:val="20"/>
          <w:lang w:val="en-US" w:eastAsia="en-US"/>
        </w:rPr>
        <w:t xml:space="preserve">, and this stage concluded with the final judgment when it was heard by the Jury Court who, based on firm conviction, issued their verdict. According to the State, judgment was delivered in 4 months and 23 days from the filing of the complaint until the verdict of the Jury Court. It considered that this duration was reasonable, bearing in mind the proceedings in force in Nicaragua at the time. In addition, the State affirmed that the Commission had committed an error by extending the duration of the proceedings based on other procedural </w:t>
      </w:r>
      <w:r w:rsidR="008B1FAA" w:rsidRPr="00AC57EA">
        <w:rPr>
          <w:rFonts w:eastAsiaTheme="minorHAnsi"/>
          <w:sz w:val="20"/>
          <w:szCs w:val="20"/>
          <w:lang w:val="en-US" w:eastAsia="en-US"/>
        </w:rPr>
        <w:t>actions</w:t>
      </w:r>
      <w:r w:rsidR="00AE00F0" w:rsidRPr="00AC57EA">
        <w:rPr>
          <w:rFonts w:eastAsiaTheme="minorHAnsi"/>
          <w:sz w:val="20"/>
          <w:szCs w:val="20"/>
          <w:lang w:val="en-US" w:eastAsia="en-US"/>
        </w:rPr>
        <w:t xml:space="preserve"> and situations such as the appeals, procedural issues, and decisions, which revealed </w:t>
      </w:r>
      <w:r w:rsidR="008B1FAA" w:rsidRPr="00AC57EA">
        <w:rPr>
          <w:rFonts w:eastAsiaTheme="minorHAnsi"/>
          <w:sz w:val="20"/>
          <w:szCs w:val="20"/>
          <w:lang w:val="en-US" w:eastAsia="en-US"/>
        </w:rPr>
        <w:t xml:space="preserve">an </w:t>
      </w:r>
      <w:r w:rsidR="00AE00F0" w:rsidRPr="00AC57EA">
        <w:rPr>
          <w:rFonts w:eastAsiaTheme="minorHAnsi"/>
          <w:sz w:val="20"/>
          <w:szCs w:val="20"/>
          <w:lang w:val="en-US" w:eastAsia="en-US"/>
        </w:rPr>
        <w:t>unfamiliarity with</w:t>
      </w:r>
      <w:r w:rsidR="008B1FAA" w:rsidRPr="00AC57EA">
        <w:rPr>
          <w:rFonts w:eastAsiaTheme="minorHAnsi"/>
          <w:sz w:val="20"/>
          <w:szCs w:val="20"/>
          <w:lang w:val="en-US" w:eastAsia="en-US"/>
        </w:rPr>
        <w:t xml:space="preserve"> legal and technical aspects of</w:t>
      </w:r>
      <w:r w:rsidR="00AE00F0" w:rsidRPr="00AC57EA">
        <w:rPr>
          <w:rFonts w:eastAsiaTheme="minorHAnsi"/>
          <w:sz w:val="20"/>
          <w:szCs w:val="20"/>
          <w:lang w:val="en-US" w:eastAsia="en-US"/>
        </w:rPr>
        <w:t xml:space="preserve"> the Nicaraguan procedural system. Regarding the actions of the authorities, the State indicated that the stage of procedural issues and </w:t>
      </w:r>
      <w:r w:rsidR="00F915AB" w:rsidRPr="00AC57EA">
        <w:rPr>
          <w:rFonts w:eastAsiaTheme="minorHAnsi"/>
          <w:sz w:val="20"/>
          <w:szCs w:val="20"/>
          <w:lang w:val="en-US" w:eastAsia="en-US"/>
        </w:rPr>
        <w:t xml:space="preserve">appeals following the final judgment derived from the jury’s verdict lasted 5 years, </w:t>
      </w:r>
      <w:r w:rsidR="008B1FAA" w:rsidRPr="00AC57EA">
        <w:rPr>
          <w:rFonts w:eastAsiaTheme="minorHAnsi"/>
          <w:sz w:val="20"/>
          <w:szCs w:val="20"/>
          <w:lang w:val="en-US" w:eastAsia="en-US"/>
        </w:rPr>
        <w:t>6</w:t>
      </w:r>
      <w:r w:rsidR="00F915AB" w:rsidRPr="00AC57EA">
        <w:rPr>
          <w:rFonts w:eastAsiaTheme="minorHAnsi"/>
          <w:sz w:val="20"/>
          <w:szCs w:val="20"/>
          <w:lang w:val="en-US" w:eastAsia="en-US"/>
        </w:rPr>
        <w:t xml:space="preserve"> months and 10 days, which included a judgment </w:t>
      </w:r>
      <w:r w:rsidR="008B1FAA" w:rsidRPr="00AC57EA">
        <w:rPr>
          <w:rFonts w:eastAsiaTheme="minorHAnsi"/>
          <w:sz w:val="20"/>
          <w:szCs w:val="20"/>
          <w:lang w:val="en-US" w:eastAsia="en-US"/>
        </w:rPr>
        <w:t>of the Supreme Court</w:t>
      </w:r>
      <w:r w:rsidR="00F915AB" w:rsidRPr="00AC57EA">
        <w:rPr>
          <w:rFonts w:eastAsiaTheme="minorHAnsi"/>
          <w:sz w:val="20"/>
          <w:szCs w:val="20"/>
          <w:lang w:val="en-US" w:eastAsia="en-US"/>
        </w:rPr>
        <w:t>, decisions of judicial authorities</w:t>
      </w:r>
      <w:r w:rsidR="008B1FAA" w:rsidRPr="00AC57EA">
        <w:rPr>
          <w:rFonts w:eastAsiaTheme="minorHAnsi"/>
          <w:sz w:val="20"/>
          <w:szCs w:val="20"/>
          <w:lang w:val="en-US" w:eastAsia="en-US"/>
        </w:rPr>
        <w:t>,</w:t>
      </w:r>
      <w:r w:rsidR="00F915AB" w:rsidRPr="00AC57EA">
        <w:rPr>
          <w:rFonts w:eastAsiaTheme="minorHAnsi"/>
          <w:sz w:val="20"/>
          <w:szCs w:val="20"/>
          <w:lang w:val="en-US" w:eastAsia="en-US"/>
        </w:rPr>
        <w:t xml:space="preserve"> and </w:t>
      </w:r>
      <w:r w:rsidR="008B1FAA" w:rsidRPr="00AC57EA">
        <w:rPr>
          <w:rFonts w:eastAsiaTheme="minorHAnsi"/>
          <w:sz w:val="20"/>
          <w:szCs w:val="20"/>
          <w:lang w:val="en-US" w:eastAsia="en-US"/>
        </w:rPr>
        <w:t xml:space="preserve">the </w:t>
      </w:r>
      <w:r w:rsidR="00F915AB" w:rsidRPr="00AC57EA">
        <w:rPr>
          <w:rFonts w:eastAsiaTheme="minorHAnsi"/>
          <w:sz w:val="20"/>
          <w:szCs w:val="20"/>
          <w:lang w:val="en-US" w:eastAsia="en-US"/>
        </w:rPr>
        <w:t xml:space="preserve">procedural activity </w:t>
      </w:r>
      <w:r w:rsidR="008B1FAA" w:rsidRPr="00AC57EA">
        <w:rPr>
          <w:rFonts w:eastAsiaTheme="minorHAnsi"/>
          <w:sz w:val="20"/>
          <w:szCs w:val="20"/>
          <w:lang w:val="en-US" w:eastAsia="en-US"/>
        </w:rPr>
        <w:t>of</w:t>
      </w:r>
      <w:r w:rsidR="00F915AB" w:rsidRPr="00AC57EA">
        <w:rPr>
          <w:rFonts w:eastAsiaTheme="minorHAnsi"/>
          <w:sz w:val="20"/>
          <w:szCs w:val="20"/>
          <w:lang w:val="en-US" w:eastAsia="en-US"/>
        </w:rPr>
        <w:t xml:space="preserve"> the parties.</w:t>
      </w:r>
    </w:p>
    <w:p w14:paraId="5F885B44" w14:textId="77777777" w:rsidR="0032081D" w:rsidRPr="00AC57EA" w:rsidRDefault="0032081D" w:rsidP="0032081D">
      <w:pPr>
        <w:widowControl/>
        <w:adjustRightInd/>
        <w:spacing w:line="240" w:lineRule="auto"/>
        <w:textAlignment w:val="auto"/>
        <w:rPr>
          <w:sz w:val="20"/>
          <w:szCs w:val="20"/>
          <w:lang w:val="en-US" w:eastAsia="en-US"/>
        </w:rPr>
      </w:pPr>
    </w:p>
    <w:p w14:paraId="0D22229D" w14:textId="43D2C733" w:rsidR="0032081D" w:rsidRPr="00AC57EA" w:rsidRDefault="00A32A5E" w:rsidP="00A32A5E">
      <w:pPr>
        <w:keepNext/>
        <w:keepLines/>
        <w:tabs>
          <w:tab w:val="left" w:pos="1701"/>
        </w:tabs>
        <w:spacing w:line="240" w:lineRule="auto"/>
        <w:ind w:left="1134"/>
        <w:outlineLvl w:val="1"/>
        <w:rPr>
          <w:bCs/>
          <w:i/>
          <w:sz w:val="20"/>
          <w:szCs w:val="20"/>
          <w:lang w:val="en-US"/>
        </w:rPr>
      </w:pPr>
      <w:bookmarkStart w:id="134" w:name="_Toc514172647"/>
      <w:r w:rsidRPr="00AC57EA">
        <w:rPr>
          <w:bCs/>
          <w:i/>
          <w:sz w:val="20"/>
          <w:szCs w:val="20"/>
          <w:lang w:val="en-US"/>
        </w:rPr>
        <w:t>C</w:t>
      </w:r>
      <w:r w:rsidR="0032081D" w:rsidRPr="00AC57EA">
        <w:rPr>
          <w:bCs/>
          <w:i/>
          <w:sz w:val="20"/>
          <w:szCs w:val="20"/>
          <w:lang w:val="en-US"/>
        </w:rPr>
        <w:t>.2</w:t>
      </w:r>
      <w:r w:rsidR="0032081D" w:rsidRPr="00AC57EA">
        <w:rPr>
          <w:bCs/>
          <w:i/>
          <w:sz w:val="20"/>
          <w:szCs w:val="20"/>
          <w:lang w:val="en-US"/>
        </w:rPr>
        <w:tab/>
      </w:r>
      <w:r w:rsidR="002223C8" w:rsidRPr="00AC57EA">
        <w:rPr>
          <w:bCs/>
          <w:i/>
          <w:sz w:val="20"/>
          <w:szCs w:val="20"/>
          <w:lang w:val="en-US"/>
        </w:rPr>
        <w:t>Considerations</w:t>
      </w:r>
      <w:r w:rsidR="00B7258C" w:rsidRPr="00AC57EA">
        <w:rPr>
          <w:bCs/>
          <w:i/>
          <w:sz w:val="20"/>
          <w:szCs w:val="20"/>
          <w:lang w:val="en-US"/>
        </w:rPr>
        <w:t xml:space="preserve"> of the Court</w:t>
      </w:r>
      <w:bookmarkEnd w:id="134"/>
    </w:p>
    <w:p w14:paraId="71968B84" w14:textId="77777777" w:rsidR="0032081D" w:rsidRPr="00AC57EA" w:rsidRDefault="0032081D" w:rsidP="00B5625C">
      <w:pPr>
        <w:widowControl/>
        <w:adjustRightInd/>
        <w:spacing w:line="240" w:lineRule="auto"/>
        <w:textAlignment w:val="auto"/>
        <w:rPr>
          <w:sz w:val="20"/>
          <w:szCs w:val="20"/>
          <w:lang w:val="en-US" w:eastAsia="en-US"/>
        </w:rPr>
      </w:pPr>
    </w:p>
    <w:p w14:paraId="377346C8" w14:textId="52CE4C17" w:rsidR="00411EF5" w:rsidRPr="00AC57EA" w:rsidRDefault="00B7258C" w:rsidP="006057B3">
      <w:pPr>
        <w:widowControl/>
        <w:numPr>
          <w:ilvl w:val="0"/>
          <w:numId w:val="2"/>
        </w:numPr>
        <w:tabs>
          <w:tab w:val="left" w:pos="567"/>
          <w:tab w:val="num" w:pos="12305"/>
        </w:tabs>
        <w:adjustRightInd/>
        <w:spacing w:line="240" w:lineRule="auto"/>
        <w:ind w:left="0" w:firstLine="0"/>
        <w:textAlignment w:val="auto"/>
        <w:rPr>
          <w:rFonts w:eastAsia="Batang"/>
          <w:sz w:val="20"/>
          <w:szCs w:val="20"/>
          <w:lang w:val="en-US" w:eastAsia="es-MX"/>
        </w:rPr>
      </w:pPr>
      <w:r w:rsidRPr="00AC57EA">
        <w:rPr>
          <w:rFonts w:eastAsia="Batang" w:cs="Arial"/>
          <w:sz w:val="20"/>
          <w:szCs w:val="20"/>
          <w:lang w:val="en-US" w:eastAsia="es-MX"/>
        </w:rPr>
        <w:t>The Court</w:t>
      </w:r>
      <w:r w:rsidR="00B5625C" w:rsidRPr="00AC57EA">
        <w:rPr>
          <w:rFonts w:eastAsia="Batang" w:cs="Arial"/>
          <w:sz w:val="20"/>
          <w:szCs w:val="20"/>
          <w:lang w:val="en-US" w:eastAsia="es-MX"/>
        </w:rPr>
        <w:t xml:space="preserve"> ha</w:t>
      </w:r>
      <w:r w:rsidR="00B5625C" w:rsidRPr="00AC57EA">
        <w:rPr>
          <w:rFonts w:eastAsia="Batang"/>
          <w:sz w:val="20"/>
          <w:szCs w:val="20"/>
          <w:lang w:val="en-US" w:eastAsia="es-MX"/>
        </w:rPr>
        <w:t>s</w:t>
      </w:r>
      <w:r w:rsidR="006057B3" w:rsidRPr="00AC57EA">
        <w:rPr>
          <w:rFonts w:eastAsia="Batang"/>
          <w:sz w:val="20"/>
          <w:szCs w:val="20"/>
          <w:lang w:val="en-US" w:eastAsia="es-MX"/>
        </w:rPr>
        <w:t xml:space="preserve"> indicated that </w:t>
      </w:r>
      <w:r w:rsidR="002A5974" w:rsidRPr="00AC57EA">
        <w:rPr>
          <w:rFonts w:eastAsia="Batang" w:cs="Arial"/>
          <w:sz w:val="20"/>
          <w:szCs w:val="20"/>
          <w:lang w:val="en-US" w:eastAsia="es-MX"/>
        </w:rPr>
        <w:t>the right of</w:t>
      </w:r>
      <w:r w:rsidR="00B5625C" w:rsidRPr="00AC57EA">
        <w:rPr>
          <w:rFonts w:eastAsia="Batang" w:cs="Arial"/>
          <w:sz w:val="20"/>
          <w:szCs w:val="20"/>
          <w:lang w:val="en-US" w:eastAsia="es-MX"/>
        </w:rPr>
        <w:t xml:space="preserve"> </w:t>
      </w:r>
      <w:r w:rsidR="002A5974" w:rsidRPr="00AC57EA">
        <w:rPr>
          <w:rFonts w:eastAsia="Batang" w:cs="Arial"/>
          <w:sz w:val="20"/>
          <w:szCs w:val="20"/>
          <w:lang w:val="en-US" w:eastAsia="es-MX"/>
        </w:rPr>
        <w:t>access to justice</w:t>
      </w:r>
      <w:r w:rsidR="00B5625C" w:rsidRPr="00AC57EA">
        <w:rPr>
          <w:rFonts w:eastAsia="Batang" w:cs="Arial"/>
          <w:sz w:val="20"/>
          <w:szCs w:val="20"/>
          <w:lang w:val="en-US" w:eastAsia="es-MX"/>
        </w:rPr>
        <w:t xml:space="preserve"> </w:t>
      </w:r>
      <w:r w:rsidR="006057B3" w:rsidRPr="00AC57EA">
        <w:rPr>
          <w:rFonts w:eastAsia="Batang" w:cs="Arial"/>
          <w:sz w:val="20"/>
          <w:szCs w:val="20"/>
          <w:lang w:val="en-US" w:eastAsia="es-MX"/>
        </w:rPr>
        <w:t>means that everything necessary to discover the truth of what happened and to punish those responsible must be done within a</w:t>
      </w:r>
      <w:r w:rsidR="006057B3" w:rsidRPr="00AC57EA">
        <w:rPr>
          <w:rFonts w:eastAsia="Batang"/>
          <w:sz w:val="20"/>
          <w:szCs w:val="20"/>
          <w:lang w:val="en-US" w:eastAsia="es-MX"/>
        </w:rPr>
        <w:t xml:space="preserve"> </w:t>
      </w:r>
      <w:r w:rsidR="009F3BE2" w:rsidRPr="00AC57EA">
        <w:rPr>
          <w:rFonts w:eastAsia="Batang" w:cs="Arial"/>
          <w:sz w:val="20"/>
          <w:szCs w:val="20"/>
          <w:lang w:val="en-US" w:eastAsia="es-MX"/>
        </w:rPr>
        <w:t>reasonable time</w:t>
      </w:r>
      <w:r w:rsidR="006057B3" w:rsidRPr="00AC57EA">
        <w:rPr>
          <w:rFonts w:eastAsia="Batang" w:cs="Arial"/>
          <w:sz w:val="20"/>
          <w:szCs w:val="20"/>
          <w:lang w:val="en-US" w:eastAsia="es-MX"/>
        </w:rPr>
        <w:t>.</w:t>
      </w:r>
      <w:r w:rsidR="00B5625C" w:rsidRPr="00AC57EA">
        <w:rPr>
          <w:rFonts w:eastAsia="Batang" w:cs="Arial"/>
          <w:sz w:val="20"/>
          <w:szCs w:val="20"/>
          <w:vertAlign w:val="superscript"/>
          <w:lang w:val="en-US" w:eastAsia="es-MX"/>
        </w:rPr>
        <w:footnoteReference w:id="367"/>
      </w:r>
      <w:r w:rsidR="00B5625C" w:rsidRPr="00AC57EA">
        <w:rPr>
          <w:rFonts w:eastAsia="Batang"/>
          <w:sz w:val="20"/>
          <w:szCs w:val="20"/>
          <w:lang w:val="en-US" w:eastAsia="es-MX"/>
        </w:rPr>
        <w:t xml:space="preserve"> </w:t>
      </w:r>
      <w:r w:rsidR="006057B3" w:rsidRPr="00AC57EA">
        <w:rPr>
          <w:rFonts w:eastAsia="Batang"/>
          <w:sz w:val="20"/>
          <w:szCs w:val="20"/>
          <w:lang w:val="en-US" w:eastAsia="es-MX"/>
        </w:rPr>
        <w:t xml:space="preserve">The Court considers that the proceedings end when a definitive and final judgment is delivered </w:t>
      </w:r>
      <w:r w:rsidR="008B1FAA" w:rsidRPr="00AC57EA">
        <w:rPr>
          <w:rFonts w:eastAsia="Batang"/>
          <w:sz w:val="20"/>
          <w:szCs w:val="20"/>
          <w:lang w:val="en-US" w:eastAsia="es-MX"/>
        </w:rPr>
        <w:t>that</w:t>
      </w:r>
      <w:r w:rsidR="006057B3" w:rsidRPr="00AC57EA">
        <w:rPr>
          <w:rFonts w:eastAsia="Batang"/>
          <w:sz w:val="20"/>
          <w:szCs w:val="20"/>
          <w:lang w:val="en-US" w:eastAsia="es-MX"/>
        </w:rPr>
        <w:t xml:space="preserve"> exhausts the jurisdiction and that, particularly in criminal matters, th</w:t>
      </w:r>
      <w:r w:rsidR="008B1FAA" w:rsidRPr="00AC57EA">
        <w:rPr>
          <w:rFonts w:eastAsia="Batang"/>
          <w:sz w:val="20"/>
          <w:szCs w:val="20"/>
          <w:lang w:val="en-US" w:eastAsia="es-MX"/>
        </w:rPr>
        <w:t>e reasonable</w:t>
      </w:r>
      <w:r w:rsidR="006057B3" w:rsidRPr="00AC57EA">
        <w:rPr>
          <w:rFonts w:eastAsia="Batang"/>
          <w:sz w:val="20"/>
          <w:szCs w:val="20"/>
          <w:lang w:val="en-US" w:eastAsia="es-MX"/>
        </w:rPr>
        <w:t xml:space="preserve"> time should include the whole proceedings, including any appeals that may be filed.</w:t>
      </w:r>
      <w:r w:rsidR="00B5625C" w:rsidRPr="00AC57EA">
        <w:rPr>
          <w:rFonts w:eastAsiaTheme="minorHAnsi" w:cs="Verdana"/>
          <w:sz w:val="20"/>
          <w:szCs w:val="20"/>
          <w:vertAlign w:val="superscript"/>
          <w:lang w:val="en-US" w:eastAsia="en-US"/>
        </w:rPr>
        <w:footnoteReference w:id="368"/>
      </w:r>
      <w:r w:rsidR="006057B3" w:rsidRPr="00AC57EA">
        <w:rPr>
          <w:rFonts w:eastAsiaTheme="minorHAnsi" w:cs="Tahoma"/>
          <w:sz w:val="20"/>
          <w:szCs w:val="20"/>
          <w:shd w:val="clear" w:color="auto" w:fill="FFFFFF"/>
          <w:lang w:val="en-US" w:eastAsia="en-US"/>
        </w:rPr>
        <w:t xml:space="preserve"> The Court has considered that a prolonged delay may, in itself, constitute a violation of </w:t>
      </w:r>
      <w:r w:rsidR="006057B3" w:rsidRPr="00AC57EA">
        <w:rPr>
          <w:rFonts w:eastAsia="Batang"/>
          <w:sz w:val="20"/>
          <w:szCs w:val="20"/>
          <w:lang w:val="en-US" w:eastAsia="es-MX"/>
        </w:rPr>
        <w:t>judicial guarantees</w:t>
      </w:r>
      <w:r w:rsidR="008B1FAA" w:rsidRPr="00AC57EA">
        <w:rPr>
          <w:rFonts w:eastAsia="Batang"/>
          <w:sz w:val="20"/>
          <w:szCs w:val="20"/>
          <w:lang w:val="en-US" w:eastAsia="es-MX"/>
        </w:rPr>
        <w:t>.</w:t>
      </w:r>
      <w:r w:rsidR="00B5625C" w:rsidRPr="00AC57EA">
        <w:rPr>
          <w:rFonts w:eastAsia="Batang" w:cs="Verdana"/>
          <w:sz w:val="20"/>
          <w:szCs w:val="20"/>
          <w:vertAlign w:val="superscript"/>
          <w:lang w:val="en-US" w:eastAsia="es-MX"/>
        </w:rPr>
        <w:footnoteReference w:id="369"/>
      </w:r>
    </w:p>
    <w:p w14:paraId="5C6F3C00" w14:textId="77777777" w:rsidR="00411EF5" w:rsidRPr="00AC57EA" w:rsidRDefault="00B5625C" w:rsidP="00DF3D71">
      <w:pPr>
        <w:widowControl/>
        <w:tabs>
          <w:tab w:val="left" w:pos="567"/>
        </w:tabs>
        <w:adjustRightInd/>
        <w:spacing w:line="240" w:lineRule="auto"/>
        <w:textAlignment w:val="auto"/>
        <w:rPr>
          <w:rFonts w:eastAsia="Batang"/>
          <w:sz w:val="20"/>
          <w:szCs w:val="20"/>
          <w:lang w:val="en-US" w:eastAsia="es-MX"/>
        </w:rPr>
      </w:pPr>
      <w:r w:rsidRPr="00AC57EA">
        <w:rPr>
          <w:rFonts w:eastAsia="Batang"/>
          <w:sz w:val="20"/>
          <w:szCs w:val="20"/>
          <w:lang w:val="en-US" w:eastAsia="es-MX"/>
        </w:rPr>
        <w:t xml:space="preserve"> </w:t>
      </w:r>
    </w:p>
    <w:p w14:paraId="325DA192" w14:textId="76AC3940" w:rsidR="00411EF5" w:rsidRPr="00AC57EA" w:rsidRDefault="006057B3" w:rsidP="00DF3D71">
      <w:pPr>
        <w:widowControl/>
        <w:numPr>
          <w:ilvl w:val="0"/>
          <w:numId w:val="2"/>
        </w:numPr>
        <w:tabs>
          <w:tab w:val="left" w:pos="567"/>
          <w:tab w:val="num" w:pos="12305"/>
        </w:tabs>
        <w:adjustRightInd/>
        <w:spacing w:line="240" w:lineRule="auto"/>
        <w:ind w:left="0" w:firstLine="0"/>
        <w:textAlignment w:val="auto"/>
        <w:rPr>
          <w:rFonts w:eastAsiaTheme="minorHAnsi"/>
          <w:sz w:val="20"/>
          <w:szCs w:val="20"/>
          <w:lang w:val="en-US"/>
        </w:rPr>
      </w:pPr>
      <w:r w:rsidRPr="00AC57EA">
        <w:rPr>
          <w:sz w:val="20"/>
          <w:szCs w:val="20"/>
          <w:lang w:val="en-US"/>
        </w:rPr>
        <w:t xml:space="preserve">Even though it is true that, in order to analyze the </w:t>
      </w:r>
      <w:r w:rsidR="009F3BE2" w:rsidRPr="00AC57EA">
        <w:rPr>
          <w:sz w:val="20"/>
          <w:szCs w:val="20"/>
          <w:lang w:val="en-US"/>
        </w:rPr>
        <w:t>reasonable time</w:t>
      </w:r>
      <w:r w:rsidR="008B1FAA" w:rsidRPr="00AC57EA">
        <w:rPr>
          <w:sz w:val="20"/>
          <w:szCs w:val="20"/>
          <w:lang w:val="en-US"/>
        </w:rPr>
        <w:t xml:space="preserve">, </w:t>
      </w:r>
      <w:r w:rsidRPr="00AC57EA">
        <w:rPr>
          <w:sz w:val="20"/>
          <w:szCs w:val="20"/>
          <w:lang w:val="en-US"/>
        </w:rPr>
        <w:t xml:space="preserve">the Court must </w:t>
      </w:r>
      <w:r w:rsidR="008B1FAA" w:rsidRPr="00AC57EA">
        <w:rPr>
          <w:sz w:val="20"/>
          <w:szCs w:val="20"/>
          <w:lang w:val="en-US"/>
        </w:rPr>
        <w:t xml:space="preserve">generally </w:t>
      </w:r>
      <w:r w:rsidRPr="00AC57EA">
        <w:rPr>
          <w:sz w:val="20"/>
          <w:szCs w:val="20"/>
          <w:lang w:val="en-US"/>
        </w:rPr>
        <w:t xml:space="preserve">consider the </w:t>
      </w:r>
      <w:r w:rsidR="008B1FAA" w:rsidRPr="00AC57EA">
        <w:rPr>
          <w:sz w:val="20"/>
          <w:szCs w:val="20"/>
          <w:lang w:val="en-US"/>
        </w:rPr>
        <w:t>overal</w:t>
      </w:r>
      <w:r w:rsidRPr="00AC57EA">
        <w:rPr>
          <w:sz w:val="20"/>
          <w:szCs w:val="20"/>
          <w:lang w:val="en-US"/>
        </w:rPr>
        <w:t>l duration of the proceedings until the final judgment is delivered,</w:t>
      </w:r>
      <w:r w:rsidR="00411EF5" w:rsidRPr="00AC57EA">
        <w:rPr>
          <w:sz w:val="20"/>
          <w:szCs w:val="20"/>
          <w:vertAlign w:val="superscript"/>
          <w:lang w:val="en-US"/>
        </w:rPr>
        <w:footnoteReference w:id="370"/>
      </w:r>
      <w:r w:rsidRPr="00AC57EA">
        <w:rPr>
          <w:sz w:val="20"/>
          <w:szCs w:val="20"/>
          <w:lang w:val="en-US"/>
        </w:rPr>
        <w:t xml:space="preserve"> in certain special situations</w:t>
      </w:r>
      <w:r w:rsidR="00411EF5" w:rsidRPr="00AC57EA">
        <w:rPr>
          <w:sz w:val="20"/>
          <w:szCs w:val="20"/>
          <w:lang w:val="en-US"/>
        </w:rPr>
        <w:t xml:space="preserve"> </w:t>
      </w:r>
      <w:r w:rsidRPr="00AC57EA">
        <w:rPr>
          <w:sz w:val="20"/>
          <w:szCs w:val="20"/>
          <w:lang w:val="en-US"/>
        </w:rPr>
        <w:t>it may be pertinent to make a specific assessment of the different stages.</w:t>
      </w:r>
      <w:r w:rsidR="00411EF5" w:rsidRPr="00AC57EA">
        <w:rPr>
          <w:rStyle w:val="Refdenotaalpie"/>
          <w:sz w:val="20"/>
          <w:szCs w:val="20"/>
          <w:lang w:val="en-US"/>
        </w:rPr>
        <w:footnoteReference w:id="371"/>
      </w:r>
    </w:p>
    <w:p w14:paraId="4D0C2226" w14:textId="77777777" w:rsidR="00411EF5" w:rsidRPr="00AC57EA" w:rsidRDefault="00411EF5" w:rsidP="00DF3D71">
      <w:pPr>
        <w:pStyle w:val="Prrafodelista"/>
        <w:spacing w:line="240" w:lineRule="auto"/>
        <w:rPr>
          <w:rFonts w:eastAsia="Batang"/>
          <w:sz w:val="20"/>
          <w:szCs w:val="20"/>
          <w:lang w:val="en-US" w:eastAsia="es-MX"/>
        </w:rPr>
      </w:pPr>
    </w:p>
    <w:p w14:paraId="6586E9EA" w14:textId="69D4F819" w:rsidR="00B5625C" w:rsidRPr="00AC57EA" w:rsidRDefault="006057B3" w:rsidP="006057B3">
      <w:pPr>
        <w:widowControl/>
        <w:numPr>
          <w:ilvl w:val="0"/>
          <w:numId w:val="2"/>
        </w:numPr>
        <w:tabs>
          <w:tab w:val="left" w:pos="567"/>
          <w:tab w:val="num" w:pos="12305"/>
        </w:tabs>
        <w:adjustRightInd/>
        <w:spacing w:line="240" w:lineRule="auto"/>
        <w:ind w:left="0" w:firstLine="0"/>
        <w:textAlignment w:val="auto"/>
        <w:rPr>
          <w:rFonts w:eastAsia="Batang"/>
          <w:sz w:val="20"/>
          <w:szCs w:val="20"/>
          <w:lang w:val="en-US" w:eastAsia="es-MX"/>
        </w:rPr>
      </w:pPr>
      <w:r w:rsidRPr="00AC57EA">
        <w:rPr>
          <w:rFonts w:eastAsia="Batang"/>
          <w:sz w:val="20"/>
          <w:szCs w:val="20"/>
          <w:lang w:val="en-US" w:eastAsia="es-MX"/>
        </w:rPr>
        <w:t>In this regard</w:t>
      </w:r>
      <w:r w:rsidR="00B5625C" w:rsidRPr="00AC57EA">
        <w:rPr>
          <w:rFonts w:eastAsia="Batang"/>
          <w:sz w:val="20"/>
          <w:szCs w:val="20"/>
          <w:lang w:val="en-US" w:eastAsia="es-MX"/>
        </w:rPr>
        <w:t xml:space="preserve">, </w:t>
      </w:r>
      <w:r w:rsidR="00B7258C" w:rsidRPr="00AC57EA">
        <w:rPr>
          <w:rFonts w:eastAsia="Batang"/>
          <w:sz w:val="20"/>
          <w:szCs w:val="20"/>
          <w:lang w:val="en-US" w:eastAsia="es-MX"/>
        </w:rPr>
        <w:t>the Court</w:t>
      </w:r>
      <w:r w:rsidR="00B5625C" w:rsidRPr="00AC57EA">
        <w:rPr>
          <w:rFonts w:eastAsia="Batang"/>
          <w:sz w:val="20"/>
          <w:szCs w:val="20"/>
          <w:lang w:val="en-US" w:eastAsia="es-MX"/>
        </w:rPr>
        <w:t xml:space="preserve"> not</w:t>
      </w:r>
      <w:r w:rsidRPr="00AC57EA">
        <w:rPr>
          <w:rFonts w:eastAsia="Batang"/>
          <w:sz w:val="20"/>
          <w:szCs w:val="20"/>
          <w:lang w:val="en-US" w:eastAsia="es-MX"/>
        </w:rPr>
        <w:t>es that there is no dispute between the parties regarding the duration of the proceedings from the criminal complaint until the acquittal by the Jury Court. The dispute is based on the time that passed during the appeals stage of the case. In this regard, the Court notes that</w:t>
      </w:r>
      <w:r w:rsidR="008B1FAA" w:rsidRPr="00AC57EA">
        <w:rPr>
          <w:rFonts w:eastAsia="Batang"/>
          <w:sz w:val="20"/>
          <w:szCs w:val="20"/>
          <w:lang w:val="en-US" w:eastAsia="es-MX"/>
        </w:rPr>
        <w:t xml:space="preserve"> the appeals stage lasted</w:t>
      </w:r>
      <w:r w:rsidRPr="00AC57EA">
        <w:rPr>
          <w:rFonts w:eastAsia="Batang"/>
          <w:sz w:val="20"/>
          <w:szCs w:val="20"/>
          <w:lang w:val="en-US" w:eastAsia="es-MX"/>
        </w:rPr>
        <w:t xml:space="preserve"> five years, six months and eleven days</w:t>
      </w:r>
      <w:r w:rsidR="00C02254" w:rsidRPr="00AC57EA">
        <w:rPr>
          <w:rFonts w:eastAsia="Batang"/>
          <w:sz w:val="20"/>
          <w:szCs w:val="20"/>
          <w:lang w:val="en-US" w:eastAsia="es-MX"/>
        </w:rPr>
        <w:t>, from the acquittal</w:t>
      </w:r>
      <w:r w:rsidR="00B5625C" w:rsidRPr="00AC57EA">
        <w:rPr>
          <w:rFonts w:eastAsia="Batang"/>
          <w:sz w:val="20"/>
          <w:szCs w:val="20"/>
          <w:lang w:val="en-US" w:eastAsia="es-MX"/>
        </w:rPr>
        <w:t xml:space="preserve"> (</w:t>
      </w:r>
      <w:r w:rsidR="00C02254" w:rsidRPr="00AC57EA">
        <w:rPr>
          <w:rFonts w:eastAsia="Batang"/>
          <w:sz w:val="20"/>
          <w:szCs w:val="20"/>
          <w:lang w:val="en-US" w:eastAsia="es-MX"/>
        </w:rPr>
        <w:t>April 13,</w:t>
      </w:r>
      <w:r w:rsidR="00B5625C" w:rsidRPr="00AC57EA">
        <w:rPr>
          <w:rFonts w:eastAsia="Batang"/>
          <w:sz w:val="20"/>
          <w:szCs w:val="20"/>
          <w:lang w:val="en-US" w:eastAsia="es-MX"/>
        </w:rPr>
        <w:t xml:space="preserve"> 2002) </w:t>
      </w:r>
      <w:r w:rsidR="00C02254" w:rsidRPr="00AC57EA">
        <w:rPr>
          <w:rFonts w:eastAsia="Batang"/>
          <w:sz w:val="20"/>
          <w:szCs w:val="20"/>
          <w:lang w:val="en-US" w:eastAsia="es-MX"/>
        </w:rPr>
        <w:t>until th</w:t>
      </w:r>
      <w:r w:rsidR="008B1FAA" w:rsidRPr="00AC57EA">
        <w:rPr>
          <w:rFonts w:eastAsia="Batang"/>
          <w:sz w:val="20"/>
          <w:szCs w:val="20"/>
          <w:lang w:val="en-US" w:eastAsia="es-MX"/>
        </w:rPr>
        <w:t>at</w:t>
      </w:r>
      <w:r w:rsidR="00C02254" w:rsidRPr="00AC57EA">
        <w:rPr>
          <w:rFonts w:eastAsia="Batang"/>
          <w:sz w:val="20"/>
          <w:szCs w:val="20"/>
          <w:lang w:val="en-US" w:eastAsia="es-MX"/>
        </w:rPr>
        <w:t xml:space="preserve"> decision was final</w:t>
      </w:r>
      <w:r w:rsidR="00B5625C" w:rsidRPr="00AC57EA">
        <w:rPr>
          <w:rFonts w:eastAsia="Batang"/>
          <w:sz w:val="20"/>
          <w:szCs w:val="20"/>
          <w:lang w:val="en-US" w:eastAsia="es-MX"/>
        </w:rPr>
        <w:t xml:space="preserve"> (</w:t>
      </w:r>
      <w:r w:rsidR="003A32C1" w:rsidRPr="00AC57EA">
        <w:rPr>
          <w:rFonts w:eastAsia="Batang"/>
          <w:sz w:val="20"/>
          <w:szCs w:val="20"/>
          <w:lang w:val="en-US" w:eastAsia="es-MX"/>
        </w:rPr>
        <w:t>October 24,</w:t>
      </w:r>
      <w:r w:rsidR="00B5625C" w:rsidRPr="00AC57EA">
        <w:rPr>
          <w:rFonts w:eastAsia="Batang"/>
          <w:sz w:val="20"/>
          <w:szCs w:val="20"/>
          <w:lang w:val="en-US" w:eastAsia="es-MX"/>
        </w:rPr>
        <w:t xml:space="preserve"> 2007). </w:t>
      </w:r>
      <w:r w:rsidR="00C02254" w:rsidRPr="00AC57EA">
        <w:rPr>
          <w:rFonts w:eastAsia="Batang"/>
          <w:sz w:val="20"/>
          <w:szCs w:val="20"/>
          <w:lang w:val="en-US" w:eastAsia="es-MX"/>
        </w:rPr>
        <w:t xml:space="preserve">Therefore, it must examine whether </w:t>
      </w:r>
      <w:r w:rsidR="008B1FAA" w:rsidRPr="00AC57EA">
        <w:rPr>
          <w:rFonts w:eastAsia="Batang"/>
          <w:sz w:val="20"/>
          <w:szCs w:val="20"/>
          <w:lang w:val="en-US" w:eastAsia="es-MX"/>
        </w:rPr>
        <w:t>this delay</w:t>
      </w:r>
      <w:r w:rsidR="00C02254" w:rsidRPr="00AC57EA">
        <w:rPr>
          <w:rFonts w:eastAsia="Batang"/>
          <w:sz w:val="20"/>
          <w:szCs w:val="20"/>
          <w:lang w:val="en-US" w:eastAsia="es-MX"/>
        </w:rPr>
        <w:t xml:space="preserve"> was justified</w:t>
      </w:r>
      <w:r w:rsidR="006C5AD8" w:rsidRPr="00AC57EA">
        <w:rPr>
          <w:rFonts w:eastAsia="Batang"/>
          <w:sz w:val="20"/>
          <w:szCs w:val="20"/>
          <w:lang w:val="en-US" w:eastAsia="es-MX"/>
        </w:rPr>
        <w:t>.</w:t>
      </w:r>
    </w:p>
    <w:p w14:paraId="03C8953F" w14:textId="77777777" w:rsidR="00B5625C" w:rsidRPr="00AC57EA" w:rsidRDefault="00B5625C" w:rsidP="00B5625C">
      <w:pPr>
        <w:widowControl/>
        <w:tabs>
          <w:tab w:val="left" w:pos="-142"/>
        </w:tabs>
        <w:adjustRightInd/>
        <w:spacing w:line="240" w:lineRule="auto"/>
        <w:textAlignment w:val="auto"/>
        <w:rPr>
          <w:rFonts w:eastAsia="Calibri" w:cs="Calibri"/>
          <w:sz w:val="20"/>
          <w:szCs w:val="20"/>
          <w:lang w:val="en-US" w:eastAsia="es-MX"/>
        </w:rPr>
      </w:pPr>
    </w:p>
    <w:p w14:paraId="41124031" w14:textId="3BCF1E6B" w:rsidR="00F11668" w:rsidRPr="00AC57EA" w:rsidRDefault="00054DB6" w:rsidP="003B7F74">
      <w:pPr>
        <w:widowControl/>
        <w:numPr>
          <w:ilvl w:val="0"/>
          <w:numId w:val="2"/>
        </w:numPr>
        <w:tabs>
          <w:tab w:val="left" w:pos="567"/>
          <w:tab w:val="num" w:pos="12305"/>
        </w:tabs>
        <w:adjustRightInd/>
        <w:spacing w:line="240" w:lineRule="auto"/>
        <w:ind w:left="0" w:firstLine="0"/>
        <w:textAlignment w:val="auto"/>
        <w:rPr>
          <w:rFonts w:eastAsia="Batang"/>
          <w:sz w:val="20"/>
          <w:szCs w:val="20"/>
          <w:lang w:val="en-US" w:eastAsia="es-MX"/>
        </w:rPr>
      </w:pPr>
      <w:r w:rsidRPr="00AC57EA">
        <w:rPr>
          <w:rFonts w:eastAsia="Batang"/>
          <w:sz w:val="20"/>
          <w:szCs w:val="20"/>
          <w:lang w:val="en-US" w:eastAsia="es-MX"/>
        </w:rPr>
        <w:t>The elements that</w:t>
      </w:r>
      <w:r w:rsidR="003B7F74" w:rsidRPr="00AC57EA">
        <w:rPr>
          <w:rFonts w:eastAsia="Batang"/>
          <w:sz w:val="20"/>
          <w:szCs w:val="20"/>
          <w:lang w:val="en-US" w:eastAsia="es-MX"/>
        </w:rPr>
        <w:t xml:space="preserve"> this Court has established in order to determine whether the time is reasonable are: (a) the complexity of the matter; (b) the procedural activity of the interested party; (c) the conduct of the judicial authorities, and (d) the effects on the legal situation of the person involved in the proceedings.</w:t>
      </w:r>
      <w:r w:rsidR="003B7F74" w:rsidRPr="00AC57EA">
        <w:rPr>
          <w:rFonts w:eastAsia="Batang" w:cs="Verdana"/>
          <w:sz w:val="20"/>
          <w:szCs w:val="20"/>
          <w:vertAlign w:val="superscript"/>
          <w:lang w:val="en-US" w:eastAsia="es-MX"/>
        </w:rPr>
        <w:footnoteReference w:id="372"/>
      </w:r>
      <w:r w:rsidR="003B7F74" w:rsidRPr="00AC57EA">
        <w:rPr>
          <w:rFonts w:eastAsia="Batang"/>
          <w:sz w:val="20"/>
          <w:szCs w:val="20"/>
          <w:lang w:val="en-US" w:eastAsia="es-MX"/>
        </w:rPr>
        <w:t xml:space="preserve"> The Court recalls that it is the State that must justify, based on those criteria, the reason why it has required the time that has passed in order to process the case and, if it does not do so, the Court has broad attributes to reach its own conclusions in this regard.</w:t>
      </w:r>
      <w:r w:rsidR="003B7F74" w:rsidRPr="00AC57EA">
        <w:rPr>
          <w:rFonts w:eastAsia="Batang" w:cs="Verdana"/>
          <w:sz w:val="20"/>
          <w:szCs w:val="20"/>
          <w:vertAlign w:val="superscript"/>
          <w:lang w:val="en-US" w:eastAsia="es-MX"/>
        </w:rPr>
        <w:footnoteReference w:id="373"/>
      </w:r>
      <w:r w:rsidR="003B7F74" w:rsidRPr="00AC57EA">
        <w:rPr>
          <w:rFonts w:eastAsia="Batang"/>
          <w:sz w:val="20"/>
          <w:szCs w:val="20"/>
          <w:lang w:val="en-US" w:eastAsia="es-MX"/>
        </w:rPr>
        <w:t xml:space="preserve"> The Court also finds it relevant to note that the criminal proceedings involved a child victim of sexual violence and, therefore, this </w:t>
      </w:r>
      <w:r w:rsidR="007B67CC" w:rsidRPr="00AC57EA">
        <w:rPr>
          <w:rFonts w:eastAsia="Batang"/>
          <w:sz w:val="20"/>
          <w:szCs w:val="20"/>
          <w:lang w:val="en-US" w:eastAsia="es-MX"/>
        </w:rPr>
        <w:t>requires</w:t>
      </w:r>
      <w:r w:rsidR="003B7F74" w:rsidRPr="00AC57EA">
        <w:rPr>
          <w:rFonts w:eastAsia="Batang"/>
          <w:sz w:val="20"/>
          <w:szCs w:val="20"/>
          <w:lang w:val="en-US" w:eastAsia="es-MX"/>
        </w:rPr>
        <w:t xml:space="preserve"> the guarantee of </w:t>
      </w:r>
      <w:r w:rsidR="009F3BE2" w:rsidRPr="00AC57EA">
        <w:rPr>
          <w:rFonts w:eastAsia="Batang"/>
          <w:sz w:val="20"/>
          <w:szCs w:val="20"/>
          <w:lang w:val="en-US" w:eastAsia="es-MX"/>
        </w:rPr>
        <w:t>reasonable time</w:t>
      </w:r>
      <w:r w:rsidR="00F11668" w:rsidRPr="00AC57EA">
        <w:rPr>
          <w:rFonts w:eastAsia="Batang"/>
          <w:sz w:val="20"/>
          <w:szCs w:val="20"/>
          <w:lang w:val="en-US" w:eastAsia="es-MX"/>
        </w:rPr>
        <w:t xml:space="preserve"> </w:t>
      </w:r>
      <w:r w:rsidR="002A5974" w:rsidRPr="00AC57EA">
        <w:rPr>
          <w:rFonts w:eastAsia="Batang"/>
          <w:sz w:val="20"/>
          <w:szCs w:val="20"/>
          <w:lang w:val="en-US" w:eastAsia="es-MX"/>
        </w:rPr>
        <w:t>established in</w:t>
      </w:r>
      <w:r w:rsidR="00F11668" w:rsidRPr="00AC57EA">
        <w:rPr>
          <w:rFonts w:eastAsia="Batang"/>
          <w:sz w:val="20"/>
          <w:szCs w:val="20"/>
          <w:lang w:val="en-US" w:eastAsia="es-MX"/>
        </w:rPr>
        <w:t xml:space="preserve"> </w:t>
      </w:r>
      <w:r w:rsidR="00B7258C" w:rsidRPr="00AC57EA">
        <w:rPr>
          <w:rFonts w:eastAsia="Batang"/>
          <w:sz w:val="20"/>
          <w:szCs w:val="20"/>
          <w:lang w:val="en-US" w:eastAsia="es-MX"/>
        </w:rPr>
        <w:t>Article</w:t>
      </w:r>
      <w:r w:rsidR="00F11668" w:rsidRPr="00AC57EA">
        <w:rPr>
          <w:rFonts w:eastAsia="Batang"/>
          <w:sz w:val="20"/>
          <w:szCs w:val="20"/>
          <w:lang w:val="en-US" w:eastAsia="es-MX"/>
        </w:rPr>
        <w:t xml:space="preserve"> </w:t>
      </w:r>
      <w:r w:rsidR="00171E27" w:rsidRPr="00AC57EA">
        <w:rPr>
          <w:rFonts w:eastAsia="Batang"/>
          <w:sz w:val="20"/>
          <w:szCs w:val="20"/>
          <w:lang w:val="en-US" w:eastAsia="es-MX"/>
        </w:rPr>
        <w:t>8(1)</w:t>
      </w:r>
      <w:r w:rsidR="00B7258C" w:rsidRPr="00AC57EA">
        <w:rPr>
          <w:rFonts w:eastAsia="Batang"/>
          <w:sz w:val="20"/>
          <w:szCs w:val="20"/>
          <w:lang w:val="en-US" w:eastAsia="es-MX"/>
        </w:rPr>
        <w:t xml:space="preserve"> of the American Convention</w:t>
      </w:r>
      <w:r w:rsidR="00F11668" w:rsidRPr="00AC57EA">
        <w:rPr>
          <w:rFonts w:eastAsia="Batang"/>
          <w:sz w:val="20"/>
          <w:szCs w:val="20"/>
          <w:lang w:val="en-US" w:eastAsia="es-MX"/>
        </w:rPr>
        <w:t xml:space="preserve"> </w:t>
      </w:r>
      <w:r w:rsidR="003B7F74" w:rsidRPr="00AC57EA">
        <w:rPr>
          <w:rFonts w:eastAsia="Batang"/>
          <w:sz w:val="20"/>
          <w:szCs w:val="20"/>
          <w:lang w:val="en-US" w:eastAsia="es-MX"/>
        </w:rPr>
        <w:t xml:space="preserve">to be examined together with the State’s duty to act “without delay” and with due diligence to investigate and punish the violence against the child, established in </w:t>
      </w:r>
      <w:r w:rsidR="00B7258C" w:rsidRPr="00AC57EA">
        <w:rPr>
          <w:rFonts w:eastAsia="Batang"/>
          <w:sz w:val="20"/>
          <w:szCs w:val="20"/>
          <w:lang w:val="en-US" w:eastAsia="es-MX"/>
        </w:rPr>
        <w:t>Article</w:t>
      </w:r>
      <w:r w:rsidR="00F11668" w:rsidRPr="00AC57EA">
        <w:rPr>
          <w:rFonts w:eastAsia="Batang"/>
          <w:sz w:val="20"/>
          <w:szCs w:val="20"/>
          <w:lang w:val="en-US" w:eastAsia="es-MX"/>
        </w:rPr>
        <w:t xml:space="preserve"> </w:t>
      </w:r>
      <w:r w:rsidR="007D5AA2" w:rsidRPr="00AC57EA">
        <w:rPr>
          <w:rFonts w:eastAsia="Batang"/>
          <w:sz w:val="20"/>
          <w:szCs w:val="20"/>
          <w:lang w:val="en-US" w:eastAsia="es-MX"/>
        </w:rPr>
        <w:t>7(b)</w:t>
      </w:r>
      <w:r w:rsidR="00B7258C" w:rsidRPr="00AC57EA">
        <w:rPr>
          <w:rFonts w:eastAsia="Batang"/>
          <w:sz w:val="20"/>
          <w:szCs w:val="20"/>
          <w:lang w:val="en-US" w:eastAsia="es-MX"/>
        </w:rPr>
        <w:t xml:space="preserve"> of the </w:t>
      </w:r>
      <w:r w:rsidR="00171E27" w:rsidRPr="00AC57EA">
        <w:rPr>
          <w:rFonts w:eastAsia="Batang"/>
          <w:sz w:val="20"/>
          <w:szCs w:val="20"/>
          <w:lang w:val="en-US" w:eastAsia="es-MX"/>
        </w:rPr>
        <w:t>Convention of Belém</w:t>
      </w:r>
      <w:r w:rsidR="002826C3" w:rsidRPr="00AC57EA">
        <w:rPr>
          <w:rFonts w:eastAsia="Batang"/>
          <w:sz w:val="20"/>
          <w:szCs w:val="20"/>
          <w:lang w:val="en-US" w:eastAsia="es-MX"/>
        </w:rPr>
        <w:t xml:space="preserve"> do Pará</w:t>
      </w:r>
      <w:r w:rsidR="00F11668" w:rsidRPr="00AC57EA">
        <w:rPr>
          <w:rFonts w:eastAsia="Batang"/>
          <w:sz w:val="20"/>
          <w:szCs w:val="20"/>
          <w:lang w:val="en-US" w:eastAsia="es-MX"/>
        </w:rPr>
        <w:t>.</w:t>
      </w:r>
    </w:p>
    <w:p w14:paraId="74357B61" w14:textId="77777777" w:rsidR="00B5625C" w:rsidRPr="00AC57EA" w:rsidRDefault="00B5625C" w:rsidP="00B5625C">
      <w:pPr>
        <w:widowControl/>
        <w:tabs>
          <w:tab w:val="left" w:pos="-142"/>
        </w:tabs>
        <w:adjustRightInd/>
        <w:spacing w:line="240" w:lineRule="auto"/>
        <w:textAlignment w:val="auto"/>
        <w:rPr>
          <w:rFonts w:eastAsia="Calibri" w:cs="Calibri"/>
          <w:sz w:val="20"/>
          <w:szCs w:val="20"/>
          <w:lang w:val="en-US" w:eastAsia="es-MX"/>
        </w:rPr>
      </w:pPr>
    </w:p>
    <w:p w14:paraId="42CB2170" w14:textId="6BCA9B35" w:rsidR="00B5625C" w:rsidRPr="00AC57EA" w:rsidRDefault="003B7F74" w:rsidP="003B7F74">
      <w:pPr>
        <w:widowControl/>
        <w:numPr>
          <w:ilvl w:val="0"/>
          <w:numId w:val="2"/>
        </w:numPr>
        <w:tabs>
          <w:tab w:val="left" w:pos="567"/>
          <w:tab w:val="num" w:pos="12305"/>
        </w:tabs>
        <w:adjustRightInd/>
        <w:spacing w:line="240" w:lineRule="auto"/>
        <w:ind w:left="0" w:firstLine="0"/>
        <w:textAlignment w:val="auto"/>
        <w:rPr>
          <w:rFonts w:eastAsia="Batang"/>
          <w:sz w:val="20"/>
          <w:szCs w:val="20"/>
          <w:lang w:val="en-US" w:eastAsia="es-MX"/>
        </w:rPr>
      </w:pPr>
      <w:r w:rsidRPr="00AC57EA">
        <w:rPr>
          <w:rFonts w:eastAsia="Batang"/>
          <w:sz w:val="20"/>
          <w:szCs w:val="20"/>
          <w:lang w:val="en-US" w:eastAsia="es-MX"/>
        </w:rPr>
        <w:t xml:space="preserve">This Court has taken different factors into account to determine the </w:t>
      </w:r>
      <w:r w:rsidRPr="00AC57EA">
        <w:rPr>
          <w:rFonts w:eastAsia="Batang"/>
          <w:i/>
          <w:iCs/>
          <w:sz w:val="20"/>
          <w:szCs w:val="20"/>
          <w:lang w:val="en-US" w:eastAsia="es-MX"/>
        </w:rPr>
        <w:t>complexity of the matter</w:t>
      </w:r>
      <w:r w:rsidRPr="00AC57EA">
        <w:rPr>
          <w:rFonts w:eastAsia="Batang"/>
          <w:sz w:val="20"/>
          <w:szCs w:val="20"/>
          <w:lang w:val="en-US" w:eastAsia="es-MX"/>
        </w:rPr>
        <w:t>, such as the complexity of the evidence, the plurality of procedural subjects or the number of victims, the time that has passed since the violation, and the context in which this occurred.</w:t>
      </w:r>
      <w:r w:rsidRPr="00AC57EA">
        <w:rPr>
          <w:rFonts w:eastAsia="Batang" w:cs="Verdana"/>
          <w:sz w:val="20"/>
          <w:szCs w:val="20"/>
          <w:vertAlign w:val="superscript"/>
          <w:lang w:val="en-US" w:eastAsia="es-MX"/>
        </w:rPr>
        <w:footnoteReference w:id="374"/>
      </w:r>
      <w:r w:rsidRPr="00AC57EA">
        <w:rPr>
          <w:rFonts w:eastAsia="Batang"/>
          <w:sz w:val="20"/>
          <w:szCs w:val="20"/>
          <w:lang w:val="en-US" w:eastAsia="es-MX"/>
        </w:rPr>
        <w:t xml:space="preserve"> The Court notes that, in this case, there </w:t>
      </w:r>
      <w:r w:rsidR="00727E43" w:rsidRPr="00AC57EA">
        <w:rPr>
          <w:rFonts w:eastAsia="Batang"/>
          <w:sz w:val="20"/>
          <w:szCs w:val="20"/>
          <w:lang w:val="en-US" w:eastAsia="es-MX"/>
        </w:rPr>
        <w:t>was</w:t>
      </w:r>
      <w:r w:rsidRPr="00AC57EA">
        <w:rPr>
          <w:rFonts w:eastAsia="Batang"/>
          <w:sz w:val="20"/>
          <w:szCs w:val="20"/>
          <w:lang w:val="en-US" w:eastAsia="es-MX"/>
        </w:rPr>
        <w:t xml:space="preserve"> only one victim of the act to be investigated and that </w:t>
      </w:r>
      <w:r w:rsidR="00727E43" w:rsidRPr="00AC57EA">
        <w:rPr>
          <w:rFonts w:eastAsia="Batang"/>
          <w:sz w:val="20"/>
          <w:szCs w:val="20"/>
          <w:lang w:val="en-US" w:eastAsia="es-MX"/>
        </w:rPr>
        <w:t>there was only one perpetrator. In addition, during the criminal proceedings, various procedures were conducted over a short period of time, including the victim’s statement, the statement of the accused, witness statements, medical examinations, and the v</w:t>
      </w:r>
      <w:r w:rsidR="00986A34" w:rsidRPr="00AC57EA">
        <w:rPr>
          <w:rFonts w:eastAsia="Batang"/>
          <w:sz w:val="20"/>
          <w:szCs w:val="20"/>
          <w:lang w:val="en-US" w:eastAsia="es-MX"/>
        </w:rPr>
        <w:t>isual inspection and reconstruction of the events</w:t>
      </w:r>
      <w:r w:rsidR="00B5625C" w:rsidRPr="00AC57EA">
        <w:rPr>
          <w:rFonts w:eastAsia="Batang"/>
          <w:sz w:val="20"/>
          <w:szCs w:val="20"/>
          <w:lang w:val="en-US" w:eastAsia="es-MX"/>
        </w:rPr>
        <w:t xml:space="preserve">. </w:t>
      </w:r>
      <w:r w:rsidR="00727E43" w:rsidRPr="00AC57EA">
        <w:rPr>
          <w:rFonts w:eastAsia="Batang"/>
          <w:sz w:val="20"/>
          <w:szCs w:val="20"/>
          <w:lang w:val="en-US" w:eastAsia="es-MX"/>
        </w:rPr>
        <w:t>Therefore, the Court notes that the matter was not complex.</w:t>
      </w:r>
    </w:p>
    <w:p w14:paraId="05CEA06E" w14:textId="77777777" w:rsidR="00B5625C" w:rsidRPr="00AC57EA" w:rsidRDefault="00B5625C" w:rsidP="00B5625C">
      <w:pPr>
        <w:widowControl/>
        <w:adjustRightInd/>
        <w:spacing w:line="240" w:lineRule="auto"/>
        <w:textAlignment w:val="auto"/>
        <w:rPr>
          <w:rFonts w:eastAsia="Calibri" w:cs="Calibri"/>
          <w:sz w:val="20"/>
          <w:szCs w:val="20"/>
          <w:lang w:val="en-US" w:eastAsia="es-MX"/>
        </w:rPr>
      </w:pPr>
    </w:p>
    <w:p w14:paraId="7DF11224" w14:textId="09263555" w:rsidR="00727E43" w:rsidRPr="00AC57EA" w:rsidRDefault="00727E43" w:rsidP="005F3956">
      <w:pPr>
        <w:widowControl/>
        <w:numPr>
          <w:ilvl w:val="0"/>
          <w:numId w:val="2"/>
        </w:numPr>
        <w:tabs>
          <w:tab w:val="left" w:pos="567"/>
          <w:tab w:val="num" w:pos="12305"/>
        </w:tabs>
        <w:adjustRightInd/>
        <w:spacing w:line="240" w:lineRule="auto"/>
        <w:ind w:left="0" w:firstLine="0"/>
        <w:textAlignment w:val="auto"/>
        <w:rPr>
          <w:rFonts w:eastAsia="Batang"/>
          <w:sz w:val="20"/>
          <w:szCs w:val="20"/>
          <w:lang w:val="en-US" w:eastAsia="es-MX"/>
        </w:rPr>
      </w:pPr>
      <w:r w:rsidRPr="00AC57EA">
        <w:rPr>
          <w:rFonts w:eastAsia="Batang"/>
          <w:sz w:val="20"/>
          <w:szCs w:val="20"/>
          <w:lang w:val="en-US" w:eastAsia="es-MX"/>
        </w:rPr>
        <w:t>Regarding the</w:t>
      </w:r>
      <w:r w:rsidR="00B5625C" w:rsidRPr="00AC57EA">
        <w:rPr>
          <w:rFonts w:eastAsia="Batang"/>
          <w:sz w:val="20"/>
          <w:szCs w:val="20"/>
          <w:lang w:val="en-US" w:eastAsia="es-MX"/>
        </w:rPr>
        <w:t xml:space="preserve"> </w:t>
      </w:r>
      <w:r w:rsidRPr="00AC57EA">
        <w:rPr>
          <w:rFonts w:eastAsia="Batang"/>
          <w:i/>
          <w:sz w:val="20"/>
          <w:szCs w:val="20"/>
          <w:lang w:val="en-US" w:eastAsia="es-MX"/>
        </w:rPr>
        <w:t>procedural activity of the interested party</w:t>
      </w:r>
      <w:r w:rsidR="00B5625C" w:rsidRPr="00AC57EA">
        <w:rPr>
          <w:rFonts w:eastAsia="Batang"/>
          <w:sz w:val="20"/>
          <w:szCs w:val="20"/>
          <w:lang w:val="en-US" w:eastAsia="es-MX"/>
        </w:rPr>
        <w:t xml:space="preserve">, </w:t>
      </w:r>
      <w:r w:rsidR="00B7258C" w:rsidRPr="00AC57EA">
        <w:rPr>
          <w:rFonts w:eastAsia="Batang"/>
          <w:sz w:val="20"/>
          <w:szCs w:val="20"/>
          <w:lang w:val="en-US" w:eastAsia="es-MX"/>
        </w:rPr>
        <w:t>the Court</w:t>
      </w:r>
      <w:r w:rsidR="00B5625C" w:rsidRPr="00AC57EA">
        <w:rPr>
          <w:rFonts w:eastAsia="Batang"/>
          <w:sz w:val="20"/>
          <w:szCs w:val="20"/>
          <w:lang w:val="en-US" w:eastAsia="es-MX"/>
        </w:rPr>
        <w:t xml:space="preserve"> not</w:t>
      </w:r>
      <w:r w:rsidRPr="00AC57EA">
        <w:rPr>
          <w:rFonts w:eastAsia="Batang"/>
          <w:sz w:val="20"/>
          <w:szCs w:val="20"/>
          <w:lang w:val="en-US" w:eastAsia="es-MX"/>
        </w:rPr>
        <w:t>es that V.P.C. took steps to advance procedures throughout the proceedings. For example, on November 20, 2001, V.P.C. filed a complaint against H.R.A. for the crime of the rape of her daughter, V.R.P. (</w:t>
      </w:r>
      <w:r w:rsidRPr="00AC57EA">
        <w:rPr>
          <w:rFonts w:eastAsia="Batang"/>
          <w:i/>
          <w:sz w:val="20"/>
          <w:szCs w:val="20"/>
          <w:lang w:val="en-US" w:eastAsia="es-MX"/>
        </w:rPr>
        <w:t>supra</w:t>
      </w:r>
      <w:r w:rsidRPr="00AC57EA">
        <w:rPr>
          <w:rFonts w:eastAsia="Batang"/>
          <w:sz w:val="20"/>
          <w:szCs w:val="20"/>
          <w:lang w:val="en-US" w:eastAsia="es-MX"/>
        </w:rPr>
        <w:t xml:space="preserve"> para. 72), and, on July 29, 2002, she requested the intervention of a special prosecutor to protect and guarantee </w:t>
      </w:r>
      <w:r w:rsidR="007B67CC" w:rsidRPr="00AC57EA">
        <w:rPr>
          <w:rFonts w:eastAsia="Batang"/>
          <w:sz w:val="20"/>
          <w:szCs w:val="20"/>
          <w:lang w:val="en-US" w:eastAsia="es-MX"/>
        </w:rPr>
        <w:t xml:space="preserve">her daughter’s </w:t>
      </w:r>
      <w:r w:rsidRPr="00AC57EA">
        <w:rPr>
          <w:rFonts w:eastAsia="Batang"/>
          <w:sz w:val="20"/>
          <w:szCs w:val="20"/>
          <w:lang w:val="en-US" w:eastAsia="es-MX"/>
        </w:rPr>
        <w:t xml:space="preserve">rights </w:t>
      </w:r>
      <w:r w:rsidR="007B67CC" w:rsidRPr="00AC57EA">
        <w:rPr>
          <w:rFonts w:eastAsia="Batang"/>
          <w:sz w:val="20"/>
          <w:szCs w:val="20"/>
          <w:lang w:val="en-US" w:eastAsia="es-MX"/>
        </w:rPr>
        <w:t>during</w:t>
      </w:r>
      <w:r w:rsidRPr="00AC57EA">
        <w:rPr>
          <w:rFonts w:eastAsia="Batang"/>
          <w:sz w:val="20"/>
          <w:szCs w:val="20"/>
          <w:lang w:val="en-US" w:eastAsia="es-MX"/>
        </w:rPr>
        <w:t xml:space="preserve"> the proceedings (</w:t>
      </w:r>
      <w:r w:rsidRPr="00AC57EA">
        <w:rPr>
          <w:rFonts w:eastAsia="Batang"/>
          <w:i/>
          <w:sz w:val="20"/>
          <w:szCs w:val="20"/>
          <w:lang w:val="en-US" w:eastAsia="es-MX"/>
        </w:rPr>
        <w:t xml:space="preserve">supra </w:t>
      </w:r>
      <w:r w:rsidRPr="00AC57EA">
        <w:rPr>
          <w:rFonts w:eastAsia="Batang"/>
          <w:sz w:val="20"/>
          <w:szCs w:val="20"/>
          <w:lang w:val="en-US" w:eastAsia="es-MX"/>
        </w:rPr>
        <w:t xml:space="preserve">para. 110). There is also evidence that, on several occasions, she </w:t>
      </w:r>
      <w:r w:rsidR="007B67CC" w:rsidRPr="00AC57EA">
        <w:rPr>
          <w:rFonts w:eastAsia="Batang"/>
          <w:sz w:val="20"/>
          <w:szCs w:val="20"/>
          <w:lang w:val="en-US" w:eastAsia="es-MX"/>
        </w:rPr>
        <w:t xml:space="preserve">called into </w:t>
      </w:r>
      <w:r w:rsidRPr="00AC57EA">
        <w:rPr>
          <w:rFonts w:eastAsia="Batang"/>
          <w:sz w:val="20"/>
          <w:szCs w:val="20"/>
          <w:lang w:val="en-US" w:eastAsia="es-MX"/>
        </w:rPr>
        <w:t>question the delay in the proceedings and demanded that the case be expedited (</w:t>
      </w:r>
      <w:r w:rsidRPr="00AC57EA">
        <w:rPr>
          <w:rFonts w:eastAsia="Batang"/>
          <w:i/>
          <w:sz w:val="20"/>
          <w:szCs w:val="20"/>
          <w:lang w:val="en-US" w:eastAsia="es-MX"/>
        </w:rPr>
        <w:t xml:space="preserve">supra </w:t>
      </w:r>
      <w:r w:rsidRPr="00AC57EA">
        <w:rPr>
          <w:rFonts w:eastAsia="Batang"/>
          <w:sz w:val="20"/>
          <w:szCs w:val="20"/>
          <w:lang w:val="en-US" w:eastAsia="es-MX"/>
        </w:rPr>
        <w:t>para. 115).</w:t>
      </w:r>
    </w:p>
    <w:p w14:paraId="44DC6F8F" w14:textId="77777777" w:rsidR="00B5625C" w:rsidRPr="00AC57EA" w:rsidRDefault="00B5625C" w:rsidP="00B5625C">
      <w:pPr>
        <w:widowControl/>
        <w:tabs>
          <w:tab w:val="left" w:pos="-142"/>
        </w:tabs>
        <w:adjustRightInd/>
        <w:spacing w:line="240" w:lineRule="auto"/>
        <w:textAlignment w:val="auto"/>
        <w:rPr>
          <w:rFonts w:eastAsia="Calibri" w:cs="Calibri"/>
          <w:sz w:val="20"/>
          <w:szCs w:val="20"/>
          <w:lang w:val="en-US" w:eastAsia="es-MX"/>
        </w:rPr>
      </w:pPr>
    </w:p>
    <w:p w14:paraId="1DA04E72" w14:textId="682BAE62" w:rsidR="00727E43" w:rsidRPr="00AC57EA" w:rsidRDefault="00727E43" w:rsidP="005F3956">
      <w:pPr>
        <w:widowControl/>
        <w:numPr>
          <w:ilvl w:val="0"/>
          <w:numId w:val="2"/>
        </w:numPr>
        <w:tabs>
          <w:tab w:val="left" w:pos="567"/>
          <w:tab w:val="num" w:pos="12305"/>
        </w:tabs>
        <w:adjustRightInd/>
        <w:spacing w:line="240" w:lineRule="auto"/>
        <w:ind w:left="0" w:firstLine="0"/>
        <w:textAlignment w:val="auto"/>
        <w:rPr>
          <w:rFonts w:eastAsia="Batang" w:cs="Arial"/>
          <w:sz w:val="20"/>
          <w:szCs w:val="20"/>
          <w:lang w:val="en-US" w:eastAsia="es-MX"/>
        </w:rPr>
      </w:pPr>
      <w:r w:rsidRPr="00AC57EA">
        <w:rPr>
          <w:rFonts w:eastAsia="Batang" w:cs="Arial"/>
          <w:sz w:val="20"/>
          <w:szCs w:val="20"/>
          <w:lang w:val="en-US" w:eastAsia="es-MX"/>
        </w:rPr>
        <w:t>With regard to the</w:t>
      </w:r>
      <w:r w:rsidR="00B5625C" w:rsidRPr="00AC57EA">
        <w:rPr>
          <w:rFonts w:eastAsia="Batang" w:cs="Arial"/>
          <w:sz w:val="20"/>
          <w:szCs w:val="20"/>
          <w:lang w:val="en-US" w:eastAsia="es-MX"/>
        </w:rPr>
        <w:t xml:space="preserve"> </w:t>
      </w:r>
      <w:r w:rsidR="00B5625C" w:rsidRPr="00AC57EA">
        <w:rPr>
          <w:rFonts w:eastAsia="Batang" w:cs="Arial"/>
          <w:i/>
          <w:sz w:val="20"/>
          <w:szCs w:val="20"/>
          <w:lang w:val="en-US" w:eastAsia="es-MX"/>
        </w:rPr>
        <w:t>conduct</w:t>
      </w:r>
      <w:r w:rsidRPr="00AC57EA">
        <w:rPr>
          <w:rFonts w:eastAsia="Batang" w:cs="Arial"/>
          <w:i/>
          <w:sz w:val="20"/>
          <w:szCs w:val="20"/>
          <w:lang w:val="en-US" w:eastAsia="es-MX"/>
        </w:rPr>
        <w:t xml:space="preserve"> of the judicial authorities,</w:t>
      </w:r>
      <w:r w:rsidR="00B5625C" w:rsidRPr="00AC57EA">
        <w:rPr>
          <w:rFonts w:eastAsia="Batang" w:cs="Arial"/>
          <w:sz w:val="20"/>
          <w:szCs w:val="20"/>
          <w:lang w:val="en-US" w:eastAsia="es-MX"/>
        </w:rPr>
        <w:t xml:space="preserve"> </w:t>
      </w:r>
      <w:r w:rsidR="00B7258C" w:rsidRPr="00AC57EA">
        <w:rPr>
          <w:rFonts w:eastAsia="Batang" w:cs="Arial"/>
          <w:sz w:val="20"/>
          <w:szCs w:val="20"/>
          <w:lang w:val="en-US" w:eastAsia="es-MX"/>
        </w:rPr>
        <w:t>the Court</w:t>
      </w:r>
      <w:r w:rsidR="00B5625C" w:rsidRPr="00AC57EA">
        <w:rPr>
          <w:rFonts w:eastAsia="Batang" w:cs="Arial"/>
          <w:sz w:val="20"/>
          <w:szCs w:val="20"/>
          <w:lang w:val="en-US" w:eastAsia="es-MX"/>
        </w:rPr>
        <w:t xml:space="preserve"> ha</w:t>
      </w:r>
      <w:r w:rsidRPr="00AC57EA">
        <w:rPr>
          <w:rFonts w:eastAsia="Batang" w:cs="Arial"/>
          <w:sz w:val="20"/>
          <w:szCs w:val="20"/>
          <w:lang w:val="en-US" w:eastAsia="es-MX"/>
        </w:rPr>
        <w:t xml:space="preserve">s understood that, as </w:t>
      </w:r>
      <w:r w:rsidR="007B67CC" w:rsidRPr="00AC57EA">
        <w:rPr>
          <w:rFonts w:eastAsia="Batang" w:cs="Arial"/>
          <w:sz w:val="20"/>
          <w:szCs w:val="20"/>
          <w:lang w:val="en-US" w:eastAsia="es-MX"/>
        </w:rPr>
        <w:t xml:space="preserve">they are in charge of </w:t>
      </w:r>
      <w:r w:rsidRPr="00AC57EA">
        <w:rPr>
          <w:rFonts w:eastAsia="Batang" w:cs="Arial"/>
          <w:sz w:val="20"/>
          <w:szCs w:val="20"/>
          <w:lang w:val="en-US" w:eastAsia="es-MX"/>
        </w:rPr>
        <w:t xml:space="preserve">the proceedings, they have the duty to </w:t>
      </w:r>
      <w:r w:rsidR="007B67CC" w:rsidRPr="00AC57EA">
        <w:rPr>
          <w:rFonts w:eastAsia="Batang" w:cs="Arial"/>
          <w:sz w:val="20"/>
          <w:szCs w:val="20"/>
          <w:lang w:val="en-US" w:eastAsia="es-MX"/>
        </w:rPr>
        <w:t xml:space="preserve">undertake and </w:t>
      </w:r>
      <w:r w:rsidRPr="00AC57EA">
        <w:rPr>
          <w:rFonts w:eastAsia="Batang" w:cs="Arial"/>
          <w:sz w:val="20"/>
          <w:szCs w:val="20"/>
          <w:lang w:val="en-US" w:eastAsia="es-MX"/>
        </w:rPr>
        <w:t>direct the criminal investigation in order to individualize, prosecute and punish, as appropriate, all those responsible for the facts.</w:t>
      </w:r>
      <w:r w:rsidRPr="00AC57EA">
        <w:rPr>
          <w:rFonts w:eastAsia="Batang" w:cs="Verdana"/>
          <w:sz w:val="20"/>
          <w:szCs w:val="20"/>
          <w:vertAlign w:val="superscript"/>
          <w:lang w:val="en-US" w:eastAsia="es-MX"/>
        </w:rPr>
        <w:footnoteReference w:id="375"/>
      </w:r>
      <w:r w:rsidRPr="00AC57EA">
        <w:rPr>
          <w:rFonts w:eastAsia="Batang" w:cs="Arial"/>
          <w:sz w:val="20"/>
          <w:szCs w:val="20"/>
          <w:lang w:val="en-US" w:eastAsia="es-MX"/>
        </w:rPr>
        <w:t xml:space="preserve"> In this case, the state authorities were not diligen</w:t>
      </w:r>
      <w:r w:rsidR="00287D25" w:rsidRPr="00AC57EA">
        <w:rPr>
          <w:rFonts w:eastAsia="Batang" w:cs="Arial"/>
          <w:sz w:val="20"/>
          <w:szCs w:val="20"/>
          <w:lang w:val="en-US" w:eastAsia="es-MX"/>
        </w:rPr>
        <w:t>t</w:t>
      </w:r>
      <w:r w:rsidRPr="00AC57EA">
        <w:rPr>
          <w:rFonts w:eastAsia="Batang" w:cs="Arial"/>
          <w:sz w:val="20"/>
          <w:szCs w:val="20"/>
          <w:lang w:val="en-US" w:eastAsia="es-MX"/>
        </w:rPr>
        <w:t xml:space="preserve"> in investigati</w:t>
      </w:r>
      <w:r w:rsidR="00287D25" w:rsidRPr="00AC57EA">
        <w:rPr>
          <w:rFonts w:eastAsia="Batang" w:cs="Arial"/>
          <w:sz w:val="20"/>
          <w:szCs w:val="20"/>
          <w:lang w:val="en-US" w:eastAsia="es-MX"/>
        </w:rPr>
        <w:t xml:space="preserve">ng </w:t>
      </w:r>
      <w:r w:rsidRPr="00AC57EA">
        <w:rPr>
          <w:rFonts w:eastAsia="Batang" w:cs="Arial"/>
          <w:sz w:val="20"/>
          <w:szCs w:val="20"/>
          <w:lang w:val="en-US" w:eastAsia="es-MX"/>
        </w:rPr>
        <w:t xml:space="preserve">the acts of sexual violence against V.R.P., </w:t>
      </w:r>
      <w:r w:rsidR="00287D25" w:rsidRPr="00AC57EA">
        <w:rPr>
          <w:rFonts w:eastAsia="Batang" w:cs="Arial"/>
          <w:sz w:val="20"/>
          <w:szCs w:val="20"/>
          <w:lang w:val="en-US" w:eastAsia="es-MX"/>
        </w:rPr>
        <w:t xml:space="preserve">and did not take into account the effects of the </w:t>
      </w:r>
      <w:r w:rsidR="007B67CC" w:rsidRPr="00AC57EA">
        <w:rPr>
          <w:rFonts w:eastAsia="Batang" w:cs="Arial"/>
          <w:sz w:val="20"/>
          <w:szCs w:val="20"/>
          <w:lang w:val="en-US" w:eastAsia="es-MX"/>
        </w:rPr>
        <w:t>duration of</w:t>
      </w:r>
      <w:r w:rsidR="00287D25" w:rsidRPr="00AC57EA">
        <w:rPr>
          <w:rFonts w:eastAsia="Batang" w:cs="Arial"/>
          <w:sz w:val="20"/>
          <w:szCs w:val="20"/>
          <w:lang w:val="en-US" w:eastAsia="es-MX"/>
        </w:rPr>
        <w:t xml:space="preserve"> the appeal stage of the criminal proceedings – almost six years </w:t>
      </w:r>
      <w:r w:rsidR="007F412F" w:rsidRPr="00AC57EA">
        <w:rPr>
          <w:rFonts w:eastAsia="Batang" w:cs="Arial"/>
          <w:sz w:val="20"/>
          <w:szCs w:val="20"/>
          <w:lang w:val="en-US" w:eastAsia="es-MX"/>
        </w:rPr>
        <w:t>following</w:t>
      </w:r>
      <w:r w:rsidR="00287D25" w:rsidRPr="00AC57EA">
        <w:rPr>
          <w:rFonts w:eastAsia="Batang" w:cs="Arial"/>
          <w:sz w:val="20"/>
          <w:szCs w:val="20"/>
          <w:lang w:val="en-US" w:eastAsia="es-MX"/>
        </w:rPr>
        <w:t xml:space="preserve"> the jury’s acquittal</w:t>
      </w:r>
      <w:r w:rsidR="007B67CC" w:rsidRPr="00AC57EA">
        <w:rPr>
          <w:rFonts w:eastAsia="Batang" w:cs="Arial"/>
          <w:sz w:val="20"/>
          <w:szCs w:val="20"/>
          <w:lang w:val="en-US" w:eastAsia="es-MX"/>
        </w:rPr>
        <w:t xml:space="preserve"> verdict</w:t>
      </w:r>
      <w:r w:rsidR="00287D25" w:rsidRPr="00AC57EA">
        <w:rPr>
          <w:rFonts w:eastAsia="Batang" w:cs="Arial"/>
          <w:sz w:val="20"/>
          <w:szCs w:val="20"/>
          <w:lang w:val="en-US" w:eastAsia="es-MX"/>
        </w:rPr>
        <w:t>.</w:t>
      </w:r>
    </w:p>
    <w:p w14:paraId="2C1DF558" w14:textId="77777777" w:rsidR="00B5625C" w:rsidRPr="00AC57EA" w:rsidRDefault="00B5625C" w:rsidP="00B5625C">
      <w:pPr>
        <w:widowControl/>
        <w:adjustRightInd/>
        <w:spacing w:line="240" w:lineRule="auto"/>
        <w:textAlignment w:val="auto"/>
        <w:rPr>
          <w:rFonts w:eastAsia="Calibri" w:cs="Calibri"/>
          <w:sz w:val="20"/>
          <w:szCs w:val="20"/>
          <w:lang w:val="en-US" w:eastAsia="es-MX"/>
        </w:rPr>
      </w:pPr>
    </w:p>
    <w:p w14:paraId="1AA49FD2" w14:textId="1656F876" w:rsidR="00287D25" w:rsidRPr="00AC57EA" w:rsidRDefault="00287D25" w:rsidP="00523670">
      <w:pPr>
        <w:widowControl/>
        <w:numPr>
          <w:ilvl w:val="0"/>
          <w:numId w:val="2"/>
        </w:numPr>
        <w:tabs>
          <w:tab w:val="left" w:pos="567"/>
          <w:tab w:val="num" w:pos="12305"/>
        </w:tabs>
        <w:adjustRightInd/>
        <w:spacing w:line="240" w:lineRule="auto"/>
        <w:ind w:left="0" w:firstLine="0"/>
        <w:textAlignment w:val="auto"/>
        <w:rPr>
          <w:rFonts w:eastAsia="Batang"/>
          <w:sz w:val="20"/>
          <w:szCs w:val="20"/>
          <w:lang w:val="en-US" w:eastAsia="es-MX"/>
        </w:rPr>
      </w:pPr>
      <w:r w:rsidRPr="00AC57EA">
        <w:rPr>
          <w:rFonts w:eastAsia="Batang" w:cs="Arial"/>
          <w:sz w:val="20"/>
          <w:szCs w:val="20"/>
          <w:lang w:val="en-US" w:eastAsia="es-MX"/>
        </w:rPr>
        <w:t xml:space="preserve">This has been verified because, during the appeal stage, there were prolonged periods of inaction, without the facts revealing any explanation or justification by the authorities </w:t>
      </w:r>
      <w:r w:rsidR="007F412F" w:rsidRPr="00AC57EA">
        <w:rPr>
          <w:rFonts w:eastAsia="Batang" w:cs="Arial"/>
          <w:sz w:val="20"/>
          <w:szCs w:val="20"/>
          <w:lang w:val="en-US" w:eastAsia="es-MX"/>
        </w:rPr>
        <w:t xml:space="preserve">in charge of </w:t>
      </w:r>
      <w:r w:rsidRPr="00AC57EA">
        <w:rPr>
          <w:rFonts w:eastAsia="Batang" w:cs="Arial"/>
          <w:sz w:val="20"/>
          <w:szCs w:val="20"/>
          <w:lang w:val="en-US" w:eastAsia="es-MX"/>
        </w:rPr>
        <w:t>the proceedings. Indeed, in this case it is sufficient to note that there was no activity whatsoever between the referral of the case to the</w:t>
      </w:r>
      <w:r w:rsidRPr="00AC57EA">
        <w:rPr>
          <w:rFonts w:eastAsia="Batang"/>
          <w:sz w:val="20"/>
          <w:szCs w:val="20"/>
          <w:lang w:val="en-US" w:eastAsia="es-MX"/>
        </w:rPr>
        <w:t xml:space="preserve"> </w:t>
      </w:r>
      <w:r w:rsidR="00187988" w:rsidRPr="00AC57EA">
        <w:rPr>
          <w:rFonts w:eastAsia="Batang" w:cs="Arial"/>
          <w:sz w:val="20"/>
          <w:szCs w:val="20"/>
          <w:lang w:val="en-US" w:eastAsia="es-MX"/>
        </w:rPr>
        <w:t>Appellate Court</w:t>
      </w:r>
      <w:r w:rsidR="00B5625C" w:rsidRPr="00AC57EA">
        <w:rPr>
          <w:rFonts w:eastAsia="Batang" w:cs="Arial"/>
          <w:sz w:val="20"/>
          <w:szCs w:val="20"/>
          <w:lang w:val="en-US" w:eastAsia="es-MX"/>
        </w:rPr>
        <w:t xml:space="preserve"> </w:t>
      </w:r>
      <w:r w:rsidR="007B43E7" w:rsidRPr="00AC57EA">
        <w:rPr>
          <w:rFonts w:eastAsia="Batang" w:cs="Arial"/>
          <w:sz w:val="20"/>
          <w:szCs w:val="20"/>
          <w:lang w:val="en-US" w:eastAsia="es-MX"/>
        </w:rPr>
        <w:t>on May 15,</w:t>
      </w:r>
      <w:r w:rsidR="00B5625C" w:rsidRPr="00AC57EA">
        <w:rPr>
          <w:rFonts w:eastAsia="Batang" w:cs="Arial"/>
          <w:sz w:val="20"/>
          <w:szCs w:val="20"/>
          <w:lang w:val="en-US" w:eastAsia="es-MX"/>
        </w:rPr>
        <w:t xml:space="preserve"> 2002</w:t>
      </w:r>
      <w:r w:rsidR="008A61D0" w:rsidRPr="00AC57EA">
        <w:rPr>
          <w:rFonts w:eastAsia="Batang" w:cs="Arial"/>
          <w:sz w:val="20"/>
          <w:szCs w:val="20"/>
          <w:lang w:val="en-US" w:eastAsia="es-MX"/>
        </w:rPr>
        <w:t xml:space="preserve"> </w:t>
      </w:r>
      <w:r w:rsidR="008A61D0" w:rsidRPr="00AC57EA">
        <w:rPr>
          <w:rFonts w:eastAsia="Batang"/>
          <w:sz w:val="20"/>
          <w:szCs w:val="20"/>
          <w:lang w:val="en-US" w:eastAsia="es-MX"/>
        </w:rPr>
        <w:t>(</w:t>
      </w:r>
      <w:r w:rsidR="008A61D0" w:rsidRPr="00AC57EA">
        <w:rPr>
          <w:rFonts w:eastAsia="Batang"/>
          <w:i/>
          <w:sz w:val="20"/>
          <w:szCs w:val="20"/>
          <w:lang w:val="en-US" w:eastAsia="es-MX"/>
        </w:rPr>
        <w:t xml:space="preserve">supra </w:t>
      </w:r>
      <w:r w:rsidR="00171E27" w:rsidRPr="00AC57EA">
        <w:rPr>
          <w:rFonts w:eastAsia="Batang"/>
          <w:sz w:val="20"/>
          <w:szCs w:val="20"/>
          <w:lang w:val="en-US" w:eastAsia="es-MX"/>
        </w:rPr>
        <w:t>para.</w:t>
      </w:r>
      <w:r w:rsidR="008A61D0" w:rsidRPr="00AC57EA">
        <w:rPr>
          <w:rFonts w:eastAsia="Batang"/>
          <w:sz w:val="20"/>
          <w:szCs w:val="20"/>
          <w:lang w:val="en-US" w:eastAsia="es-MX"/>
        </w:rPr>
        <w:t xml:space="preserve"> </w:t>
      </w:r>
      <w:r w:rsidR="00300318" w:rsidRPr="00AC57EA">
        <w:rPr>
          <w:rFonts w:eastAsia="Batang"/>
          <w:sz w:val="20"/>
          <w:szCs w:val="20"/>
          <w:lang w:val="en-US" w:eastAsia="es-MX"/>
        </w:rPr>
        <w:t>108</w:t>
      </w:r>
      <w:r w:rsidR="008A61D0" w:rsidRPr="00AC57EA">
        <w:rPr>
          <w:rFonts w:eastAsia="Batang"/>
          <w:sz w:val="20"/>
          <w:szCs w:val="20"/>
          <w:lang w:val="en-US" w:eastAsia="es-MX"/>
        </w:rPr>
        <w:t>)</w:t>
      </w:r>
      <w:r w:rsidRPr="00AC57EA">
        <w:rPr>
          <w:rFonts w:eastAsia="Batang"/>
          <w:sz w:val="20"/>
          <w:szCs w:val="20"/>
          <w:lang w:val="en-US" w:eastAsia="es-MX"/>
        </w:rPr>
        <w:t>,</w:t>
      </w:r>
      <w:r w:rsidR="00171E27" w:rsidRPr="00AC57EA">
        <w:rPr>
          <w:rFonts w:eastAsia="Batang" w:cs="Arial"/>
          <w:sz w:val="20"/>
          <w:szCs w:val="20"/>
          <w:lang w:val="en-US" w:eastAsia="es-MX"/>
        </w:rPr>
        <w:t xml:space="preserve"> and</w:t>
      </w:r>
      <w:r w:rsidRPr="00AC57EA">
        <w:rPr>
          <w:rFonts w:eastAsia="Batang" w:cs="Arial"/>
          <w:sz w:val="20"/>
          <w:szCs w:val="20"/>
          <w:lang w:val="en-US" w:eastAsia="es-MX"/>
        </w:rPr>
        <w:t xml:space="preserve"> the declaration of the nullity of the proceedings issued </w:t>
      </w:r>
      <w:r w:rsidR="00070909" w:rsidRPr="00AC57EA">
        <w:rPr>
          <w:rFonts w:eastAsia="Batang" w:cs="Arial"/>
          <w:sz w:val="20"/>
          <w:szCs w:val="20"/>
          <w:lang w:val="en-US" w:eastAsia="es-MX"/>
        </w:rPr>
        <w:t>on January 13,</w:t>
      </w:r>
      <w:r w:rsidR="00B5625C" w:rsidRPr="00AC57EA">
        <w:rPr>
          <w:rFonts w:eastAsia="Batang" w:cs="Arial"/>
          <w:sz w:val="20"/>
          <w:szCs w:val="20"/>
          <w:lang w:val="en-US" w:eastAsia="es-MX"/>
        </w:rPr>
        <w:t xml:space="preserve"> 2003</w:t>
      </w:r>
      <w:r w:rsidR="008A61D0" w:rsidRPr="00AC57EA">
        <w:rPr>
          <w:rFonts w:eastAsia="Batang" w:cs="Arial"/>
          <w:sz w:val="20"/>
          <w:szCs w:val="20"/>
          <w:lang w:val="en-US" w:eastAsia="es-MX"/>
        </w:rPr>
        <w:t xml:space="preserve"> </w:t>
      </w:r>
      <w:r w:rsidR="008A61D0" w:rsidRPr="00AC57EA">
        <w:rPr>
          <w:rFonts w:eastAsia="Batang"/>
          <w:sz w:val="20"/>
          <w:szCs w:val="20"/>
          <w:lang w:val="en-US" w:eastAsia="es-MX"/>
        </w:rPr>
        <w:t>(</w:t>
      </w:r>
      <w:r w:rsidR="008A61D0" w:rsidRPr="00AC57EA">
        <w:rPr>
          <w:rFonts w:eastAsia="Batang"/>
          <w:i/>
          <w:sz w:val="20"/>
          <w:szCs w:val="20"/>
          <w:lang w:val="en-US" w:eastAsia="es-MX"/>
        </w:rPr>
        <w:t xml:space="preserve">supra </w:t>
      </w:r>
      <w:r w:rsidR="00171E27" w:rsidRPr="00AC57EA">
        <w:rPr>
          <w:rFonts w:eastAsia="Batang"/>
          <w:sz w:val="20"/>
          <w:szCs w:val="20"/>
          <w:lang w:val="en-US" w:eastAsia="es-MX"/>
        </w:rPr>
        <w:t>para.</w:t>
      </w:r>
      <w:r w:rsidR="008A61D0" w:rsidRPr="00AC57EA">
        <w:rPr>
          <w:rFonts w:eastAsia="Batang"/>
          <w:sz w:val="20"/>
          <w:szCs w:val="20"/>
          <w:lang w:val="en-US" w:eastAsia="es-MX"/>
        </w:rPr>
        <w:t xml:space="preserve"> </w:t>
      </w:r>
      <w:r w:rsidR="00300318" w:rsidRPr="00AC57EA">
        <w:rPr>
          <w:rFonts w:eastAsia="Batang"/>
          <w:sz w:val="20"/>
          <w:szCs w:val="20"/>
          <w:lang w:val="en-US" w:eastAsia="es-MX"/>
        </w:rPr>
        <w:t>111</w:t>
      </w:r>
      <w:r w:rsidR="008A61D0" w:rsidRPr="00AC57EA">
        <w:rPr>
          <w:rFonts w:eastAsia="Batang"/>
          <w:sz w:val="20"/>
          <w:szCs w:val="20"/>
          <w:lang w:val="en-US" w:eastAsia="es-MX"/>
        </w:rPr>
        <w:t>)</w:t>
      </w:r>
      <w:r w:rsidRPr="00AC57EA">
        <w:rPr>
          <w:rFonts w:eastAsia="Batang" w:cs="Arial"/>
          <w:sz w:val="20"/>
          <w:szCs w:val="20"/>
          <w:lang w:val="en-US" w:eastAsia="es-MX"/>
        </w:rPr>
        <w:t xml:space="preserve">; in other words, eight months of inactivity. The Court also notes that, following the recusals </w:t>
      </w:r>
      <w:r w:rsidRPr="00AC57EA">
        <w:rPr>
          <w:rFonts w:eastAsia="Batang"/>
          <w:sz w:val="20"/>
          <w:szCs w:val="20"/>
          <w:lang w:val="en-US" w:eastAsia="es-MX"/>
        </w:rPr>
        <w:t xml:space="preserve">requested by the parties, the last of which was rejected on August 12, </w:t>
      </w:r>
      <w:r w:rsidR="00B5625C" w:rsidRPr="00AC57EA">
        <w:rPr>
          <w:rFonts w:eastAsia="Batang"/>
          <w:sz w:val="20"/>
          <w:szCs w:val="20"/>
          <w:lang w:val="en-US" w:eastAsia="es-MX"/>
        </w:rPr>
        <w:t>2003</w:t>
      </w:r>
      <w:r w:rsidR="008A61D0" w:rsidRPr="00AC57EA">
        <w:rPr>
          <w:rFonts w:eastAsia="Batang"/>
          <w:sz w:val="20"/>
          <w:szCs w:val="20"/>
          <w:lang w:val="en-US" w:eastAsia="es-MX"/>
        </w:rPr>
        <w:t xml:space="preserve"> (</w:t>
      </w:r>
      <w:r w:rsidR="008A61D0" w:rsidRPr="00AC57EA">
        <w:rPr>
          <w:rFonts w:eastAsia="Batang"/>
          <w:i/>
          <w:sz w:val="20"/>
          <w:szCs w:val="20"/>
          <w:lang w:val="en-US" w:eastAsia="es-MX"/>
        </w:rPr>
        <w:t xml:space="preserve">supra </w:t>
      </w:r>
      <w:r w:rsidR="00171E27" w:rsidRPr="00AC57EA">
        <w:rPr>
          <w:rFonts w:eastAsia="Batang"/>
          <w:sz w:val="20"/>
          <w:szCs w:val="20"/>
          <w:lang w:val="en-US" w:eastAsia="es-MX"/>
        </w:rPr>
        <w:t>para.</w:t>
      </w:r>
      <w:r w:rsidR="008A61D0" w:rsidRPr="00AC57EA">
        <w:rPr>
          <w:rFonts w:eastAsia="Batang"/>
          <w:sz w:val="20"/>
          <w:szCs w:val="20"/>
          <w:lang w:val="en-US" w:eastAsia="es-MX"/>
        </w:rPr>
        <w:t xml:space="preserve"> </w:t>
      </w:r>
      <w:r w:rsidR="00300318" w:rsidRPr="00AC57EA">
        <w:rPr>
          <w:rFonts w:eastAsia="Batang"/>
          <w:sz w:val="20"/>
          <w:szCs w:val="20"/>
          <w:lang w:val="en-US" w:eastAsia="es-MX"/>
        </w:rPr>
        <w:t>112</w:t>
      </w:r>
      <w:r w:rsidR="008A61D0" w:rsidRPr="00AC57EA">
        <w:rPr>
          <w:rFonts w:eastAsia="Batang"/>
          <w:sz w:val="20"/>
          <w:szCs w:val="20"/>
          <w:lang w:val="en-US" w:eastAsia="es-MX"/>
        </w:rPr>
        <w:t>)</w:t>
      </w:r>
      <w:r w:rsidR="00B5625C" w:rsidRPr="00AC57EA">
        <w:rPr>
          <w:rFonts w:eastAsia="Batang"/>
          <w:sz w:val="20"/>
          <w:szCs w:val="20"/>
          <w:lang w:val="en-US" w:eastAsia="es-MX"/>
        </w:rPr>
        <w:t xml:space="preserve">, </w:t>
      </w:r>
      <w:r w:rsidRPr="00AC57EA">
        <w:rPr>
          <w:rFonts w:eastAsia="Batang"/>
          <w:sz w:val="20"/>
          <w:szCs w:val="20"/>
          <w:lang w:val="en-US" w:eastAsia="es-MX"/>
        </w:rPr>
        <w:t xml:space="preserve">two judges </w:t>
      </w:r>
      <w:r w:rsidR="007F412F" w:rsidRPr="00AC57EA">
        <w:rPr>
          <w:rFonts w:eastAsia="Batang"/>
          <w:sz w:val="20"/>
          <w:szCs w:val="20"/>
          <w:lang w:val="en-US" w:eastAsia="es-MX"/>
        </w:rPr>
        <w:t>ex</w:t>
      </w:r>
      <w:r w:rsidRPr="00AC57EA">
        <w:rPr>
          <w:rFonts w:eastAsia="Batang"/>
          <w:sz w:val="20"/>
          <w:szCs w:val="20"/>
          <w:lang w:val="en-US" w:eastAsia="es-MX"/>
        </w:rPr>
        <w:t xml:space="preserve">cused themselves without any justification (on February 23 and March 1, 2004) </w:t>
      </w:r>
      <w:r w:rsidR="008A61D0" w:rsidRPr="00AC57EA">
        <w:rPr>
          <w:rFonts w:eastAsia="Batang"/>
          <w:sz w:val="20"/>
          <w:szCs w:val="20"/>
          <w:lang w:val="en-US" w:eastAsia="es-MX"/>
        </w:rPr>
        <w:t>(</w:t>
      </w:r>
      <w:r w:rsidR="008A61D0" w:rsidRPr="00AC57EA">
        <w:rPr>
          <w:rFonts w:eastAsia="Batang"/>
          <w:i/>
          <w:sz w:val="20"/>
          <w:szCs w:val="20"/>
          <w:lang w:val="en-US" w:eastAsia="es-MX"/>
        </w:rPr>
        <w:t xml:space="preserve">supra </w:t>
      </w:r>
      <w:r w:rsidR="00171E27" w:rsidRPr="00AC57EA">
        <w:rPr>
          <w:rFonts w:eastAsia="Batang"/>
          <w:sz w:val="20"/>
          <w:szCs w:val="20"/>
          <w:lang w:val="en-US" w:eastAsia="es-MX"/>
        </w:rPr>
        <w:t>para.</w:t>
      </w:r>
      <w:r w:rsidR="008A61D0" w:rsidRPr="00AC57EA">
        <w:rPr>
          <w:rFonts w:eastAsia="Batang"/>
          <w:sz w:val="20"/>
          <w:szCs w:val="20"/>
          <w:lang w:val="en-US" w:eastAsia="es-MX"/>
        </w:rPr>
        <w:t xml:space="preserve"> </w:t>
      </w:r>
      <w:r w:rsidR="00300318" w:rsidRPr="00AC57EA">
        <w:rPr>
          <w:rFonts w:eastAsia="Batang"/>
          <w:sz w:val="20"/>
          <w:szCs w:val="20"/>
          <w:lang w:val="en-US" w:eastAsia="es-MX"/>
        </w:rPr>
        <w:t>114</w:t>
      </w:r>
      <w:r w:rsidR="008A61D0" w:rsidRPr="00AC57EA">
        <w:rPr>
          <w:rFonts w:eastAsia="Batang"/>
          <w:sz w:val="20"/>
          <w:szCs w:val="20"/>
          <w:lang w:val="en-US" w:eastAsia="es-MX"/>
        </w:rPr>
        <w:t>)</w:t>
      </w:r>
      <w:r w:rsidR="00B5625C" w:rsidRPr="00AC57EA">
        <w:rPr>
          <w:rFonts w:eastAsia="Batang"/>
          <w:sz w:val="20"/>
          <w:szCs w:val="20"/>
          <w:lang w:val="en-US" w:eastAsia="es-MX"/>
        </w:rPr>
        <w:t xml:space="preserve"> </w:t>
      </w:r>
      <w:r w:rsidRPr="00AC57EA">
        <w:rPr>
          <w:rFonts w:eastAsia="Batang"/>
          <w:sz w:val="20"/>
          <w:szCs w:val="20"/>
          <w:lang w:val="en-US" w:eastAsia="es-MX"/>
        </w:rPr>
        <w:t xml:space="preserve">and, subsequently, there was no action in the case until January 13, 2005, the date on which the District Criminal Trial Court assumed jurisdiction and competence to process the case and ordered the opening </w:t>
      </w:r>
      <w:r w:rsidR="007F412F" w:rsidRPr="00AC57EA">
        <w:rPr>
          <w:rFonts w:eastAsia="Batang"/>
          <w:sz w:val="20"/>
          <w:szCs w:val="20"/>
          <w:lang w:val="en-US" w:eastAsia="es-MX"/>
        </w:rPr>
        <w:t>to</w:t>
      </w:r>
      <w:r w:rsidRPr="00AC57EA">
        <w:rPr>
          <w:rFonts w:eastAsia="Batang"/>
          <w:sz w:val="20"/>
          <w:szCs w:val="20"/>
          <w:lang w:val="en-US" w:eastAsia="es-MX"/>
        </w:rPr>
        <w:t xml:space="preserve"> evidence of the appeal for </w:t>
      </w:r>
      <w:r w:rsidR="00C558FD" w:rsidRPr="00AC57EA">
        <w:rPr>
          <w:rFonts w:eastAsia="Batang"/>
          <w:sz w:val="20"/>
          <w:szCs w:val="20"/>
          <w:lang w:val="en-US" w:eastAsia="es-MX"/>
        </w:rPr>
        <w:t xml:space="preserve">the </w:t>
      </w:r>
      <w:r w:rsidRPr="00AC57EA">
        <w:rPr>
          <w:rFonts w:eastAsia="Batang"/>
          <w:sz w:val="20"/>
          <w:szCs w:val="20"/>
          <w:lang w:val="en-US" w:eastAsia="es-MX"/>
        </w:rPr>
        <w:t>annulment</w:t>
      </w:r>
      <w:r w:rsidR="00C558FD" w:rsidRPr="00AC57EA">
        <w:rPr>
          <w:rFonts w:eastAsia="Batang"/>
          <w:sz w:val="20"/>
          <w:szCs w:val="20"/>
          <w:lang w:val="en-US" w:eastAsia="es-MX"/>
        </w:rPr>
        <w:t xml:space="preserve"> of the verdict. In other words,</w:t>
      </w:r>
      <w:r w:rsidR="007F412F" w:rsidRPr="00AC57EA">
        <w:rPr>
          <w:rFonts w:eastAsia="Batang"/>
          <w:sz w:val="20"/>
          <w:szCs w:val="20"/>
          <w:lang w:val="en-US" w:eastAsia="es-MX"/>
        </w:rPr>
        <w:t xml:space="preserve"> </w:t>
      </w:r>
      <w:r w:rsidR="00C558FD" w:rsidRPr="00AC57EA">
        <w:rPr>
          <w:rFonts w:eastAsia="Batang"/>
          <w:sz w:val="20"/>
          <w:szCs w:val="20"/>
          <w:lang w:val="en-US" w:eastAsia="es-MX"/>
        </w:rPr>
        <w:t xml:space="preserve">an 18-month period of jurisdictional inactivity. Lastly, </w:t>
      </w:r>
      <w:r w:rsidR="007F412F" w:rsidRPr="00AC57EA">
        <w:rPr>
          <w:rFonts w:eastAsia="Batang"/>
          <w:sz w:val="20"/>
          <w:szCs w:val="20"/>
          <w:lang w:val="en-US" w:eastAsia="es-MX"/>
        </w:rPr>
        <w:t>the Court</w:t>
      </w:r>
      <w:r w:rsidR="00C558FD" w:rsidRPr="00AC57EA">
        <w:rPr>
          <w:rFonts w:eastAsia="Batang"/>
          <w:sz w:val="20"/>
          <w:szCs w:val="20"/>
          <w:lang w:val="en-US" w:eastAsia="es-MX"/>
        </w:rPr>
        <w:t xml:space="preserve"> notes that, on August 9, 2005, the appeal against the verdict was rejected and, on August 25, 2005, both the prosecutor and V.P.C. appealed that decision. It was only two years and two months later –</w:t>
      </w:r>
      <w:r w:rsidR="007F412F" w:rsidRPr="00AC57EA">
        <w:rPr>
          <w:rFonts w:eastAsia="Batang"/>
          <w:sz w:val="20"/>
          <w:szCs w:val="20"/>
          <w:lang w:val="en-US" w:eastAsia="es-MX"/>
        </w:rPr>
        <w:t xml:space="preserve"> on </w:t>
      </w:r>
      <w:r w:rsidR="00C558FD" w:rsidRPr="00AC57EA">
        <w:rPr>
          <w:rFonts w:eastAsia="Batang"/>
          <w:sz w:val="20"/>
          <w:szCs w:val="20"/>
          <w:lang w:val="en-US" w:eastAsia="es-MX"/>
        </w:rPr>
        <w:t>October 24, 2007 – that the Appellate Court delivered judgment. Consequently, even if only periods of inactivity in excess of six months are taken into consideration, there was</w:t>
      </w:r>
      <w:r w:rsidR="007F412F" w:rsidRPr="00AC57EA">
        <w:rPr>
          <w:rFonts w:eastAsia="Batang"/>
          <w:sz w:val="20"/>
          <w:szCs w:val="20"/>
          <w:lang w:val="en-US" w:eastAsia="es-MX"/>
        </w:rPr>
        <w:t xml:space="preserve"> </w:t>
      </w:r>
      <w:r w:rsidR="00C558FD" w:rsidRPr="00AC57EA">
        <w:rPr>
          <w:rFonts w:eastAsia="Batang"/>
          <w:sz w:val="20"/>
          <w:szCs w:val="20"/>
          <w:lang w:val="en-US" w:eastAsia="es-MX"/>
        </w:rPr>
        <w:t>a period of more than four years and four months of total inactivity. Consequently, the essential reason for the prolongation of the proceedings w</w:t>
      </w:r>
      <w:r w:rsidR="007F412F" w:rsidRPr="00AC57EA">
        <w:rPr>
          <w:rFonts w:eastAsia="Batang"/>
          <w:sz w:val="20"/>
          <w:szCs w:val="20"/>
          <w:lang w:val="en-US" w:eastAsia="es-MX"/>
        </w:rPr>
        <w:t>as</w:t>
      </w:r>
      <w:r w:rsidR="00C558FD" w:rsidRPr="00AC57EA">
        <w:rPr>
          <w:rFonts w:eastAsia="Batang"/>
          <w:sz w:val="20"/>
          <w:szCs w:val="20"/>
          <w:lang w:val="en-US" w:eastAsia="es-MX"/>
        </w:rPr>
        <w:t xml:space="preserve"> the different periods of inactivity </w:t>
      </w:r>
      <w:r w:rsidR="007F412F" w:rsidRPr="00AC57EA">
        <w:rPr>
          <w:rFonts w:eastAsia="Batang"/>
          <w:sz w:val="20"/>
          <w:szCs w:val="20"/>
          <w:lang w:val="en-US" w:eastAsia="es-MX"/>
        </w:rPr>
        <w:t>by</w:t>
      </w:r>
      <w:r w:rsidR="00C558FD" w:rsidRPr="00AC57EA">
        <w:rPr>
          <w:rFonts w:eastAsia="Batang"/>
          <w:sz w:val="20"/>
          <w:szCs w:val="20"/>
          <w:lang w:val="en-US" w:eastAsia="es-MX"/>
        </w:rPr>
        <w:t xml:space="preserve"> the authorities.</w:t>
      </w:r>
    </w:p>
    <w:p w14:paraId="58BA4E48" w14:textId="77777777" w:rsidR="00B5625C" w:rsidRPr="00AC57EA" w:rsidRDefault="00B5625C" w:rsidP="00B5625C">
      <w:pPr>
        <w:widowControl/>
        <w:tabs>
          <w:tab w:val="left" w:pos="-142"/>
        </w:tabs>
        <w:adjustRightInd/>
        <w:spacing w:line="240" w:lineRule="auto"/>
        <w:textAlignment w:val="auto"/>
        <w:rPr>
          <w:rFonts w:eastAsia="Batang"/>
          <w:sz w:val="20"/>
          <w:szCs w:val="20"/>
          <w:lang w:val="en-US" w:eastAsia="es-MX"/>
        </w:rPr>
      </w:pPr>
    </w:p>
    <w:p w14:paraId="7E5A078E" w14:textId="1C78EE36" w:rsidR="00F11668" w:rsidRPr="00AC57EA" w:rsidRDefault="00C558FD" w:rsidP="00C558FD">
      <w:pPr>
        <w:widowControl/>
        <w:numPr>
          <w:ilvl w:val="0"/>
          <w:numId w:val="2"/>
        </w:numPr>
        <w:tabs>
          <w:tab w:val="left" w:pos="567"/>
          <w:tab w:val="num" w:pos="12305"/>
        </w:tabs>
        <w:adjustRightInd/>
        <w:spacing w:line="240" w:lineRule="auto"/>
        <w:ind w:left="0" w:firstLine="0"/>
        <w:textAlignment w:val="auto"/>
        <w:rPr>
          <w:rFonts w:eastAsia="Calibri" w:cs="Calibri"/>
          <w:sz w:val="20"/>
          <w:szCs w:val="20"/>
          <w:lang w:val="en-US" w:eastAsia="en-US"/>
        </w:rPr>
      </w:pPr>
      <w:r w:rsidRPr="00AC57EA">
        <w:rPr>
          <w:rFonts w:eastAsia="Batang"/>
          <w:sz w:val="20"/>
          <w:szCs w:val="20"/>
          <w:lang w:val="en-US" w:eastAsia="es-MX"/>
        </w:rPr>
        <w:t>Regarding</w:t>
      </w:r>
      <w:r w:rsidR="00B5625C" w:rsidRPr="00AC57EA">
        <w:rPr>
          <w:rFonts w:eastAsia="Batang"/>
          <w:sz w:val="20"/>
          <w:szCs w:val="20"/>
          <w:lang w:val="en-US" w:eastAsia="es-MX"/>
        </w:rPr>
        <w:t xml:space="preserve"> </w:t>
      </w:r>
      <w:r w:rsidRPr="00AC57EA">
        <w:rPr>
          <w:rFonts w:eastAsia="Batang"/>
          <w:i/>
          <w:iCs/>
          <w:sz w:val="20"/>
          <w:szCs w:val="20"/>
          <w:lang w:val="en-US" w:eastAsia="es-MX"/>
        </w:rPr>
        <w:t xml:space="preserve">the effects on the legal situation of the person involved in the proceedings, </w:t>
      </w:r>
      <w:r w:rsidRPr="00AC57EA">
        <w:rPr>
          <w:rFonts w:eastAsia="Batang"/>
          <w:sz w:val="20"/>
          <w:szCs w:val="20"/>
          <w:lang w:val="en-US" w:eastAsia="es-MX"/>
        </w:rPr>
        <w:t>the Court has established that, if the passage of time has a relevant effect on the legal situation of th</w:t>
      </w:r>
      <w:r w:rsidR="007F412F" w:rsidRPr="00AC57EA">
        <w:rPr>
          <w:rFonts w:eastAsia="Batang"/>
          <w:sz w:val="20"/>
          <w:szCs w:val="20"/>
          <w:lang w:val="en-US" w:eastAsia="es-MX"/>
        </w:rPr>
        <w:t>is person,</w:t>
      </w:r>
      <w:r w:rsidRPr="00AC57EA">
        <w:rPr>
          <w:rFonts w:eastAsia="Batang"/>
          <w:sz w:val="20"/>
          <w:szCs w:val="20"/>
          <w:lang w:val="en-US" w:eastAsia="es-MX"/>
        </w:rPr>
        <w:t xml:space="preserve"> the proceedings </w:t>
      </w:r>
      <w:r w:rsidR="007F412F" w:rsidRPr="00AC57EA">
        <w:rPr>
          <w:rFonts w:eastAsia="Batang"/>
          <w:sz w:val="20"/>
          <w:szCs w:val="20"/>
          <w:lang w:val="en-US" w:eastAsia="es-MX"/>
        </w:rPr>
        <w:t xml:space="preserve">must </w:t>
      </w:r>
      <w:r w:rsidR="00281FF7" w:rsidRPr="00AC57EA">
        <w:rPr>
          <w:rFonts w:eastAsia="Batang"/>
          <w:sz w:val="20"/>
          <w:szCs w:val="20"/>
          <w:lang w:val="en-US" w:eastAsia="es-MX"/>
        </w:rPr>
        <w:t>advance with greater diligence to ensure that the case is decided as soon as possible.</w:t>
      </w:r>
      <w:r w:rsidR="00B5625C" w:rsidRPr="00AC57EA">
        <w:rPr>
          <w:rFonts w:eastAsia="Batang" w:cs="Verdana"/>
          <w:sz w:val="20"/>
          <w:szCs w:val="20"/>
          <w:vertAlign w:val="superscript"/>
          <w:lang w:val="en-US" w:eastAsia="es-MX"/>
        </w:rPr>
        <w:footnoteReference w:id="376"/>
      </w:r>
      <w:r w:rsidR="00281FF7" w:rsidRPr="00AC57EA">
        <w:rPr>
          <w:rFonts w:eastAsia="Batang"/>
          <w:sz w:val="20"/>
          <w:szCs w:val="20"/>
          <w:lang w:val="en-US" w:eastAsia="es-MX"/>
        </w:rPr>
        <w:t xml:space="preserve"> Since the case involved a child victim of sexual violence, the Court finds that an obligation of celerity was increased</w:t>
      </w:r>
      <w:r w:rsidR="008B17C7" w:rsidRPr="00AC57EA">
        <w:rPr>
          <w:rFonts w:eastAsia="Calibri" w:cs="Calibri"/>
          <w:sz w:val="20"/>
          <w:szCs w:val="20"/>
          <w:lang w:val="en-US" w:eastAsia="en-US"/>
        </w:rPr>
        <w:t>.</w:t>
      </w:r>
    </w:p>
    <w:p w14:paraId="5EE0C5E6" w14:textId="5EAE95AC" w:rsidR="00F11668" w:rsidRPr="00AC57EA" w:rsidRDefault="00F11668" w:rsidP="00F11668">
      <w:pPr>
        <w:widowControl/>
        <w:tabs>
          <w:tab w:val="left" w:pos="567"/>
        </w:tabs>
        <w:adjustRightInd/>
        <w:spacing w:line="240" w:lineRule="auto"/>
        <w:textAlignment w:val="auto"/>
        <w:rPr>
          <w:rFonts w:eastAsia="Calibri" w:cs="Calibri"/>
          <w:sz w:val="20"/>
          <w:szCs w:val="20"/>
          <w:lang w:val="en-US" w:eastAsia="en-US"/>
        </w:rPr>
      </w:pPr>
    </w:p>
    <w:p w14:paraId="777D85D0" w14:textId="27843F7D" w:rsidR="00281FF7" w:rsidRPr="00AC57EA" w:rsidRDefault="00281FF7" w:rsidP="008B17C7">
      <w:pPr>
        <w:widowControl/>
        <w:numPr>
          <w:ilvl w:val="0"/>
          <w:numId w:val="2"/>
        </w:numPr>
        <w:tabs>
          <w:tab w:val="left" w:pos="567"/>
          <w:tab w:val="num" w:pos="12305"/>
        </w:tabs>
        <w:adjustRightInd/>
        <w:spacing w:line="240" w:lineRule="auto"/>
        <w:ind w:left="0" w:firstLine="0"/>
        <w:textAlignment w:val="auto"/>
        <w:rPr>
          <w:rFonts w:eastAsia="Batang"/>
          <w:sz w:val="20"/>
          <w:szCs w:val="20"/>
          <w:lang w:val="en-US" w:eastAsia="es-MX"/>
        </w:rPr>
      </w:pPr>
      <w:r w:rsidRPr="00AC57EA">
        <w:rPr>
          <w:rFonts w:eastAsia="Batang"/>
          <w:sz w:val="20"/>
          <w:szCs w:val="20"/>
          <w:lang w:val="en-US" w:eastAsia="es-MX"/>
        </w:rPr>
        <w:t>In the instant case,</w:t>
      </w:r>
      <w:r w:rsidR="00B5625C" w:rsidRPr="00AC57EA">
        <w:rPr>
          <w:rFonts w:eastAsia="Batang"/>
          <w:sz w:val="20"/>
          <w:szCs w:val="20"/>
          <w:lang w:val="en-US" w:eastAsia="es-MX"/>
        </w:rPr>
        <w:t xml:space="preserve"> </w:t>
      </w:r>
      <w:r w:rsidR="00B7258C" w:rsidRPr="00AC57EA">
        <w:rPr>
          <w:rFonts w:eastAsia="Batang"/>
          <w:sz w:val="20"/>
          <w:szCs w:val="20"/>
          <w:lang w:val="en-US" w:eastAsia="es-MX"/>
        </w:rPr>
        <w:t>the Court</w:t>
      </w:r>
      <w:r w:rsidR="00B5625C" w:rsidRPr="00AC57EA">
        <w:rPr>
          <w:rFonts w:eastAsia="Batang"/>
          <w:sz w:val="20"/>
          <w:szCs w:val="20"/>
          <w:lang w:val="en-US" w:eastAsia="es-MX"/>
        </w:rPr>
        <w:t xml:space="preserve"> consider</w:t>
      </w:r>
      <w:r w:rsidRPr="00AC57EA">
        <w:rPr>
          <w:rFonts w:eastAsia="Batang"/>
          <w:sz w:val="20"/>
          <w:szCs w:val="20"/>
          <w:lang w:val="en-US" w:eastAsia="es-MX"/>
        </w:rPr>
        <w:t xml:space="preserve">s that the evidence in the case file confirms the severe effects </w:t>
      </w:r>
      <w:r w:rsidR="007F412F" w:rsidRPr="00AC57EA">
        <w:rPr>
          <w:rFonts w:eastAsia="Batang"/>
          <w:sz w:val="20"/>
          <w:szCs w:val="20"/>
          <w:lang w:val="en-US" w:eastAsia="es-MX"/>
        </w:rPr>
        <w:t xml:space="preserve">of the sexual violence </w:t>
      </w:r>
      <w:r w:rsidRPr="00AC57EA">
        <w:rPr>
          <w:rFonts w:eastAsia="Batang"/>
          <w:sz w:val="20"/>
          <w:szCs w:val="20"/>
          <w:lang w:val="en-US" w:eastAsia="es-MX"/>
        </w:rPr>
        <w:t>on V.R.P.’s physical and mental health</w:t>
      </w:r>
      <w:r w:rsidR="007F412F" w:rsidRPr="00AC57EA">
        <w:rPr>
          <w:rFonts w:eastAsia="Batang"/>
          <w:sz w:val="20"/>
          <w:szCs w:val="20"/>
          <w:lang w:val="en-US" w:eastAsia="es-MX"/>
        </w:rPr>
        <w:t>,</w:t>
      </w:r>
      <w:r w:rsidRPr="00AC57EA">
        <w:rPr>
          <w:rFonts w:eastAsia="Batang"/>
          <w:sz w:val="20"/>
          <w:szCs w:val="20"/>
          <w:lang w:val="en-US" w:eastAsia="es-MX"/>
        </w:rPr>
        <w:t xml:space="preserve"> and her subsequent need for medical and psychological treatment. Therefore, if the judicial authorities had taken into account the vulnerable situation of V.R.P., it should have been eviden</w:t>
      </w:r>
      <w:r w:rsidR="007F412F" w:rsidRPr="00AC57EA">
        <w:rPr>
          <w:rFonts w:eastAsia="Batang"/>
          <w:sz w:val="20"/>
          <w:szCs w:val="20"/>
          <w:lang w:val="en-US" w:eastAsia="es-MX"/>
        </w:rPr>
        <w:t>t</w:t>
      </w:r>
      <w:r w:rsidRPr="00AC57EA">
        <w:rPr>
          <w:rFonts w:eastAsia="Batang"/>
          <w:sz w:val="20"/>
          <w:szCs w:val="20"/>
          <w:lang w:val="en-US" w:eastAsia="es-MX"/>
        </w:rPr>
        <w:t xml:space="preserve"> that the case called for greater diligence by the judicial authorities, because the main objective of the judicial proceedings – which was to investigate and punish the perpetrator of the sexual violence suffered by V.R.P., and to obtain the necessary treatment for the traumatic events experienced by the child – depended on their brevity. On this basis, the Court considers that it has been sufficiently proved that the prolongation of the proceedings in this case had a real and significant impact on the</w:t>
      </w:r>
      <w:r w:rsidR="007F412F" w:rsidRPr="00AC57EA">
        <w:rPr>
          <w:rFonts w:eastAsia="Batang"/>
          <w:sz w:val="20"/>
          <w:szCs w:val="20"/>
          <w:lang w:val="en-US" w:eastAsia="es-MX"/>
        </w:rPr>
        <w:t xml:space="preserve"> presumed victim’s</w:t>
      </w:r>
      <w:r w:rsidRPr="00AC57EA">
        <w:rPr>
          <w:rFonts w:eastAsia="Batang"/>
          <w:sz w:val="20"/>
          <w:szCs w:val="20"/>
          <w:lang w:val="en-US" w:eastAsia="es-MX"/>
        </w:rPr>
        <w:t xml:space="preserve"> legal situation </w:t>
      </w:r>
      <w:r w:rsidR="002C73E3" w:rsidRPr="00AC57EA">
        <w:rPr>
          <w:rFonts w:eastAsia="Calibri" w:cs="Calibri"/>
          <w:sz w:val="20"/>
          <w:szCs w:val="20"/>
          <w:lang w:val="en-US" w:eastAsia="en-US"/>
        </w:rPr>
        <w:t xml:space="preserve">because the delay in the judicial </w:t>
      </w:r>
      <w:r w:rsidR="007F412F" w:rsidRPr="00AC57EA">
        <w:rPr>
          <w:rFonts w:eastAsia="Calibri" w:cs="Calibri"/>
          <w:sz w:val="20"/>
          <w:szCs w:val="20"/>
          <w:lang w:val="en-US" w:eastAsia="en-US"/>
        </w:rPr>
        <w:t>resolution</w:t>
      </w:r>
      <w:r w:rsidR="002C73E3" w:rsidRPr="00AC57EA">
        <w:rPr>
          <w:rFonts w:eastAsia="Calibri" w:cs="Calibri"/>
          <w:sz w:val="20"/>
          <w:szCs w:val="20"/>
          <w:lang w:val="en-US" w:eastAsia="en-US"/>
        </w:rPr>
        <w:t xml:space="preserve"> of the case affected her daily life.</w:t>
      </w:r>
    </w:p>
    <w:p w14:paraId="6F62EA26" w14:textId="77777777" w:rsidR="00B5625C" w:rsidRPr="00AC57EA" w:rsidRDefault="00B5625C" w:rsidP="00B5625C">
      <w:pPr>
        <w:widowControl/>
        <w:tabs>
          <w:tab w:val="left" w:pos="-142"/>
        </w:tabs>
        <w:adjustRightInd/>
        <w:spacing w:line="240" w:lineRule="auto"/>
        <w:textAlignment w:val="auto"/>
        <w:rPr>
          <w:rFonts w:eastAsia="Calibri" w:cs="Calibri"/>
          <w:sz w:val="20"/>
          <w:szCs w:val="20"/>
          <w:lang w:val="en-US" w:eastAsia="en-US"/>
        </w:rPr>
      </w:pPr>
    </w:p>
    <w:p w14:paraId="40BDB0B6" w14:textId="54A131DC" w:rsidR="00B5625C" w:rsidRPr="00AC57EA" w:rsidRDefault="002C73E3" w:rsidP="00CD287C">
      <w:pPr>
        <w:widowControl/>
        <w:numPr>
          <w:ilvl w:val="0"/>
          <w:numId w:val="2"/>
        </w:numPr>
        <w:tabs>
          <w:tab w:val="left" w:pos="567"/>
          <w:tab w:val="num" w:pos="12305"/>
        </w:tabs>
        <w:adjustRightInd/>
        <w:spacing w:line="240" w:lineRule="auto"/>
        <w:ind w:left="0" w:firstLine="0"/>
        <w:textAlignment w:val="auto"/>
        <w:rPr>
          <w:rFonts w:eastAsiaTheme="minorHAnsi" w:cs="Arial"/>
          <w:sz w:val="20"/>
          <w:szCs w:val="20"/>
          <w:lang w:val="en-US" w:eastAsia="en-US"/>
        </w:rPr>
      </w:pPr>
      <w:r w:rsidRPr="00AC57EA">
        <w:rPr>
          <w:rFonts w:eastAsia="Batang" w:cs="Arial"/>
          <w:sz w:val="20"/>
          <w:szCs w:val="20"/>
          <w:lang w:val="en-US" w:eastAsia="es-MX"/>
        </w:rPr>
        <w:t xml:space="preserve">Having analyzed the four elements for determining the reasonableness of the time, the Court concludes that the judicial authorities did not act with </w:t>
      </w:r>
      <w:r w:rsidR="00DF5031" w:rsidRPr="00AC57EA">
        <w:rPr>
          <w:rFonts w:eastAsia="Batang" w:cs="Arial"/>
          <w:sz w:val="20"/>
          <w:szCs w:val="20"/>
          <w:lang w:val="en-US" w:eastAsia="es-MX"/>
        </w:rPr>
        <w:t xml:space="preserve">the </w:t>
      </w:r>
      <w:r w:rsidRPr="00AC57EA">
        <w:rPr>
          <w:rFonts w:eastAsia="Batang" w:cs="Arial"/>
          <w:sz w:val="20"/>
          <w:szCs w:val="20"/>
          <w:lang w:val="en-US" w:eastAsia="es-MX"/>
        </w:rPr>
        <w:t>due diligence and celerity required by the vulnerable situation of V.R.P., a child victim of sexual violence and</w:t>
      </w:r>
      <w:r w:rsidR="00DF5031" w:rsidRPr="00AC57EA">
        <w:rPr>
          <w:rFonts w:eastAsia="Batang" w:cs="Arial"/>
          <w:sz w:val="20"/>
          <w:szCs w:val="20"/>
          <w:lang w:val="en-US" w:eastAsia="es-MX"/>
        </w:rPr>
        <w:t>,</w:t>
      </w:r>
      <w:r w:rsidRPr="00AC57EA">
        <w:rPr>
          <w:rFonts w:eastAsia="Batang" w:cs="Arial"/>
          <w:sz w:val="20"/>
          <w:szCs w:val="20"/>
          <w:lang w:val="en-US" w:eastAsia="es-MX"/>
        </w:rPr>
        <w:t xml:space="preserve"> for this reason, the proceedings exceeded </w:t>
      </w:r>
      <w:r w:rsidR="00DF5031" w:rsidRPr="00AC57EA">
        <w:rPr>
          <w:rFonts w:eastAsia="Batang" w:cs="Arial"/>
          <w:sz w:val="20"/>
          <w:szCs w:val="20"/>
          <w:lang w:val="en-US" w:eastAsia="es-MX"/>
        </w:rPr>
        <w:t>a</w:t>
      </w:r>
      <w:r w:rsidRPr="00AC57EA">
        <w:rPr>
          <w:rFonts w:eastAsia="Batang" w:cs="Arial"/>
          <w:sz w:val="20"/>
          <w:szCs w:val="20"/>
          <w:lang w:val="en-US" w:eastAsia="es-MX"/>
        </w:rPr>
        <w:t xml:space="preserve"> </w:t>
      </w:r>
      <w:r w:rsidR="009F3BE2" w:rsidRPr="00AC57EA">
        <w:rPr>
          <w:rFonts w:eastAsia="Batang" w:cs="Arial"/>
          <w:sz w:val="20"/>
          <w:szCs w:val="20"/>
          <w:lang w:val="en-US" w:eastAsia="es-MX"/>
        </w:rPr>
        <w:t>reasonable time</w:t>
      </w:r>
      <w:r w:rsidRPr="00AC57EA">
        <w:rPr>
          <w:rFonts w:eastAsia="Batang" w:cs="Arial"/>
          <w:sz w:val="20"/>
          <w:szCs w:val="20"/>
          <w:lang w:val="en-US" w:eastAsia="es-MX"/>
        </w:rPr>
        <w:t xml:space="preserve"> </w:t>
      </w:r>
      <w:r w:rsidR="00DF5031" w:rsidRPr="00AC57EA">
        <w:rPr>
          <w:rFonts w:eastAsia="Batang" w:cs="Arial"/>
          <w:sz w:val="20"/>
          <w:szCs w:val="20"/>
          <w:lang w:val="en-US" w:eastAsia="es-MX"/>
        </w:rPr>
        <w:t>and this</w:t>
      </w:r>
      <w:r w:rsidRPr="00AC57EA">
        <w:rPr>
          <w:rFonts w:eastAsia="Batang" w:cs="Arial"/>
          <w:sz w:val="20"/>
          <w:szCs w:val="20"/>
          <w:lang w:val="en-US" w:eastAsia="es-MX"/>
        </w:rPr>
        <w:t xml:space="preserve"> violated the right to judicial guarantees established in</w:t>
      </w:r>
      <w:r w:rsidR="001A107F" w:rsidRPr="00AC57EA">
        <w:rPr>
          <w:rFonts w:eastAsia="Batang" w:cs="Arial"/>
          <w:sz w:val="20"/>
          <w:szCs w:val="20"/>
          <w:lang w:val="en-US" w:eastAsia="es-MX"/>
        </w:rPr>
        <w:t xml:space="preserve"> </w:t>
      </w:r>
      <w:r w:rsidR="00B7258C" w:rsidRPr="00AC57EA">
        <w:rPr>
          <w:rFonts w:eastAsia="Batang" w:cs="Arial"/>
          <w:sz w:val="20"/>
          <w:szCs w:val="20"/>
          <w:lang w:val="en-US" w:eastAsia="es-MX"/>
        </w:rPr>
        <w:t>Article</w:t>
      </w:r>
      <w:r w:rsidR="00B5625C" w:rsidRPr="00AC57EA">
        <w:rPr>
          <w:rFonts w:eastAsia="Batang" w:cs="Arial"/>
          <w:sz w:val="20"/>
          <w:szCs w:val="20"/>
          <w:lang w:val="en-US" w:eastAsia="es-MX"/>
        </w:rPr>
        <w:t xml:space="preserve"> </w:t>
      </w:r>
      <w:r w:rsidR="00171E27" w:rsidRPr="00AC57EA">
        <w:rPr>
          <w:rFonts w:eastAsia="Batang" w:cs="Arial"/>
          <w:sz w:val="20"/>
          <w:szCs w:val="20"/>
          <w:lang w:val="en-US" w:eastAsia="es-MX"/>
        </w:rPr>
        <w:t>8(1)</w:t>
      </w:r>
      <w:r w:rsidR="00B7258C" w:rsidRPr="00AC57EA">
        <w:rPr>
          <w:rFonts w:eastAsia="Batang" w:cs="Arial"/>
          <w:sz w:val="20"/>
          <w:szCs w:val="20"/>
          <w:lang w:val="en-US" w:eastAsia="es-MX"/>
        </w:rPr>
        <w:t xml:space="preserve"> of the American Convention</w:t>
      </w:r>
      <w:r w:rsidR="001A107F" w:rsidRPr="00AC57EA">
        <w:rPr>
          <w:rFonts w:eastAsia="Batang" w:cs="Arial"/>
          <w:sz w:val="20"/>
          <w:szCs w:val="20"/>
          <w:lang w:val="en-US" w:eastAsia="es-MX"/>
        </w:rPr>
        <w:t xml:space="preserve">, </w:t>
      </w:r>
      <w:r w:rsidR="00171E27" w:rsidRPr="00AC57EA">
        <w:rPr>
          <w:rFonts w:eastAsia="Batang" w:cs="Arial"/>
          <w:sz w:val="20"/>
          <w:szCs w:val="20"/>
          <w:lang w:val="en-US" w:eastAsia="es-MX"/>
        </w:rPr>
        <w:t xml:space="preserve">in relation to Articles 1(1) and </w:t>
      </w:r>
      <w:r w:rsidR="00416AA0" w:rsidRPr="00AC57EA">
        <w:rPr>
          <w:rFonts w:eastAsia="Batang" w:cs="Arial"/>
          <w:sz w:val="20"/>
          <w:szCs w:val="20"/>
          <w:lang w:val="en-US" w:eastAsia="es-MX"/>
        </w:rPr>
        <w:t xml:space="preserve">19 </w:t>
      </w:r>
      <w:r w:rsidR="002A5974" w:rsidRPr="00AC57EA">
        <w:rPr>
          <w:rFonts w:eastAsia="Batang" w:cs="Arial"/>
          <w:sz w:val="20"/>
          <w:szCs w:val="20"/>
          <w:lang w:val="en-US" w:eastAsia="es-MX"/>
        </w:rPr>
        <w:t>of this instrument</w:t>
      </w:r>
      <w:r w:rsidR="00171E27" w:rsidRPr="00AC57EA">
        <w:rPr>
          <w:rFonts w:eastAsia="Batang" w:cs="Arial"/>
          <w:sz w:val="20"/>
          <w:szCs w:val="20"/>
          <w:lang w:val="en-US" w:eastAsia="es-MX"/>
        </w:rPr>
        <w:t xml:space="preserve"> and </w:t>
      </w:r>
      <w:r w:rsidR="00B7258C" w:rsidRPr="00AC57EA">
        <w:rPr>
          <w:rFonts w:eastAsia="Batang" w:cs="Arial"/>
          <w:sz w:val="20"/>
          <w:szCs w:val="20"/>
          <w:lang w:val="en-US" w:eastAsia="es-MX"/>
        </w:rPr>
        <w:t>Article</w:t>
      </w:r>
      <w:r w:rsidR="00B5625C" w:rsidRPr="00AC57EA">
        <w:rPr>
          <w:rFonts w:eastAsia="Batang" w:cs="Arial"/>
          <w:sz w:val="20"/>
          <w:szCs w:val="20"/>
          <w:lang w:val="en-US" w:eastAsia="es-MX"/>
        </w:rPr>
        <w:t xml:space="preserve"> </w:t>
      </w:r>
      <w:r w:rsidR="007D5AA2" w:rsidRPr="00AC57EA">
        <w:rPr>
          <w:rFonts w:eastAsia="Batang" w:cs="Arial"/>
          <w:sz w:val="20"/>
          <w:szCs w:val="20"/>
          <w:lang w:val="en-US" w:eastAsia="es-MX"/>
        </w:rPr>
        <w:t>7(b)</w:t>
      </w:r>
      <w:r w:rsidR="00B7258C" w:rsidRPr="00AC57EA">
        <w:rPr>
          <w:rFonts w:eastAsia="Batang" w:cs="Arial"/>
          <w:sz w:val="20"/>
          <w:szCs w:val="20"/>
          <w:lang w:val="en-US" w:eastAsia="es-MX"/>
        </w:rPr>
        <w:t xml:space="preserve"> of the </w:t>
      </w:r>
      <w:r w:rsidR="00171E27" w:rsidRPr="00AC57EA">
        <w:rPr>
          <w:rFonts w:eastAsia="Batang"/>
          <w:sz w:val="20"/>
          <w:szCs w:val="20"/>
          <w:lang w:val="en-US" w:eastAsia="es-MX"/>
        </w:rPr>
        <w:t>Convention of Belém</w:t>
      </w:r>
      <w:r w:rsidR="001A107F" w:rsidRPr="00AC57EA">
        <w:rPr>
          <w:rFonts w:eastAsia="Batang"/>
          <w:sz w:val="20"/>
          <w:szCs w:val="20"/>
          <w:lang w:val="en-US" w:eastAsia="es-MX"/>
        </w:rPr>
        <w:t xml:space="preserve"> do Pará</w:t>
      </w:r>
      <w:r w:rsidR="00B5625C" w:rsidRPr="00AC57EA">
        <w:rPr>
          <w:rFonts w:eastAsia="Batang" w:cs="Arial"/>
          <w:sz w:val="20"/>
          <w:szCs w:val="20"/>
          <w:lang w:val="en-US" w:eastAsia="es-MX"/>
        </w:rPr>
        <w:t xml:space="preserve">, </w:t>
      </w:r>
      <w:r w:rsidR="002F084B" w:rsidRPr="00AC57EA">
        <w:rPr>
          <w:rFonts w:eastAsia="Batang" w:cs="Arial"/>
          <w:sz w:val="20"/>
          <w:szCs w:val="20"/>
          <w:lang w:val="en-US" w:eastAsia="es-MX"/>
        </w:rPr>
        <w:t>to the detriment of</w:t>
      </w:r>
      <w:r w:rsidR="00B5625C" w:rsidRPr="00AC57EA">
        <w:rPr>
          <w:rFonts w:eastAsia="Batang" w:cs="Arial"/>
          <w:sz w:val="20"/>
          <w:szCs w:val="20"/>
          <w:lang w:val="en-US" w:eastAsia="es-MX"/>
        </w:rPr>
        <w:t xml:space="preserve"> V.R.P.</w:t>
      </w:r>
      <w:r w:rsidR="00171E27" w:rsidRPr="00AC57EA">
        <w:rPr>
          <w:rFonts w:eastAsia="Batang" w:cs="Arial"/>
          <w:sz w:val="20"/>
          <w:szCs w:val="20"/>
          <w:lang w:val="en-US" w:eastAsia="es-MX"/>
        </w:rPr>
        <w:t xml:space="preserve"> and </w:t>
      </w:r>
      <w:r w:rsidR="001A107F" w:rsidRPr="00AC57EA">
        <w:rPr>
          <w:rFonts w:eastAsia="Batang" w:cs="Arial"/>
          <w:sz w:val="20"/>
          <w:szCs w:val="20"/>
          <w:lang w:val="en-US" w:eastAsia="es-MX"/>
        </w:rPr>
        <w:t>V.P.C.</w:t>
      </w:r>
    </w:p>
    <w:p w14:paraId="4831082A" w14:textId="77777777" w:rsidR="00B5625C" w:rsidRPr="00AC57EA" w:rsidRDefault="00B5625C" w:rsidP="00B5625C">
      <w:pPr>
        <w:widowControl/>
        <w:adjustRightInd/>
        <w:spacing w:line="240" w:lineRule="auto"/>
        <w:textAlignment w:val="auto"/>
        <w:rPr>
          <w:sz w:val="20"/>
          <w:szCs w:val="20"/>
          <w:lang w:val="en-US" w:eastAsia="en-US"/>
        </w:rPr>
      </w:pPr>
    </w:p>
    <w:p w14:paraId="1C130921" w14:textId="626D6A16" w:rsidR="006F71B8" w:rsidRPr="00AC57EA" w:rsidRDefault="00837200" w:rsidP="00681AE9">
      <w:pPr>
        <w:pStyle w:val="Prrafodelista"/>
        <w:keepNext/>
        <w:keepLines/>
        <w:widowControl/>
        <w:numPr>
          <w:ilvl w:val="0"/>
          <w:numId w:val="16"/>
        </w:numPr>
        <w:tabs>
          <w:tab w:val="left" w:pos="1134"/>
        </w:tabs>
        <w:autoSpaceDE w:val="0"/>
        <w:autoSpaceDN w:val="0"/>
        <w:adjustRightInd/>
        <w:spacing w:line="240" w:lineRule="auto"/>
        <w:ind w:left="1134" w:hanging="567"/>
        <w:textAlignment w:val="auto"/>
        <w:outlineLvl w:val="1"/>
        <w:rPr>
          <w:rFonts w:eastAsia="MS Mincho" w:cs="Arial"/>
          <w:b/>
          <w:bCs/>
          <w:i/>
          <w:kern w:val="2"/>
          <w:sz w:val="20"/>
          <w:szCs w:val="20"/>
          <w:lang w:val="en-US" w:eastAsia="en-US"/>
        </w:rPr>
      </w:pPr>
      <w:bookmarkStart w:id="135" w:name="_Toc514172648"/>
      <w:r w:rsidRPr="00AC57EA">
        <w:rPr>
          <w:rFonts w:eastAsia="MS Mincho" w:cs="Arial"/>
          <w:b/>
          <w:bCs/>
          <w:i/>
          <w:kern w:val="2"/>
          <w:sz w:val="20"/>
          <w:szCs w:val="20"/>
          <w:lang w:val="en-US" w:eastAsia="en-US"/>
        </w:rPr>
        <w:t>The principle of equality and non-discrimination in the</w:t>
      </w:r>
      <w:r w:rsidR="00117BEC" w:rsidRPr="00AC57EA">
        <w:rPr>
          <w:rFonts w:eastAsia="MS Mincho" w:cs="Arial"/>
          <w:b/>
          <w:bCs/>
          <w:i/>
          <w:kern w:val="2"/>
          <w:sz w:val="20"/>
          <w:szCs w:val="20"/>
          <w:lang w:val="en-US" w:eastAsia="en-US"/>
        </w:rPr>
        <w:t xml:space="preserve"> </w:t>
      </w:r>
      <w:r w:rsidR="002A5974" w:rsidRPr="00AC57EA">
        <w:rPr>
          <w:rFonts w:eastAsia="MS Mincho" w:cs="Arial"/>
          <w:b/>
          <w:bCs/>
          <w:i/>
          <w:kern w:val="2"/>
          <w:sz w:val="20"/>
          <w:szCs w:val="20"/>
          <w:lang w:val="en-US" w:eastAsia="en-US"/>
        </w:rPr>
        <w:t>access to justice</w:t>
      </w:r>
      <w:r w:rsidR="006F71B8" w:rsidRPr="00AC57EA">
        <w:rPr>
          <w:rFonts w:eastAsia="MS Mincho" w:cs="Arial"/>
          <w:b/>
          <w:bCs/>
          <w:i/>
          <w:kern w:val="2"/>
          <w:sz w:val="20"/>
          <w:szCs w:val="20"/>
          <w:lang w:val="en-US" w:eastAsia="en-US"/>
        </w:rPr>
        <w:t xml:space="preserve"> </w:t>
      </w:r>
      <w:r w:rsidRPr="00AC57EA">
        <w:rPr>
          <w:rFonts w:eastAsia="MS Mincho" w:cs="Arial"/>
          <w:b/>
          <w:bCs/>
          <w:i/>
          <w:kern w:val="2"/>
          <w:sz w:val="20"/>
          <w:szCs w:val="20"/>
          <w:lang w:val="en-US" w:eastAsia="en-US"/>
        </w:rPr>
        <w:t>of the child V.R.P. and institutional violence</w:t>
      </w:r>
      <w:bookmarkEnd w:id="135"/>
    </w:p>
    <w:p w14:paraId="2151F09C" w14:textId="77777777" w:rsidR="006F71B8" w:rsidRPr="00AC57EA" w:rsidRDefault="006F71B8" w:rsidP="006F71B8">
      <w:pPr>
        <w:widowControl/>
        <w:adjustRightInd/>
        <w:spacing w:line="240" w:lineRule="auto"/>
        <w:jc w:val="left"/>
        <w:textAlignment w:val="auto"/>
        <w:rPr>
          <w:sz w:val="20"/>
          <w:szCs w:val="20"/>
          <w:lang w:val="en-US"/>
        </w:rPr>
      </w:pPr>
    </w:p>
    <w:p w14:paraId="5F885E4C" w14:textId="2D5ABE16" w:rsidR="0032081D" w:rsidRPr="00AC57EA" w:rsidRDefault="00A32A5E" w:rsidP="00A32A5E">
      <w:pPr>
        <w:keepNext/>
        <w:keepLines/>
        <w:tabs>
          <w:tab w:val="left" w:pos="1701"/>
        </w:tabs>
        <w:spacing w:line="240" w:lineRule="auto"/>
        <w:ind w:left="1134"/>
        <w:outlineLvl w:val="1"/>
        <w:rPr>
          <w:bCs/>
          <w:i/>
          <w:sz w:val="20"/>
          <w:szCs w:val="20"/>
          <w:lang w:val="en-US"/>
        </w:rPr>
      </w:pPr>
      <w:bookmarkStart w:id="136" w:name="_Toc514172649"/>
      <w:r w:rsidRPr="00AC57EA">
        <w:rPr>
          <w:bCs/>
          <w:i/>
          <w:sz w:val="20"/>
          <w:szCs w:val="20"/>
          <w:lang w:val="en-US"/>
        </w:rPr>
        <w:t>D</w:t>
      </w:r>
      <w:r w:rsidR="0032081D" w:rsidRPr="00AC57EA">
        <w:rPr>
          <w:bCs/>
          <w:i/>
          <w:sz w:val="20"/>
          <w:szCs w:val="20"/>
          <w:lang w:val="en-US"/>
        </w:rPr>
        <w:t xml:space="preserve">.1 </w:t>
      </w:r>
      <w:r w:rsidRPr="00AC57EA">
        <w:rPr>
          <w:bCs/>
          <w:i/>
          <w:sz w:val="20"/>
          <w:szCs w:val="20"/>
          <w:lang w:val="en-US"/>
        </w:rPr>
        <w:tab/>
      </w:r>
      <w:r w:rsidR="009E569E" w:rsidRPr="00AC57EA">
        <w:rPr>
          <w:bCs/>
          <w:i/>
          <w:sz w:val="20"/>
          <w:szCs w:val="20"/>
          <w:lang w:val="en-US"/>
        </w:rPr>
        <w:t>Arguments</w:t>
      </w:r>
      <w:r w:rsidR="0032081D" w:rsidRPr="00AC57EA">
        <w:rPr>
          <w:bCs/>
          <w:i/>
          <w:sz w:val="20"/>
          <w:szCs w:val="20"/>
          <w:lang w:val="en-US"/>
        </w:rPr>
        <w:t xml:space="preserve"> </w:t>
      </w:r>
      <w:r w:rsidR="0025395E" w:rsidRPr="00AC57EA">
        <w:rPr>
          <w:bCs/>
          <w:i/>
          <w:sz w:val="20"/>
          <w:szCs w:val="20"/>
          <w:lang w:val="en-US"/>
        </w:rPr>
        <w:t>of the parties</w:t>
      </w:r>
      <w:r w:rsidR="00171E27" w:rsidRPr="00AC57EA">
        <w:rPr>
          <w:bCs/>
          <w:i/>
          <w:sz w:val="20"/>
          <w:szCs w:val="20"/>
          <w:lang w:val="en-US"/>
        </w:rPr>
        <w:t xml:space="preserve"> and </w:t>
      </w:r>
      <w:r w:rsidR="00B7258C" w:rsidRPr="00AC57EA">
        <w:rPr>
          <w:bCs/>
          <w:i/>
          <w:sz w:val="20"/>
          <w:szCs w:val="20"/>
          <w:lang w:val="en-US"/>
        </w:rPr>
        <w:t>of the Commission</w:t>
      </w:r>
      <w:bookmarkEnd w:id="136"/>
    </w:p>
    <w:p w14:paraId="0D966A58" w14:textId="77777777" w:rsidR="0032081D" w:rsidRPr="00AC57EA" w:rsidRDefault="0032081D" w:rsidP="006F71B8">
      <w:pPr>
        <w:widowControl/>
        <w:adjustRightInd/>
        <w:spacing w:line="240" w:lineRule="auto"/>
        <w:jc w:val="left"/>
        <w:textAlignment w:val="auto"/>
        <w:rPr>
          <w:sz w:val="20"/>
          <w:szCs w:val="20"/>
          <w:lang w:val="en-US"/>
        </w:rPr>
      </w:pPr>
    </w:p>
    <w:p w14:paraId="7B51D433" w14:textId="59970CDA" w:rsidR="00E67FC0" w:rsidRPr="00AC57EA" w:rsidRDefault="00B7258C" w:rsidP="00305A14">
      <w:pPr>
        <w:widowControl/>
        <w:numPr>
          <w:ilvl w:val="0"/>
          <w:numId w:val="2"/>
        </w:numPr>
        <w:tabs>
          <w:tab w:val="left" w:pos="567"/>
          <w:tab w:val="num" w:pos="12305"/>
        </w:tabs>
        <w:adjustRightInd/>
        <w:spacing w:line="240" w:lineRule="auto"/>
        <w:ind w:left="0" w:firstLine="0"/>
        <w:textAlignment w:val="auto"/>
        <w:rPr>
          <w:b/>
          <w:sz w:val="16"/>
          <w:szCs w:val="16"/>
          <w:lang w:val="en-US"/>
        </w:rPr>
      </w:pPr>
      <w:r w:rsidRPr="00AC57EA">
        <w:rPr>
          <w:sz w:val="20"/>
          <w:szCs w:val="20"/>
          <w:lang w:val="en-US"/>
        </w:rPr>
        <w:t xml:space="preserve">The </w:t>
      </w:r>
      <w:r w:rsidRPr="00AC57EA">
        <w:rPr>
          <w:b/>
          <w:bCs/>
          <w:i/>
          <w:iCs/>
          <w:sz w:val="20"/>
          <w:szCs w:val="20"/>
          <w:lang w:val="en-US"/>
        </w:rPr>
        <w:t>Commission</w:t>
      </w:r>
      <w:r w:rsidR="0032081D" w:rsidRPr="00AC57EA">
        <w:rPr>
          <w:sz w:val="20"/>
          <w:szCs w:val="20"/>
          <w:lang w:val="en-US"/>
        </w:rPr>
        <w:t xml:space="preserve"> </w:t>
      </w:r>
      <w:r w:rsidR="00026D7C" w:rsidRPr="00AC57EA">
        <w:rPr>
          <w:rFonts w:eastAsia="Batang" w:cs="Arial"/>
          <w:sz w:val="20"/>
          <w:szCs w:val="20"/>
          <w:lang w:val="en-US" w:eastAsia="es-MX"/>
        </w:rPr>
        <w:t>emphasized that</w:t>
      </w:r>
      <w:r w:rsidR="0032081D" w:rsidRPr="00AC57EA">
        <w:rPr>
          <w:sz w:val="20"/>
          <w:szCs w:val="20"/>
          <w:lang w:val="en-US"/>
        </w:rPr>
        <w:t xml:space="preserve"> </w:t>
      </w:r>
      <w:r w:rsidR="00EC52D7" w:rsidRPr="00AC57EA">
        <w:rPr>
          <w:sz w:val="20"/>
          <w:szCs w:val="20"/>
          <w:lang w:val="en-US"/>
        </w:rPr>
        <w:t>the State</w:t>
      </w:r>
      <w:r w:rsidR="0032081D" w:rsidRPr="00AC57EA">
        <w:rPr>
          <w:sz w:val="20"/>
          <w:szCs w:val="20"/>
          <w:lang w:val="en-US"/>
        </w:rPr>
        <w:t xml:space="preserve"> </w:t>
      </w:r>
      <w:r w:rsidR="00026D7C" w:rsidRPr="00AC57EA">
        <w:rPr>
          <w:sz w:val="20"/>
          <w:szCs w:val="20"/>
          <w:lang w:val="en-US"/>
        </w:rPr>
        <w:t xml:space="preserve">was faced with a serious act of sexual violence against a female and a child, which constituted an expression of the socially prevalent discrimination against women. As such, the State had the obligation not only to refrain from revictimizing or discriminating against the victim during the investigation and the criminal proceedings, but also to conduct an investigation that took into account </w:t>
      </w:r>
      <w:r w:rsidR="00C51EC1" w:rsidRPr="00AC57EA">
        <w:rPr>
          <w:sz w:val="20"/>
          <w:szCs w:val="20"/>
          <w:lang w:val="en-US"/>
        </w:rPr>
        <w:t>its</w:t>
      </w:r>
      <w:r w:rsidR="00026D7C" w:rsidRPr="00AC57EA">
        <w:rPr>
          <w:sz w:val="20"/>
          <w:szCs w:val="20"/>
          <w:lang w:val="en-US"/>
        </w:rPr>
        <w:t xml:space="preserve"> </w:t>
      </w:r>
      <w:r w:rsidR="00DF5031" w:rsidRPr="00AC57EA">
        <w:rPr>
          <w:sz w:val="20"/>
          <w:szCs w:val="20"/>
          <w:lang w:val="en-US"/>
        </w:rPr>
        <w:t>enhanced</w:t>
      </w:r>
      <w:r w:rsidR="00026D7C" w:rsidRPr="00AC57EA">
        <w:rPr>
          <w:sz w:val="20"/>
          <w:szCs w:val="20"/>
          <w:lang w:val="en-US"/>
        </w:rPr>
        <w:t xml:space="preserve"> duty to consider </w:t>
      </w:r>
      <w:r w:rsidR="00C51EC1" w:rsidRPr="00AC57EA">
        <w:rPr>
          <w:sz w:val="20"/>
          <w:szCs w:val="20"/>
          <w:lang w:val="en-US"/>
        </w:rPr>
        <w:t>V.R.P.’s</w:t>
      </w:r>
      <w:r w:rsidR="00026D7C" w:rsidRPr="00AC57EA">
        <w:rPr>
          <w:sz w:val="20"/>
          <w:szCs w:val="20"/>
          <w:lang w:val="en-US"/>
        </w:rPr>
        <w:t xml:space="preserve"> two-fold vulnerability as a female and as a child victim of sexual violence.</w:t>
      </w:r>
      <w:r w:rsidR="00C51EC1" w:rsidRPr="00AC57EA">
        <w:rPr>
          <w:sz w:val="20"/>
          <w:szCs w:val="20"/>
          <w:lang w:val="en-US"/>
        </w:rPr>
        <w:t xml:space="preserve"> However, several aspects of the investigation reveal</w:t>
      </w:r>
      <w:r w:rsidR="00DF5031" w:rsidRPr="00AC57EA">
        <w:rPr>
          <w:sz w:val="20"/>
          <w:szCs w:val="20"/>
          <w:lang w:val="en-US"/>
        </w:rPr>
        <w:t>ed</w:t>
      </w:r>
      <w:r w:rsidR="00C51EC1" w:rsidRPr="00AC57EA">
        <w:rPr>
          <w:sz w:val="20"/>
          <w:szCs w:val="20"/>
          <w:lang w:val="en-US"/>
        </w:rPr>
        <w:t xml:space="preserve"> that the State had not complied with this duty; for example, the conduct of the forensic physician responsible for the first examination of V.R.P., as well as that of the judge in charge of the proceedings, who requested the direct participation of the child and that she place herself in the position in which she had been raped by the perpetrator, without any type of psychological support. The Commission also recalled that the influence exerted by discriminatory socio-cultural patterns </w:t>
      </w:r>
      <w:r w:rsidR="00DF5031" w:rsidRPr="00AC57EA">
        <w:rPr>
          <w:sz w:val="20"/>
          <w:szCs w:val="20"/>
          <w:lang w:val="en-US"/>
        </w:rPr>
        <w:t>might</w:t>
      </w:r>
      <w:r w:rsidR="00C51EC1" w:rsidRPr="00AC57EA">
        <w:rPr>
          <w:sz w:val="20"/>
          <w:szCs w:val="20"/>
          <w:lang w:val="en-US"/>
        </w:rPr>
        <w:t xml:space="preserve"> cause a victim’s credibility to be questioned during criminal proceedings in cases of violence. It considered that the State had not proved that, when determining the responsibility of the presumed perpetrator, it had taken V.R.P.’s consistent statements into consideration, or indicated how it had assessed the available evidence. The Commission considered that there was enough evidence to conclude that the impunity</w:t>
      </w:r>
      <w:r w:rsidR="00305A14" w:rsidRPr="00AC57EA">
        <w:rPr>
          <w:sz w:val="20"/>
          <w:szCs w:val="20"/>
          <w:lang w:val="en-US"/>
        </w:rPr>
        <w:t xml:space="preserve"> in which the case remains </w:t>
      </w:r>
      <w:r w:rsidR="00DF5031" w:rsidRPr="00AC57EA">
        <w:rPr>
          <w:sz w:val="20"/>
          <w:szCs w:val="20"/>
          <w:lang w:val="en-US"/>
        </w:rPr>
        <w:t>was due</w:t>
      </w:r>
      <w:r w:rsidR="00305A14" w:rsidRPr="00AC57EA">
        <w:rPr>
          <w:sz w:val="20"/>
          <w:szCs w:val="20"/>
          <w:lang w:val="en-US"/>
        </w:rPr>
        <w:t xml:space="preserve"> precisely to the lack of due diligence. Thus, it concluded that, if the situation of impunity in a case of violence against a female child is due to the acts and omissions of the State, this impunity itself constitutes a perpetuation of the discrimination revealed by the violence, as well as a form of discrimination as regards access to justice. On this basis, the Commission concluded that the State was responsible for the violation of the</w:t>
      </w:r>
      <w:r w:rsidR="00305A14" w:rsidRPr="00AC57EA">
        <w:rPr>
          <w:b/>
          <w:sz w:val="16"/>
          <w:szCs w:val="16"/>
          <w:lang w:val="en-US"/>
        </w:rPr>
        <w:t xml:space="preserve"> </w:t>
      </w:r>
      <w:r w:rsidR="00837200" w:rsidRPr="00AC57EA">
        <w:rPr>
          <w:sz w:val="20"/>
          <w:szCs w:val="20"/>
          <w:lang w:val="en-US"/>
        </w:rPr>
        <w:t>principle of equality and non-discrimination</w:t>
      </w:r>
      <w:r w:rsidR="0032081D" w:rsidRPr="00AC57EA">
        <w:rPr>
          <w:sz w:val="20"/>
          <w:szCs w:val="20"/>
          <w:lang w:val="en-US"/>
        </w:rPr>
        <w:t xml:space="preserve"> </w:t>
      </w:r>
      <w:r w:rsidR="00305A14" w:rsidRPr="00AC57EA">
        <w:rPr>
          <w:sz w:val="20"/>
          <w:szCs w:val="20"/>
          <w:lang w:val="en-US"/>
        </w:rPr>
        <w:t>established in</w:t>
      </w:r>
      <w:r w:rsidR="0032081D" w:rsidRPr="00AC57EA">
        <w:rPr>
          <w:sz w:val="20"/>
          <w:szCs w:val="20"/>
          <w:lang w:val="en-US"/>
        </w:rPr>
        <w:t xml:space="preserve"> </w:t>
      </w:r>
      <w:r w:rsidRPr="00AC57EA">
        <w:rPr>
          <w:sz w:val="20"/>
          <w:szCs w:val="20"/>
          <w:lang w:val="en-US"/>
        </w:rPr>
        <w:t>Article</w:t>
      </w:r>
      <w:r w:rsidR="0032081D" w:rsidRPr="00AC57EA">
        <w:rPr>
          <w:sz w:val="20"/>
          <w:szCs w:val="20"/>
          <w:lang w:val="en-US"/>
        </w:rPr>
        <w:t xml:space="preserve"> 24</w:t>
      </w:r>
      <w:r w:rsidRPr="00AC57EA">
        <w:rPr>
          <w:sz w:val="20"/>
          <w:szCs w:val="20"/>
          <w:lang w:val="en-US"/>
        </w:rPr>
        <w:t xml:space="preserve"> of the American Convention</w:t>
      </w:r>
      <w:r w:rsidR="0032081D" w:rsidRPr="00AC57EA">
        <w:rPr>
          <w:sz w:val="20"/>
          <w:szCs w:val="20"/>
          <w:lang w:val="en-US"/>
        </w:rPr>
        <w:t xml:space="preserve">, </w:t>
      </w:r>
      <w:r w:rsidR="00171E27" w:rsidRPr="00AC57EA">
        <w:rPr>
          <w:sz w:val="20"/>
          <w:szCs w:val="20"/>
          <w:lang w:val="en-US"/>
        </w:rPr>
        <w:t>in relation to Article 1(1)</w:t>
      </w:r>
      <w:r w:rsidR="0032081D" w:rsidRPr="00AC57EA">
        <w:rPr>
          <w:sz w:val="20"/>
          <w:szCs w:val="20"/>
          <w:lang w:val="en-US"/>
        </w:rPr>
        <w:t xml:space="preserve"> </w:t>
      </w:r>
      <w:r w:rsidR="00171E27" w:rsidRPr="00AC57EA">
        <w:rPr>
          <w:sz w:val="20"/>
          <w:szCs w:val="20"/>
          <w:lang w:val="en-US"/>
        </w:rPr>
        <w:t>of this instrument</w:t>
      </w:r>
      <w:r w:rsidR="0032081D" w:rsidRPr="00AC57EA">
        <w:rPr>
          <w:sz w:val="20"/>
          <w:szCs w:val="20"/>
          <w:lang w:val="en-US"/>
        </w:rPr>
        <w:t xml:space="preserve">, </w:t>
      </w:r>
      <w:r w:rsidR="002F084B" w:rsidRPr="00AC57EA">
        <w:rPr>
          <w:sz w:val="20"/>
          <w:szCs w:val="20"/>
          <w:lang w:val="en-US"/>
        </w:rPr>
        <w:t>to the detriment of</w:t>
      </w:r>
      <w:r w:rsidR="0032081D" w:rsidRPr="00AC57EA">
        <w:rPr>
          <w:sz w:val="20"/>
          <w:szCs w:val="20"/>
          <w:lang w:val="en-US"/>
        </w:rPr>
        <w:t xml:space="preserve"> V.R.P.</w:t>
      </w:r>
      <w:r w:rsidR="00E67FC0" w:rsidRPr="00AC57EA">
        <w:rPr>
          <w:b/>
          <w:sz w:val="16"/>
          <w:szCs w:val="16"/>
          <w:lang w:val="en-US"/>
        </w:rPr>
        <w:t xml:space="preserve"> </w:t>
      </w:r>
      <w:r w:rsidR="00DF5031" w:rsidRPr="00AC57EA">
        <w:rPr>
          <w:sz w:val="20"/>
          <w:szCs w:val="20"/>
          <w:lang w:val="en-US"/>
        </w:rPr>
        <w:t>The</w:t>
      </w:r>
      <w:r w:rsidR="00305A14" w:rsidRPr="00AC57EA">
        <w:rPr>
          <w:sz w:val="20"/>
          <w:szCs w:val="20"/>
          <w:lang w:val="en-US"/>
        </w:rPr>
        <w:t xml:space="preserve"> Commission </w:t>
      </w:r>
      <w:r w:rsidR="00DF5031" w:rsidRPr="00AC57EA">
        <w:rPr>
          <w:sz w:val="20"/>
          <w:szCs w:val="20"/>
          <w:lang w:val="en-US"/>
        </w:rPr>
        <w:t xml:space="preserve">also </w:t>
      </w:r>
      <w:r w:rsidR="00305A14" w:rsidRPr="00AC57EA">
        <w:rPr>
          <w:sz w:val="20"/>
          <w:szCs w:val="20"/>
          <w:lang w:val="en-US"/>
        </w:rPr>
        <w:t xml:space="preserve">considered that the deficient conduct of the physician constituted a serious act of revictimization and a </w:t>
      </w:r>
      <w:r w:rsidR="00DF5031" w:rsidRPr="00AC57EA">
        <w:rPr>
          <w:sz w:val="20"/>
          <w:szCs w:val="20"/>
          <w:lang w:val="en-US"/>
        </w:rPr>
        <w:t>renewed</w:t>
      </w:r>
      <w:r w:rsidR="00305A14" w:rsidRPr="00AC57EA">
        <w:rPr>
          <w:sz w:val="20"/>
          <w:szCs w:val="20"/>
          <w:lang w:val="en-US"/>
        </w:rPr>
        <w:t xml:space="preserve"> act of sexual violence against V.R.P., so that “this act of sexual abuse committed by a state official, taking into account the suffering it caused,” should be considered by the Court under </w:t>
      </w:r>
      <w:r w:rsidR="00305A14" w:rsidRPr="00AC57EA">
        <w:rPr>
          <w:kern w:val="2"/>
          <w:sz w:val="20"/>
          <w:szCs w:val="20"/>
          <w:lang w:val="en-US" w:eastAsia="en-US"/>
        </w:rPr>
        <w:t>Article 5(2) of the Convention</w:t>
      </w:r>
      <w:r w:rsidR="00305A14" w:rsidRPr="00AC57EA">
        <w:rPr>
          <w:kern w:val="2"/>
          <w:sz w:val="20"/>
          <w:szCs w:val="20"/>
          <w:lang w:val="en-US"/>
        </w:rPr>
        <w:t xml:space="preserve">. The Commission reached the same conclusion with regard to the visual </w:t>
      </w:r>
      <w:r w:rsidR="009E1B73" w:rsidRPr="00AC57EA">
        <w:rPr>
          <w:kern w:val="2"/>
          <w:sz w:val="20"/>
          <w:szCs w:val="20"/>
          <w:lang w:val="en-US"/>
        </w:rPr>
        <w:t>inspection and reconstruction</w:t>
      </w:r>
      <w:r w:rsidR="00305A14" w:rsidRPr="00AC57EA">
        <w:rPr>
          <w:kern w:val="2"/>
          <w:sz w:val="20"/>
          <w:szCs w:val="20"/>
          <w:lang w:val="en-US"/>
        </w:rPr>
        <w:t xml:space="preserve"> of the events, and asked the Court to examine this under</w:t>
      </w:r>
      <w:r w:rsidR="00305A14" w:rsidRPr="00AC57EA">
        <w:rPr>
          <w:b/>
          <w:sz w:val="16"/>
          <w:szCs w:val="16"/>
          <w:lang w:val="en-US"/>
        </w:rPr>
        <w:t xml:space="preserve"> </w:t>
      </w:r>
      <w:r w:rsidR="00171E27" w:rsidRPr="00AC57EA">
        <w:rPr>
          <w:kern w:val="2"/>
          <w:sz w:val="20"/>
          <w:szCs w:val="20"/>
          <w:lang w:val="en-US" w:eastAsia="en-US"/>
        </w:rPr>
        <w:t>Article</w:t>
      </w:r>
      <w:r w:rsidR="00E67FC0" w:rsidRPr="00AC57EA">
        <w:rPr>
          <w:kern w:val="2"/>
          <w:sz w:val="20"/>
          <w:szCs w:val="20"/>
          <w:lang w:val="en-US" w:eastAsia="en-US"/>
        </w:rPr>
        <w:t xml:space="preserve"> </w:t>
      </w:r>
      <w:r w:rsidR="004151E3" w:rsidRPr="00AC57EA">
        <w:rPr>
          <w:kern w:val="2"/>
          <w:sz w:val="20"/>
          <w:szCs w:val="20"/>
          <w:lang w:val="en-US" w:eastAsia="en-US"/>
        </w:rPr>
        <w:t>5(2)</w:t>
      </w:r>
      <w:r w:rsidRPr="00AC57EA">
        <w:rPr>
          <w:kern w:val="2"/>
          <w:sz w:val="20"/>
          <w:szCs w:val="20"/>
          <w:lang w:val="en-US" w:eastAsia="en-US"/>
        </w:rPr>
        <w:t xml:space="preserve"> of the Convention</w:t>
      </w:r>
      <w:r w:rsidR="00E67FC0" w:rsidRPr="00AC57EA">
        <w:rPr>
          <w:kern w:val="2"/>
          <w:sz w:val="20"/>
          <w:szCs w:val="20"/>
          <w:lang w:val="en-US"/>
        </w:rPr>
        <w:t>.</w:t>
      </w:r>
    </w:p>
    <w:p w14:paraId="1BBB4BA6" w14:textId="77777777" w:rsidR="00E67FC0" w:rsidRPr="00AC57EA" w:rsidRDefault="00E67FC0" w:rsidP="0032081D">
      <w:pPr>
        <w:spacing w:line="240" w:lineRule="auto"/>
        <w:rPr>
          <w:b/>
          <w:sz w:val="16"/>
          <w:szCs w:val="16"/>
          <w:lang w:val="en-US"/>
        </w:rPr>
      </w:pPr>
    </w:p>
    <w:p w14:paraId="2304D781" w14:textId="71026AF5" w:rsidR="0032081D" w:rsidRPr="00AC57EA" w:rsidRDefault="00171E27" w:rsidP="00542EBA">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 xml:space="preserve">The </w:t>
      </w:r>
      <w:r w:rsidRPr="00AC57EA">
        <w:rPr>
          <w:b/>
          <w:bCs/>
          <w:i/>
          <w:iCs/>
          <w:sz w:val="20"/>
          <w:szCs w:val="20"/>
          <w:lang w:val="en-US"/>
        </w:rPr>
        <w:t>representatives</w:t>
      </w:r>
      <w:r w:rsidR="0032081D" w:rsidRPr="00AC57EA">
        <w:rPr>
          <w:b/>
          <w:sz w:val="20"/>
          <w:szCs w:val="20"/>
          <w:lang w:val="en-US"/>
        </w:rPr>
        <w:t xml:space="preserve"> </w:t>
      </w:r>
      <w:r w:rsidR="00305A14" w:rsidRPr="00AC57EA">
        <w:rPr>
          <w:sz w:val="20"/>
          <w:szCs w:val="20"/>
          <w:lang w:val="en-US"/>
        </w:rPr>
        <w:t>argued that</w:t>
      </w:r>
      <w:r w:rsidR="0032081D" w:rsidRPr="00AC57EA">
        <w:rPr>
          <w:sz w:val="20"/>
          <w:szCs w:val="20"/>
          <w:lang w:val="en-US"/>
        </w:rPr>
        <w:t xml:space="preserve"> </w:t>
      </w:r>
      <w:r w:rsidR="00EC52D7" w:rsidRPr="00AC57EA">
        <w:rPr>
          <w:sz w:val="20"/>
          <w:szCs w:val="20"/>
          <w:lang w:val="en-US"/>
        </w:rPr>
        <w:t>the State</w:t>
      </w:r>
      <w:r w:rsidR="0032081D" w:rsidRPr="00AC57EA">
        <w:rPr>
          <w:sz w:val="20"/>
          <w:szCs w:val="20"/>
          <w:lang w:val="en-US"/>
        </w:rPr>
        <w:t xml:space="preserve"> </w:t>
      </w:r>
      <w:r w:rsidR="00305A14" w:rsidRPr="00AC57EA">
        <w:rPr>
          <w:sz w:val="20"/>
          <w:szCs w:val="20"/>
          <w:lang w:val="en-US"/>
        </w:rPr>
        <w:t>had submitted the child</w:t>
      </w:r>
      <w:r w:rsidR="0032081D" w:rsidRPr="00AC57EA">
        <w:rPr>
          <w:sz w:val="20"/>
          <w:szCs w:val="20"/>
          <w:lang w:val="en-US"/>
        </w:rPr>
        <w:t xml:space="preserve"> V.R.P. </w:t>
      </w:r>
      <w:r w:rsidR="002A01B7" w:rsidRPr="00AC57EA">
        <w:rPr>
          <w:sz w:val="20"/>
          <w:szCs w:val="20"/>
          <w:lang w:val="en-US"/>
        </w:rPr>
        <w:t>t</w:t>
      </w:r>
      <w:r w:rsidR="00305A14" w:rsidRPr="00AC57EA">
        <w:rPr>
          <w:sz w:val="20"/>
          <w:szCs w:val="20"/>
          <w:lang w:val="en-US"/>
        </w:rPr>
        <w:t>o physical and mental violence by the actions of its officials, making her the victim of abuse on two fronts, without considering the</w:t>
      </w:r>
      <w:r w:rsidR="00DF5031" w:rsidRPr="00AC57EA">
        <w:rPr>
          <w:sz w:val="20"/>
          <w:szCs w:val="20"/>
          <w:lang w:val="en-US"/>
        </w:rPr>
        <w:t xml:space="preserve"> enhanced</w:t>
      </w:r>
      <w:r w:rsidR="00305A14" w:rsidRPr="00AC57EA">
        <w:rPr>
          <w:sz w:val="20"/>
          <w:szCs w:val="20"/>
          <w:lang w:val="en-US"/>
        </w:rPr>
        <w:t xml:space="preserve"> duty of the State to adopt special measures of protection and assistance </w:t>
      </w:r>
      <w:r w:rsidR="00542EBA" w:rsidRPr="00AC57EA">
        <w:rPr>
          <w:sz w:val="20"/>
          <w:szCs w:val="20"/>
          <w:lang w:val="en-US"/>
        </w:rPr>
        <w:t xml:space="preserve">in favor of the child, and disregarding her condition as a female. The representatives agreed with the Commission in stating that the State had failed to comply with its </w:t>
      </w:r>
      <w:r w:rsidR="007D0DE2" w:rsidRPr="00AC57EA">
        <w:rPr>
          <w:sz w:val="20"/>
          <w:szCs w:val="20"/>
          <w:lang w:val="en-US"/>
        </w:rPr>
        <w:t>enhanced</w:t>
      </w:r>
      <w:r w:rsidR="00542EBA" w:rsidRPr="00AC57EA">
        <w:rPr>
          <w:sz w:val="20"/>
          <w:szCs w:val="20"/>
          <w:lang w:val="en-US"/>
        </w:rPr>
        <w:t xml:space="preserve"> duty to take into account the two-fold vulnerability of V.R.P., violating the right to non-discrimination established in </w:t>
      </w:r>
      <w:r w:rsidR="00B7258C" w:rsidRPr="00AC57EA">
        <w:rPr>
          <w:sz w:val="20"/>
          <w:szCs w:val="20"/>
          <w:lang w:val="en-US"/>
        </w:rPr>
        <w:t>Article</w:t>
      </w:r>
      <w:r w:rsidR="0032081D" w:rsidRPr="00AC57EA">
        <w:rPr>
          <w:sz w:val="20"/>
          <w:szCs w:val="20"/>
          <w:lang w:val="en-US"/>
        </w:rPr>
        <w:t xml:space="preserve"> 24.</w:t>
      </w:r>
    </w:p>
    <w:p w14:paraId="0BCC2A89" w14:textId="77777777" w:rsidR="0032081D" w:rsidRPr="00AC57EA" w:rsidRDefault="0032081D" w:rsidP="0032081D">
      <w:pPr>
        <w:spacing w:line="240" w:lineRule="auto"/>
        <w:rPr>
          <w:sz w:val="20"/>
          <w:szCs w:val="20"/>
          <w:lang w:val="en-US"/>
        </w:rPr>
      </w:pPr>
    </w:p>
    <w:p w14:paraId="328885DD" w14:textId="460C7ECC" w:rsidR="0032081D" w:rsidRPr="00AC57EA" w:rsidRDefault="00EC52D7" w:rsidP="00542EBA">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 xml:space="preserve">The </w:t>
      </w:r>
      <w:r w:rsidRPr="00AC57EA">
        <w:rPr>
          <w:b/>
          <w:bCs/>
          <w:i/>
          <w:iCs/>
          <w:sz w:val="20"/>
          <w:szCs w:val="20"/>
          <w:lang w:val="en-US"/>
        </w:rPr>
        <w:t>State</w:t>
      </w:r>
      <w:r w:rsidR="0032081D" w:rsidRPr="00AC57EA">
        <w:rPr>
          <w:sz w:val="20"/>
          <w:szCs w:val="20"/>
          <w:lang w:val="en-US"/>
        </w:rPr>
        <w:t xml:space="preserve"> </w:t>
      </w:r>
      <w:r w:rsidR="00542EBA" w:rsidRPr="00AC57EA">
        <w:rPr>
          <w:sz w:val="20"/>
          <w:szCs w:val="20"/>
          <w:lang w:val="en-US"/>
        </w:rPr>
        <w:t xml:space="preserve">argued that </w:t>
      </w:r>
      <w:r w:rsidR="007D0DE2" w:rsidRPr="00AC57EA">
        <w:rPr>
          <w:sz w:val="20"/>
          <w:szCs w:val="20"/>
          <w:lang w:val="en-US"/>
        </w:rPr>
        <w:t xml:space="preserve">there had been </w:t>
      </w:r>
      <w:r w:rsidR="00542EBA" w:rsidRPr="00AC57EA">
        <w:rPr>
          <w:sz w:val="20"/>
          <w:szCs w:val="20"/>
          <w:lang w:val="en-US"/>
        </w:rPr>
        <w:t>no denigrating or revictimizing a</w:t>
      </w:r>
      <w:r w:rsidR="007D0DE2" w:rsidRPr="00AC57EA">
        <w:rPr>
          <w:sz w:val="20"/>
          <w:szCs w:val="20"/>
          <w:lang w:val="en-US"/>
        </w:rPr>
        <w:t>ttitudes shown towards</w:t>
      </w:r>
      <w:r w:rsidR="00542EBA" w:rsidRPr="00AC57EA">
        <w:rPr>
          <w:sz w:val="20"/>
          <w:szCs w:val="20"/>
          <w:lang w:val="en-US"/>
        </w:rPr>
        <w:t xml:space="preserve"> V.R.P.; to the contrary, the domestic proceedings had been conducted with due diligence. This was based on the fact that various procedures and expert examinations had been </w:t>
      </w:r>
      <w:r w:rsidR="007D0DE2" w:rsidRPr="00AC57EA">
        <w:rPr>
          <w:sz w:val="20"/>
          <w:szCs w:val="20"/>
          <w:lang w:val="en-US"/>
        </w:rPr>
        <w:t>executed</w:t>
      </w:r>
      <w:r w:rsidR="00542EBA" w:rsidRPr="00AC57EA">
        <w:rPr>
          <w:sz w:val="20"/>
          <w:szCs w:val="20"/>
          <w:lang w:val="en-US"/>
        </w:rPr>
        <w:t xml:space="preserve"> in the domestic sphere to obtain the greatest possible amount of evidence to prove what happened and the responsibility of the perpetrator. Nevertheless, based on </w:t>
      </w:r>
      <w:r w:rsidR="007D0DE2" w:rsidRPr="00AC57EA">
        <w:rPr>
          <w:sz w:val="20"/>
          <w:szCs w:val="20"/>
          <w:lang w:val="en-US"/>
        </w:rPr>
        <w:t>its</w:t>
      </w:r>
      <w:r w:rsidR="00542EBA" w:rsidRPr="00AC57EA">
        <w:rPr>
          <w:sz w:val="20"/>
          <w:szCs w:val="20"/>
          <w:lang w:val="en-US"/>
        </w:rPr>
        <w:t xml:space="preserve"> firm conviction, the Jury Court had delivered a verdict of innocence. The State underlined that the victim had been provided with psychological support during the proceedings and that the judge in charge of the case had taken her statement into account and, on that basis, had delivered an interim judgment ordering the pre-trial detention of </w:t>
      </w:r>
      <w:r w:rsidR="0032081D" w:rsidRPr="00AC57EA">
        <w:rPr>
          <w:sz w:val="20"/>
          <w:szCs w:val="20"/>
          <w:lang w:val="en-US"/>
        </w:rPr>
        <w:t>H.R.A.</w:t>
      </w:r>
    </w:p>
    <w:p w14:paraId="3A843CB0" w14:textId="77777777" w:rsidR="0032081D" w:rsidRPr="00AC57EA" w:rsidRDefault="0032081D" w:rsidP="006F71B8">
      <w:pPr>
        <w:widowControl/>
        <w:adjustRightInd/>
        <w:spacing w:line="240" w:lineRule="auto"/>
        <w:jc w:val="left"/>
        <w:textAlignment w:val="auto"/>
        <w:rPr>
          <w:sz w:val="20"/>
          <w:szCs w:val="20"/>
          <w:lang w:val="en-US"/>
        </w:rPr>
      </w:pPr>
    </w:p>
    <w:p w14:paraId="7E18F7C3" w14:textId="48C03E0F" w:rsidR="0032081D" w:rsidRPr="00AC57EA" w:rsidRDefault="00A32A5E" w:rsidP="00A32A5E">
      <w:pPr>
        <w:keepNext/>
        <w:keepLines/>
        <w:tabs>
          <w:tab w:val="left" w:pos="1701"/>
        </w:tabs>
        <w:spacing w:line="240" w:lineRule="auto"/>
        <w:ind w:left="1134"/>
        <w:outlineLvl w:val="1"/>
        <w:rPr>
          <w:bCs/>
          <w:i/>
          <w:sz w:val="20"/>
          <w:szCs w:val="20"/>
          <w:lang w:val="en-US"/>
        </w:rPr>
      </w:pPr>
      <w:bookmarkStart w:id="137" w:name="_Toc514172650"/>
      <w:r w:rsidRPr="00AC57EA">
        <w:rPr>
          <w:bCs/>
          <w:i/>
          <w:sz w:val="20"/>
          <w:szCs w:val="20"/>
          <w:lang w:val="en-US"/>
        </w:rPr>
        <w:t>D</w:t>
      </w:r>
      <w:r w:rsidR="0032081D" w:rsidRPr="00AC57EA">
        <w:rPr>
          <w:bCs/>
          <w:i/>
          <w:sz w:val="20"/>
          <w:szCs w:val="20"/>
          <w:lang w:val="en-US"/>
        </w:rPr>
        <w:t xml:space="preserve">.2 </w:t>
      </w:r>
      <w:r w:rsidR="00516097" w:rsidRPr="00AC57EA">
        <w:rPr>
          <w:bCs/>
          <w:i/>
          <w:sz w:val="20"/>
          <w:szCs w:val="20"/>
          <w:lang w:val="en-US"/>
        </w:rPr>
        <w:tab/>
      </w:r>
      <w:r w:rsidR="002223C8" w:rsidRPr="00AC57EA">
        <w:rPr>
          <w:bCs/>
          <w:i/>
          <w:sz w:val="20"/>
          <w:szCs w:val="20"/>
          <w:lang w:val="en-US"/>
        </w:rPr>
        <w:t>Considerations</w:t>
      </w:r>
      <w:r w:rsidR="00B7258C" w:rsidRPr="00AC57EA">
        <w:rPr>
          <w:bCs/>
          <w:i/>
          <w:sz w:val="20"/>
          <w:szCs w:val="20"/>
          <w:lang w:val="en-US"/>
        </w:rPr>
        <w:t xml:space="preserve"> of the Court</w:t>
      </w:r>
      <w:bookmarkEnd w:id="137"/>
    </w:p>
    <w:p w14:paraId="1EE5ED27" w14:textId="77777777" w:rsidR="0032081D" w:rsidRPr="00AC57EA" w:rsidRDefault="0032081D" w:rsidP="006F71B8">
      <w:pPr>
        <w:widowControl/>
        <w:adjustRightInd/>
        <w:spacing w:line="240" w:lineRule="auto"/>
        <w:jc w:val="left"/>
        <w:textAlignment w:val="auto"/>
        <w:rPr>
          <w:sz w:val="20"/>
          <w:szCs w:val="20"/>
          <w:lang w:val="en-US"/>
        </w:rPr>
      </w:pPr>
    </w:p>
    <w:p w14:paraId="75C7A7A3" w14:textId="5C2D009E" w:rsidR="006F71B8" w:rsidRPr="00AC57EA" w:rsidRDefault="00B7258C" w:rsidP="00A3694C">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The Court</w:t>
      </w:r>
      <w:r w:rsidR="006F71B8" w:rsidRPr="00AC57EA">
        <w:rPr>
          <w:sz w:val="20"/>
          <w:szCs w:val="20"/>
          <w:lang w:val="en-US"/>
        </w:rPr>
        <w:t xml:space="preserve"> </w:t>
      </w:r>
      <w:r w:rsidR="00A3694C" w:rsidRPr="00AC57EA">
        <w:rPr>
          <w:sz w:val="20"/>
          <w:szCs w:val="20"/>
          <w:lang w:val="en-US"/>
        </w:rPr>
        <w:t xml:space="preserve">recalls that, at the current stage of evolution of international law, the fundamental principle of </w:t>
      </w:r>
      <w:r w:rsidR="00837200" w:rsidRPr="00AC57EA">
        <w:rPr>
          <w:sz w:val="20"/>
          <w:szCs w:val="20"/>
          <w:lang w:val="en-US"/>
        </w:rPr>
        <w:t>equality and non-discrimination</w:t>
      </w:r>
      <w:r w:rsidR="006F71B8" w:rsidRPr="00AC57EA">
        <w:rPr>
          <w:sz w:val="20"/>
          <w:szCs w:val="20"/>
          <w:lang w:val="en-US"/>
        </w:rPr>
        <w:t xml:space="preserve"> ha</w:t>
      </w:r>
      <w:r w:rsidR="00A3694C" w:rsidRPr="00AC57EA">
        <w:rPr>
          <w:sz w:val="20"/>
          <w:szCs w:val="20"/>
          <w:lang w:val="en-US"/>
        </w:rPr>
        <w:t>s entered the domain of</w:t>
      </w:r>
      <w:r w:rsidR="006F71B8" w:rsidRPr="00AC57EA">
        <w:rPr>
          <w:sz w:val="20"/>
          <w:szCs w:val="20"/>
          <w:lang w:val="en-US"/>
        </w:rPr>
        <w:t xml:space="preserve"> </w:t>
      </w:r>
      <w:r w:rsidR="006F71B8" w:rsidRPr="00AC57EA">
        <w:rPr>
          <w:i/>
          <w:sz w:val="20"/>
          <w:szCs w:val="20"/>
          <w:lang w:val="en-US"/>
        </w:rPr>
        <w:t>jus cogens</w:t>
      </w:r>
      <w:r w:rsidR="006F71B8" w:rsidRPr="00AC57EA">
        <w:rPr>
          <w:sz w:val="20"/>
          <w:szCs w:val="20"/>
          <w:lang w:val="en-US"/>
        </w:rPr>
        <w:t xml:space="preserve">. </w:t>
      </w:r>
      <w:r w:rsidR="00A3694C" w:rsidRPr="00AC57EA">
        <w:rPr>
          <w:sz w:val="20"/>
          <w:szCs w:val="20"/>
          <w:lang w:val="en-US"/>
        </w:rPr>
        <w:t xml:space="preserve">The legal structure of national and international public order is based on this and it permeates the whole legal system. States must refrain from executing actions that, in any way, are addressed, directly or indirectly, at creating situations of discrimination </w:t>
      </w:r>
      <w:r w:rsidR="006F71B8" w:rsidRPr="00AC57EA">
        <w:rPr>
          <w:i/>
          <w:sz w:val="20"/>
          <w:szCs w:val="20"/>
          <w:lang w:val="en-US"/>
        </w:rPr>
        <w:t xml:space="preserve">de jure </w:t>
      </w:r>
      <w:r w:rsidR="006F71B8" w:rsidRPr="00AC57EA">
        <w:rPr>
          <w:sz w:val="20"/>
          <w:szCs w:val="20"/>
          <w:lang w:val="en-US"/>
        </w:rPr>
        <w:t>o</w:t>
      </w:r>
      <w:r w:rsidR="00A3694C" w:rsidRPr="00AC57EA">
        <w:rPr>
          <w:sz w:val="20"/>
          <w:szCs w:val="20"/>
          <w:lang w:val="en-US"/>
        </w:rPr>
        <w:t>r</w:t>
      </w:r>
      <w:r w:rsidR="006F71B8" w:rsidRPr="00AC57EA">
        <w:rPr>
          <w:sz w:val="20"/>
          <w:szCs w:val="20"/>
          <w:lang w:val="en-US"/>
        </w:rPr>
        <w:t xml:space="preserve"> </w:t>
      </w:r>
      <w:r w:rsidR="006F71B8" w:rsidRPr="00AC57EA">
        <w:rPr>
          <w:i/>
          <w:sz w:val="20"/>
          <w:szCs w:val="20"/>
          <w:lang w:val="en-US"/>
        </w:rPr>
        <w:t>de facto</w:t>
      </w:r>
      <w:r w:rsidR="006F71B8" w:rsidRPr="00AC57EA">
        <w:rPr>
          <w:sz w:val="20"/>
          <w:szCs w:val="20"/>
          <w:lang w:val="en-US"/>
        </w:rPr>
        <w:t xml:space="preserve">. </w:t>
      </w:r>
      <w:r w:rsidR="00A3694C" w:rsidRPr="00AC57EA">
        <w:rPr>
          <w:sz w:val="20"/>
          <w:szCs w:val="20"/>
          <w:lang w:val="en-US"/>
        </w:rPr>
        <w:t xml:space="preserve">Thus, while the general obligation </w:t>
      </w:r>
      <w:r w:rsidR="00171E27" w:rsidRPr="00AC57EA">
        <w:rPr>
          <w:sz w:val="20"/>
          <w:szCs w:val="20"/>
          <w:lang w:val="en-US"/>
        </w:rPr>
        <w:t>of Article 1(1)</w:t>
      </w:r>
      <w:r w:rsidRPr="00AC57EA">
        <w:rPr>
          <w:sz w:val="20"/>
          <w:szCs w:val="20"/>
          <w:lang w:val="en-US"/>
        </w:rPr>
        <w:t xml:space="preserve"> of the American Convention</w:t>
      </w:r>
      <w:r w:rsidR="006F71B8" w:rsidRPr="00AC57EA">
        <w:rPr>
          <w:sz w:val="20"/>
          <w:szCs w:val="20"/>
          <w:lang w:val="en-US"/>
        </w:rPr>
        <w:t xml:space="preserve"> </w:t>
      </w:r>
      <w:r w:rsidR="00A3694C" w:rsidRPr="00AC57EA">
        <w:rPr>
          <w:sz w:val="20"/>
          <w:szCs w:val="20"/>
          <w:lang w:val="en-US"/>
        </w:rPr>
        <w:t xml:space="preserve">refers to the obligation of the State to respect and </w:t>
      </w:r>
      <w:r w:rsidR="007D0DE2" w:rsidRPr="00AC57EA">
        <w:rPr>
          <w:sz w:val="20"/>
          <w:szCs w:val="20"/>
          <w:lang w:val="en-US"/>
        </w:rPr>
        <w:t xml:space="preserve">to </w:t>
      </w:r>
      <w:r w:rsidR="00A3694C" w:rsidRPr="00AC57EA">
        <w:rPr>
          <w:sz w:val="20"/>
          <w:szCs w:val="20"/>
          <w:lang w:val="en-US"/>
        </w:rPr>
        <w:t>ensure, “without discrimination,” the rights contained in this treaty</w:t>
      </w:r>
      <w:r w:rsidR="006F71B8" w:rsidRPr="00AC57EA">
        <w:rPr>
          <w:sz w:val="20"/>
          <w:szCs w:val="20"/>
          <w:lang w:val="en-US"/>
        </w:rPr>
        <w:t xml:space="preserve">, </w:t>
      </w:r>
      <w:r w:rsidRPr="00AC57EA">
        <w:rPr>
          <w:sz w:val="20"/>
          <w:szCs w:val="20"/>
          <w:lang w:val="en-US"/>
        </w:rPr>
        <w:t>Article</w:t>
      </w:r>
      <w:r w:rsidR="006F71B8" w:rsidRPr="00AC57EA">
        <w:rPr>
          <w:sz w:val="20"/>
          <w:szCs w:val="20"/>
          <w:lang w:val="en-US"/>
        </w:rPr>
        <w:t xml:space="preserve"> 24 prote</w:t>
      </w:r>
      <w:r w:rsidR="00A3694C" w:rsidRPr="00AC57EA">
        <w:rPr>
          <w:sz w:val="20"/>
          <w:szCs w:val="20"/>
          <w:lang w:val="en-US"/>
        </w:rPr>
        <w:t xml:space="preserve">cts the right to “equal protection of the law.” In sum, the Court has affirmed that, if a State discriminates in the respect or guarantee of a right established by the Convention, it would be violating </w:t>
      </w:r>
      <w:r w:rsidR="00171E27" w:rsidRPr="00AC57EA">
        <w:rPr>
          <w:rFonts w:eastAsia="Calibri"/>
          <w:sz w:val="20"/>
          <w:szCs w:val="20"/>
          <w:lang w:val="en-US" w:eastAsia="de-DE"/>
        </w:rPr>
        <w:t xml:space="preserve">Article 1(1) and </w:t>
      </w:r>
      <w:r w:rsidR="00A3694C" w:rsidRPr="00AC57EA">
        <w:rPr>
          <w:rFonts w:eastAsia="Calibri"/>
          <w:sz w:val="20"/>
          <w:szCs w:val="20"/>
          <w:lang w:val="en-US" w:eastAsia="de-DE"/>
        </w:rPr>
        <w:t xml:space="preserve">the substantive right in question. If, to the contrary, the discrimination refers to an unequal protection by domestic law or its application, the fact must be examined under </w:t>
      </w:r>
      <w:r w:rsidR="00171E27" w:rsidRPr="00AC57EA">
        <w:rPr>
          <w:rFonts w:eastAsia="Batang"/>
          <w:sz w:val="20"/>
          <w:szCs w:val="20"/>
          <w:lang w:val="en-US" w:eastAsia="es-ES"/>
        </w:rPr>
        <w:t>Article</w:t>
      </w:r>
      <w:r w:rsidR="00673408" w:rsidRPr="00AC57EA">
        <w:rPr>
          <w:rFonts w:eastAsia="Batang"/>
          <w:sz w:val="20"/>
          <w:szCs w:val="20"/>
          <w:lang w:val="en-US" w:eastAsia="es-ES"/>
        </w:rPr>
        <w:t xml:space="preserve"> 24</w:t>
      </w:r>
      <w:r w:rsidRPr="00AC57EA">
        <w:rPr>
          <w:rFonts w:eastAsia="Batang"/>
          <w:sz w:val="20"/>
          <w:szCs w:val="20"/>
          <w:lang w:val="en-US" w:eastAsia="es-ES"/>
        </w:rPr>
        <w:t xml:space="preserve"> of the American Convention</w:t>
      </w:r>
      <w:r w:rsidR="00A3694C" w:rsidRPr="00AC57EA">
        <w:rPr>
          <w:rFonts w:eastAsia="Batang"/>
          <w:sz w:val="20"/>
          <w:szCs w:val="20"/>
          <w:lang w:val="en-US" w:eastAsia="es-ES"/>
        </w:rPr>
        <w:t>.</w:t>
      </w:r>
      <w:r w:rsidR="00673408" w:rsidRPr="00AC57EA">
        <w:rPr>
          <w:rFonts w:eastAsia="Calibri"/>
          <w:sz w:val="20"/>
          <w:szCs w:val="20"/>
          <w:vertAlign w:val="superscript"/>
          <w:lang w:val="en-US" w:eastAsia="de-DE"/>
        </w:rPr>
        <w:footnoteReference w:id="377"/>
      </w:r>
      <w:r w:rsidR="00A3694C" w:rsidRPr="00AC57EA">
        <w:rPr>
          <w:rFonts w:eastAsia="Calibri"/>
          <w:sz w:val="20"/>
          <w:szCs w:val="20"/>
          <w:lang w:val="en-US" w:eastAsia="de-DE"/>
        </w:rPr>
        <w:t xml:space="preserve"> Consequently, States have the obligation not to introduce discriminatory regulations into their legal system, to eliminate any regulations of a discriminatory nature, to combat practices of this type, and to establish laws and other measures that recognize and ensure the effective equality of everyone before the law.</w:t>
      </w:r>
      <w:r w:rsidR="003C296B" w:rsidRPr="00AC57EA">
        <w:rPr>
          <w:rStyle w:val="Refdenotaalpie"/>
          <w:sz w:val="20"/>
          <w:lang w:val="en-US"/>
        </w:rPr>
        <w:footnoteReference w:id="378"/>
      </w:r>
      <w:r w:rsidR="00A3694C" w:rsidRPr="00AC57EA">
        <w:rPr>
          <w:sz w:val="20"/>
          <w:lang w:val="en-US"/>
        </w:rPr>
        <w:t xml:space="preserve"> In the instant case, the Court will examine the alleged violations under the two headings, because the arguments focus on the issue that the State did not take positive, specific and reinforced actions to ensure the Convention-based rights for reasons of sex and gender, as well as owing to the victim’s condition as a person in development, categories protected by the Convention.</w:t>
      </w:r>
    </w:p>
    <w:p w14:paraId="07771A72" w14:textId="77777777" w:rsidR="00A51640" w:rsidRPr="00AC57EA" w:rsidRDefault="00A51640" w:rsidP="00A51640">
      <w:pPr>
        <w:widowControl/>
        <w:tabs>
          <w:tab w:val="left" w:pos="567"/>
        </w:tabs>
        <w:adjustRightInd/>
        <w:spacing w:line="240" w:lineRule="auto"/>
        <w:textAlignment w:val="auto"/>
        <w:rPr>
          <w:sz w:val="20"/>
          <w:szCs w:val="20"/>
          <w:lang w:val="en-US"/>
        </w:rPr>
      </w:pPr>
    </w:p>
    <w:p w14:paraId="6080E60F" w14:textId="4CB8B50A" w:rsidR="00A11CC2" w:rsidRPr="00AC57EA" w:rsidRDefault="00B7258C" w:rsidP="00A11CC2">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The Court</w:t>
      </w:r>
      <w:r w:rsidR="00A51640" w:rsidRPr="00AC57EA">
        <w:rPr>
          <w:sz w:val="20"/>
          <w:szCs w:val="20"/>
          <w:lang w:val="en-US"/>
        </w:rPr>
        <w:t xml:space="preserve"> ha</w:t>
      </w:r>
      <w:r w:rsidR="00A3694C" w:rsidRPr="00AC57EA">
        <w:rPr>
          <w:sz w:val="20"/>
          <w:szCs w:val="20"/>
          <w:lang w:val="en-US"/>
        </w:rPr>
        <w:t xml:space="preserve">s considered that rape </w:t>
      </w:r>
      <w:r w:rsidR="00A11CC2" w:rsidRPr="00AC57EA">
        <w:rPr>
          <w:sz w:val="20"/>
          <w:szCs w:val="20"/>
          <w:lang w:val="en-US"/>
        </w:rPr>
        <w:t>is a form of sexual violence.</w:t>
      </w:r>
      <w:r w:rsidR="007A6789" w:rsidRPr="00AC57EA">
        <w:rPr>
          <w:sz w:val="20"/>
          <w:szCs w:val="20"/>
          <w:vertAlign w:val="superscript"/>
          <w:lang w:val="en-US"/>
        </w:rPr>
        <w:footnoteReference w:id="379"/>
      </w:r>
      <w:r w:rsidR="00A51640" w:rsidRPr="00AC57EA">
        <w:rPr>
          <w:sz w:val="20"/>
          <w:szCs w:val="20"/>
          <w:lang w:val="en-US"/>
        </w:rPr>
        <w:t xml:space="preserve"> </w:t>
      </w:r>
      <w:r w:rsidR="007D0DE2" w:rsidRPr="00AC57EA">
        <w:rPr>
          <w:sz w:val="20"/>
          <w:szCs w:val="20"/>
          <w:lang w:val="en-US"/>
        </w:rPr>
        <w:t>Also, b</w:t>
      </w:r>
      <w:r w:rsidR="00A11CC2" w:rsidRPr="00AC57EA">
        <w:rPr>
          <w:sz w:val="20"/>
          <w:szCs w:val="20"/>
          <w:lang w:val="en-US"/>
        </w:rPr>
        <w:t>oth</w:t>
      </w:r>
      <w:r w:rsidR="00A51640" w:rsidRPr="00AC57EA">
        <w:rPr>
          <w:sz w:val="20"/>
          <w:szCs w:val="20"/>
          <w:lang w:val="en-US"/>
        </w:rPr>
        <w:t xml:space="preserve"> </w:t>
      </w:r>
      <w:r w:rsidRPr="00AC57EA">
        <w:rPr>
          <w:sz w:val="20"/>
          <w:szCs w:val="20"/>
          <w:lang w:val="en-US"/>
        </w:rPr>
        <w:t xml:space="preserve">the </w:t>
      </w:r>
      <w:r w:rsidR="00171E27" w:rsidRPr="00AC57EA">
        <w:rPr>
          <w:sz w:val="20"/>
          <w:szCs w:val="20"/>
          <w:lang w:val="en-US"/>
        </w:rPr>
        <w:t>Convention of Belém</w:t>
      </w:r>
      <w:r w:rsidR="00A51640" w:rsidRPr="00AC57EA">
        <w:rPr>
          <w:sz w:val="20"/>
          <w:szCs w:val="20"/>
          <w:lang w:val="en-US"/>
        </w:rPr>
        <w:t xml:space="preserve"> do Pará </w:t>
      </w:r>
      <w:r w:rsidR="00A11CC2" w:rsidRPr="00AC57EA">
        <w:rPr>
          <w:sz w:val="20"/>
          <w:szCs w:val="20"/>
          <w:lang w:val="en-US"/>
        </w:rPr>
        <w:t>and</w:t>
      </w:r>
      <w:r w:rsidR="00A51640" w:rsidRPr="00AC57EA">
        <w:rPr>
          <w:sz w:val="20"/>
          <w:szCs w:val="20"/>
          <w:lang w:val="en-US"/>
        </w:rPr>
        <w:t xml:space="preserve"> </w:t>
      </w:r>
      <w:r w:rsidRPr="00AC57EA">
        <w:rPr>
          <w:sz w:val="20"/>
          <w:szCs w:val="20"/>
          <w:lang w:val="en-US"/>
        </w:rPr>
        <w:t>the Convention</w:t>
      </w:r>
      <w:r w:rsidR="004A18D1" w:rsidRPr="00AC57EA">
        <w:rPr>
          <w:bCs/>
          <w:sz w:val="20"/>
          <w:szCs w:val="20"/>
          <w:lang w:val="en-US"/>
        </w:rPr>
        <w:t xml:space="preserve"> </w:t>
      </w:r>
      <w:r w:rsidR="00A11CC2" w:rsidRPr="00AC57EA">
        <w:rPr>
          <w:bCs/>
          <w:sz w:val="20"/>
          <w:szCs w:val="20"/>
          <w:lang w:val="en-US"/>
        </w:rPr>
        <w:t>on the Elimination of All Forms of Violence against Women and its treaty body, have recognized the connection between violence a</w:t>
      </w:r>
      <w:r w:rsidR="007D0DE2" w:rsidRPr="00AC57EA">
        <w:rPr>
          <w:bCs/>
          <w:sz w:val="20"/>
          <w:szCs w:val="20"/>
          <w:lang w:val="en-US"/>
        </w:rPr>
        <w:t>g</w:t>
      </w:r>
      <w:r w:rsidR="00A11CC2" w:rsidRPr="00AC57EA">
        <w:rPr>
          <w:bCs/>
          <w:sz w:val="20"/>
          <w:szCs w:val="20"/>
          <w:lang w:val="en-US"/>
        </w:rPr>
        <w:t>ainst women and discrimination.</w:t>
      </w:r>
      <w:r w:rsidR="007332D9" w:rsidRPr="00AC57EA">
        <w:rPr>
          <w:rStyle w:val="Refdenotaalpie"/>
          <w:sz w:val="20"/>
          <w:szCs w:val="20"/>
          <w:lang w:val="en-US"/>
        </w:rPr>
        <w:footnoteReference w:id="380"/>
      </w:r>
      <w:r w:rsidR="009445BC" w:rsidRPr="00AC57EA">
        <w:rPr>
          <w:sz w:val="20"/>
          <w:szCs w:val="20"/>
          <w:lang w:val="en-US"/>
        </w:rPr>
        <w:t xml:space="preserve"> </w:t>
      </w:r>
      <w:r w:rsidRPr="00AC57EA">
        <w:rPr>
          <w:kern w:val="2"/>
          <w:sz w:val="20"/>
          <w:szCs w:val="20"/>
          <w:lang w:val="en-US"/>
        </w:rPr>
        <w:t>The Court</w:t>
      </w:r>
      <w:r w:rsidR="00FF3EC1" w:rsidRPr="00AC57EA">
        <w:rPr>
          <w:kern w:val="2"/>
          <w:sz w:val="20"/>
          <w:szCs w:val="20"/>
          <w:lang w:val="en-US"/>
        </w:rPr>
        <w:t xml:space="preserve"> </w:t>
      </w:r>
      <w:r w:rsidR="00A11CC2" w:rsidRPr="00AC57EA">
        <w:rPr>
          <w:kern w:val="2"/>
          <w:sz w:val="20"/>
          <w:szCs w:val="20"/>
          <w:lang w:val="en-US"/>
        </w:rPr>
        <w:t xml:space="preserve">has already stressed the special vulnerability of </w:t>
      </w:r>
      <w:r w:rsidR="003C0AC1" w:rsidRPr="00AC57EA">
        <w:rPr>
          <w:kern w:val="2"/>
          <w:sz w:val="20"/>
          <w:szCs w:val="20"/>
          <w:lang w:val="en-US"/>
        </w:rPr>
        <w:t>female child</w:t>
      </w:r>
      <w:r w:rsidR="00A11CC2" w:rsidRPr="00AC57EA">
        <w:rPr>
          <w:kern w:val="2"/>
          <w:sz w:val="20"/>
          <w:szCs w:val="20"/>
          <w:lang w:val="en-US"/>
        </w:rPr>
        <w:t>ren to sexual violence, especially within the family, as well as the obstacles and other factors they may face in their search to obtain justice (</w:t>
      </w:r>
      <w:r w:rsidR="00A11CC2" w:rsidRPr="00AC57EA">
        <w:rPr>
          <w:i/>
          <w:kern w:val="2"/>
          <w:sz w:val="20"/>
          <w:szCs w:val="20"/>
          <w:lang w:val="en-US"/>
        </w:rPr>
        <w:t xml:space="preserve">supra </w:t>
      </w:r>
      <w:r w:rsidR="00A11CC2" w:rsidRPr="00AC57EA">
        <w:rPr>
          <w:kern w:val="2"/>
          <w:sz w:val="20"/>
          <w:szCs w:val="20"/>
          <w:lang w:val="en-US"/>
        </w:rPr>
        <w:t>para. 156). In the instant case, this violence was perpetrated by a private individual. However, this does not exempt the State from responsibility because it was called on to adopt comprehensive policies to prevent, punish and eradicate violence against women, with particular emphasis on cases in which the woman is under 18 years of age.</w:t>
      </w:r>
    </w:p>
    <w:p w14:paraId="27D7622A" w14:textId="77777777" w:rsidR="00A51640" w:rsidRPr="00AC57EA" w:rsidRDefault="00A51640" w:rsidP="00A51640">
      <w:pPr>
        <w:widowControl/>
        <w:tabs>
          <w:tab w:val="left" w:pos="567"/>
        </w:tabs>
        <w:adjustRightInd/>
        <w:spacing w:line="240" w:lineRule="auto"/>
        <w:textAlignment w:val="auto"/>
        <w:rPr>
          <w:sz w:val="20"/>
          <w:szCs w:val="20"/>
          <w:lang w:val="en-US"/>
        </w:rPr>
      </w:pPr>
    </w:p>
    <w:p w14:paraId="0CDDB50F" w14:textId="0E11DC19" w:rsidR="006F71B8" w:rsidRPr="00AC57EA" w:rsidRDefault="00B7258C" w:rsidP="00A11CC2">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rFonts w:eastAsia="Batang"/>
          <w:sz w:val="20"/>
          <w:szCs w:val="20"/>
          <w:lang w:val="en-US" w:eastAsia="es-MX"/>
        </w:rPr>
        <w:t>The Court</w:t>
      </w:r>
      <w:r w:rsidR="00B415F3" w:rsidRPr="00AC57EA">
        <w:rPr>
          <w:rFonts w:eastAsia="Batang"/>
          <w:sz w:val="20"/>
          <w:szCs w:val="20"/>
          <w:lang w:val="en-US" w:eastAsia="es-MX"/>
        </w:rPr>
        <w:t xml:space="preserve"> </w:t>
      </w:r>
      <w:r w:rsidR="00B415F3" w:rsidRPr="00AC57EA">
        <w:rPr>
          <w:rFonts w:eastAsia="MS Mincho"/>
          <w:sz w:val="20"/>
          <w:szCs w:val="20"/>
          <w:lang w:val="en-US"/>
        </w:rPr>
        <w:t>reitera</w:t>
      </w:r>
      <w:r w:rsidR="00A11CC2" w:rsidRPr="00AC57EA">
        <w:rPr>
          <w:rFonts w:eastAsia="MS Mincho"/>
          <w:sz w:val="20"/>
          <w:szCs w:val="20"/>
          <w:lang w:val="en-US"/>
        </w:rPr>
        <w:t xml:space="preserve">tes that </w:t>
      </w:r>
      <w:r w:rsidR="00A11CC2" w:rsidRPr="00AC57EA">
        <w:rPr>
          <w:rFonts w:eastAsia="Batang"/>
          <w:sz w:val="20"/>
          <w:szCs w:val="20"/>
          <w:lang w:val="en-US" w:eastAsia="es-MX"/>
        </w:rPr>
        <w:t xml:space="preserve">the inefficiency of the system of justice in individual cases of violence against women </w:t>
      </w:r>
      <w:r w:rsidR="00330866" w:rsidRPr="00AC57EA">
        <w:rPr>
          <w:rFonts w:eastAsia="Batang"/>
          <w:sz w:val="20"/>
          <w:szCs w:val="20"/>
          <w:lang w:val="en-US" w:eastAsia="es-MX"/>
        </w:rPr>
        <w:t>encourages</w:t>
      </w:r>
      <w:r w:rsidR="00A11CC2" w:rsidRPr="00AC57EA">
        <w:rPr>
          <w:rFonts w:eastAsia="Batang"/>
          <w:sz w:val="20"/>
          <w:szCs w:val="20"/>
          <w:lang w:val="en-US" w:eastAsia="es-MX"/>
        </w:rPr>
        <w:t xml:space="preserve"> a climate of impunity that facilitates and </w:t>
      </w:r>
      <w:r w:rsidR="00330866" w:rsidRPr="00AC57EA">
        <w:rPr>
          <w:rFonts w:eastAsia="Batang"/>
          <w:sz w:val="20"/>
          <w:szCs w:val="20"/>
          <w:lang w:val="en-US" w:eastAsia="es-MX"/>
        </w:rPr>
        <w:t>promotes</w:t>
      </w:r>
      <w:r w:rsidR="00A11CC2" w:rsidRPr="00AC57EA">
        <w:rPr>
          <w:rFonts w:eastAsia="Batang"/>
          <w:sz w:val="20"/>
          <w:szCs w:val="20"/>
          <w:lang w:val="en-US" w:eastAsia="es-MX"/>
        </w:rPr>
        <w:t xml:space="preserve"> the repetition of acts of violence in general and sends a message that violence against women </w:t>
      </w:r>
      <w:r w:rsidR="00330866" w:rsidRPr="00AC57EA">
        <w:rPr>
          <w:rFonts w:eastAsia="Batang"/>
          <w:sz w:val="20"/>
          <w:szCs w:val="20"/>
          <w:lang w:val="en-US" w:eastAsia="es-MX"/>
        </w:rPr>
        <w:t>is</w:t>
      </w:r>
      <w:r w:rsidR="00A11CC2" w:rsidRPr="00AC57EA">
        <w:rPr>
          <w:rFonts w:eastAsia="Batang"/>
          <w:sz w:val="20"/>
          <w:szCs w:val="20"/>
          <w:lang w:val="en-US" w:eastAsia="es-MX"/>
        </w:rPr>
        <w:t xml:space="preserve"> tolerated and accepted</w:t>
      </w:r>
      <w:r w:rsidR="00330866" w:rsidRPr="00AC57EA">
        <w:rPr>
          <w:rFonts w:eastAsia="Batang"/>
          <w:sz w:val="20"/>
          <w:szCs w:val="20"/>
          <w:lang w:val="en-US" w:eastAsia="es-MX"/>
        </w:rPr>
        <w:t>; this</w:t>
      </w:r>
      <w:r w:rsidR="00A11CC2" w:rsidRPr="00AC57EA">
        <w:rPr>
          <w:rFonts w:eastAsia="Batang"/>
          <w:sz w:val="20"/>
          <w:szCs w:val="20"/>
          <w:lang w:val="en-US" w:eastAsia="es-MX"/>
        </w:rPr>
        <w:t xml:space="preserve"> contributes to its perpetuation and social acceptance, </w:t>
      </w:r>
      <w:r w:rsidR="00330866" w:rsidRPr="00AC57EA">
        <w:rPr>
          <w:rFonts w:eastAsia="Batang"/>
          <w:sz w:val="20"/>
          <w:szCs w:val="20"/>
          <w:lang w:val="en-US" w:eastAsia="es-MX"/>
        </w:rPr>
        <w:t>to the feelings women have that they are not safe, and to their persistent lack of confidence in the system for the administration of justice</w:t>
      </w:r>
      <w:r w:rsidR="00330866" w:rsidRPr="00AC57EA">
        <w:rPr>
          <w:sz w:val="20"/>
          <w:szCs w:val="20"/>
          <w:lang w:val="en-US"/>
        </w:rPr>
        <w:t>.</w:t>
      </w:r>
      <w:r w:rsidR="00B415F3" w:rsidRPr="00AC57EA">
        <w:rPr>
          <w:rFonts w:eastAsia="Batang"/>
          <w:sz w:val="20"/>
          <w:szCs w:val="20"/>
          <w:vertAlign w:val="superscript"/>
          <w:lang w:val="en-US" w:eastAsia="es-MX"/>
        </w:rPr>
        <w:footnoteReference w:id="381"/>
      </w:r>
      <w:r w:rsidR="00330866" w:rsidRPr="00AC57EA">
        <w:rPr>
          <w:rFonts w:eastAsia="Batang"/>
          <w:sz w:val="20"/>
          <w:szCs w:val="20"/>
          <w:lang w:val="en-US" w:eastAsia="es-MX"/>
        </w:rPr>
        <w:t xml:space="preserve"> This ineffectiveness or indifference constitutes discrimination against women with regard to </w:t>
      </w:r>
      <w:r w:rsidR="002A5974" w:rsidRPr="00AC57EA">
        <w:rPr>
          <w:rFonts w:eastAsia="Batang"/>
          <w:sz w:val="20"/>
          <w:szCs w:val="20"/>
          <w:lang w:val="en-US" w:eastAsia="es-MX"/>
        </w:rPr>
        <w:t>access to justice</w:t>
      </w:r>
      <w:r w:rsidR="00B415F3" w:rsidRPr="00AC57EA">
        <w:rPr>
          <w:rFonts w:eastAsia="Batang"/>
          <w:sz w:val="20"/>
          <w:szCs w:val="20"/>
          <w:lang w:val="en-US" w:eastAsia="es-MX"/>
        </w:rPr>
        <w:t>.</w:t>
      </w:r>
    </w:p>
    <w:p w14:paraId="3077C516" w14:textId="77777777" w:rsidR="006F71B8" w:rsidRPr="00AC57EA" w:rsidRDefault="006F71B8" w:rsidP="006F71B8">
      <w:pPr>
        <w:autoSpaceDE w:val="0"/>
        <w:autoSpaceDN w:val="0"/>
        <w:spacing w:line="240" w:lineRule="auto"/>
        <w:ind w:right="-174"/>
        <w:textAlignment w:val="auto"/>
        <w:rPr>
          <w:sz w:val="20"/>
          <w:szCs w:val="20"/>
          <w:lang w:val="en-US"/>
        </w:rPr>
      </w:pPr>
    </w:p>
    <w:p w14:paraId="477683EB" w14:textId="378E35FB" w:rsidR="006F71B8" w:rsidRPr="00AC57EA" w:rsidRDefault="00CD506F" w:rsidP="00880CF2">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 xml:space="preserve">Therefore, as mentioned previously, the State must reinforce the guarantees of protection during the investigation and criminal proceedings when the case refers to the rape of a </w:t>
      </w:r>
      <w:r w:rsidR="003C0AC1" w:rsidRPr="00AC57EA">
        <w:rPr>
          <w:sz w:val="20"/>
          <w:szCs w:val="20"/>
          <w:lang w:val="en-US"/>
        </w:rPr>
        <w:t>female child</w:t>
      </w:r>
      <w:r w:rsidRPr="00AC57EA">
        <w:rPr>
          <w:sz w:val="20"/>
          <w:szCs w:val="20"/>
          <w:lang w:val="en-US"/>
        </w:rPr>
        <w:t xml:space="preserve">, especially if </w:t>
      </w:r>
      <w:r w:rsidR="00880CF2" w:rsidRPr="00AC57EA">
        <w:rPr>
          <w:sz w:val="20"/>
          <w:szCs w:val="20"/>
          <w:lang w:val="en-US"/>
        </w:rPr>
        <w:t>this sexual violence was perpetrated within the family; in other words, in an environment in which it should have protected her. In these circumstances, the obligations of due diligence and to adopt measures of protection are greatly increased. In addition, the State must ensure that the investigations and criminal proceedings are conducted with a child</w:t>
      </w:r>
      <w:r w:rsidR="00445890" w:rsidRPr="00AC57EA">
        <w:rPr>
          <w:sz w:val="20"/>
          <w:szCs w:val="20"/>
          <w:lang w:val="en-US"/>
        </w:rPr>
        <w:t>-</w:t>
      </w:r>
      <w:r w:rsidR="00880CF2" w:rsidRPr="00AC57EA">
        <w:rPr>
          <w:sz w:val="20"/>
          <w:szCs w:val="20"/>
          <w:lang w:val="en-US"/>
        </w:rPr>
        <w:t xml:space="preserve"> and gender-based perspective, considering the victim’s condition as a child and taking into account the aggravated nature of rape, as well as the effects that it could have on the child.</w:t>
      </w:r>
    </w:p>
    <w:p w14:paraId="0A72A335" w14:textId="77777777" w:rsidR="00880CF2" w:rsidRPr="00AC57EA" w:rsidRDefault="00880CF2" w:rsidP="00880CF2">
      <w:pPr>
        <w:widowControl/>
        <w:tabs>
          <w:tab w:val="left" w:pos="567"/>
        </w:tabs>
        <w:adjustRightInd/>
        <w:spacing w:line="240" w:lineRule="auto"/>
        <w:textAlignment w:val="auto"/>
        <w:rPr>
          <w:sz w:val="20"/>
          <w:szCs w:val="20"/>
          <w:lang w:val="en-US"/>
        </w:rPr>
      </w:pPr>
    </w:p>
    <w:p w14:paraId="4B10A86C" w14:textId="29B45114" w:rsidR="00ED058B" w:rsidRPr="00AC57EA" w:rsidRDefault="00B7258C" w:rsidP="004C2F3B">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The Court</w:t>
      </w:r>
      <w:r w:rsidR="006F71B8" w:rsidRPr="00AC57EA">
        <w:rPr>
          <w:sz w:val="20"/>
          <w:szCs w:val="20"/>
          <w:lang w:val="en-US"/>
        </w:rPr>
        <w:t xml:space="preserve"> not</w:t>
      </w:r>
      <w:r w:rsidR="00ED058B" w:rsidRPr="00AC57EA">
        <w:rPr>
          <w:sz w:val="20"/>
          <w:szCs w:val="20"/>
          <w:lang w:val="en-US"/>
        </w:rPr>
        <w:t xml:space="preserve">es that the State was </w:t>
      </w:r>
      <w:r w:rsidR="00445890" w:rsidRPr="00AC57EA">
        <w:rPr>
          <w:sz w:val="20"/>
          <w:szCs w:val="20"/>
          <w:lang w:val="en-US"/>
        </w:rPr>
        <w:t>confronted by</w:t>
      </w:r>
      <w:r w:rsidR="00ED058B" w:rsidRPr="00AC57EA">
        <w:rPr>
          <w:sz w:val="20"/>
          <w:szCs w:val="20"/>
          <w:lang w:val="en-US"/>
        </w:rPr>
        <w:t xml:space="preserve"> an act of rape, which is an expression of discrimination against women; therefore, it should have adopted positive measures to ensure effective and equal access to justice as established by the Court in the chapter on the essential components of the obligation of due diligence and enhanced protection (</w:t>
      </w:r>
      <w:r w:rsidR="00ED058B" w:rsidRPr="00AC57EA">
        <w:rPr>
          <w:i/>
          <w:sz w:val="20"/>
          <w:szCs w:val="20"/>
          <w:lang w:val="en-US"/>
        </w:rPr>
        <w:t>supra</w:t>
      </w:r>
      <w:r w:rsidR="00ED058B" w:rsidRPr="00AC57EA">
        <w:rPr>
          <w:sz w:val="20"/>
          <w:szCs w:val="20"/>
          <w:lang w:val="en-US"/>
        </w:rPr>
        <w:t xml:space="preserve"> paras. 158 to 170). The Court has referred to the</w:t>
      </w:r>
      <w:r w:rsidR="00445890" w:rsidRPr="00AC57EA">
        <w:rPr>
          <w:sz w:val="20"/>
          <w:szCs w:val="20"/>
          <w:lang w:val="en-US"/>
        </w:rPr>
        <w:t xml:space="preserve"> need for</w:t>
      </w:r>
      <w:r w:rsidR="00ED058B" w:rsidRPr="00AC57EA">
        <w:rPr>
          <w:sz w:val="20"/>
          <w:szCs w:val="20"/>
          <w:lang w:val="en-US"/>
        </w:rPr>
        <w:t xml:space="preserve"> information on the proceedings and comprehensive care</w:t>
      </w:r>
      <w:r w:rsidR="00445890" w:rsidRPr="00AC57EA">
        <w:rPr>
          <w:sz w:val="20"/>
          <w:szCs w:val="20"/>
          <w:lang w:val="en-US"/>
        </w:rPr>
        <w:t xml:space="preserve"> services</w:t>
      </w:r>
      <w:r w:rsidR="00ED058B" w:rsidRPr="00AC57EA">
        <w:rPr>
          <w:sz w:val="20"/>
          <w:szCs w:val="20"/>
          <w:lang w:val="en-US"/>
        </w:rPr>
        <w:t xml:space="preserve"> </w:t>
      </w:r>
      <w:r w:rsidR="00445890" w:rsidRPr="00AC57EA">
        <w:rPr>
          <w:sz w:val="20"/>
          <w:szCs w:val="20"/>
          <w:lang w:val="en-US"/>
        </w:rPr>
        <w:t>to</w:t>
      </w:r>
      <w:r w:rsidR="00ED058B" w:rsidRPr="00AC57EA">
        <w:rPr>
          <w:sz w:val="20"/>
          <w:szCs w:val="20"/>
          <w:lang w:val="en-US"/>
        </w:rPr>
        <w:t xml:space="preserve"> be available; the right to participate and the right to have one’s opinions taken into account; the right to free legal assistance; the </w:t>
      </w:r>
      <w:r w:rsidR="00445890" w:rsidRPr="00AC57EA">
        <w:rPr>
          <w:sz w:val="20"/>
          <w:szCs w:val="20"/>
          <w:lang w:val="en-US"/>
        </w:rPr>
        <w:t>special training required for</w:t>
      </w:r>
      <w:r w:rsidR="00ED058B" w:rsidRPr="00AC57EA">
        <w:rPr>
          <w:sz w:val="20"/>
          <w:szCs w:val="20"/>
          <w:lang w:val="en-US"/>
        </w:rPr>
        <w:t xml:space="preserve"> all the officials who intervene, and the right to services of medical, psychological and psychiatric assistance that help in recovery, rehabilitation and reintegration In the instant case, it has been shown that such measures were not adopted, so that discrimination </w:t>
      </w:r>
      <w:r w:rsidR="00445890" w:rsidRPr="00AC57EA">
        <w:rPr>
          <w:sz w:val="20"/>
          <w:szCs w:val="20"/>
          <w:lang w:val="en-US"/>
        </w:rPr>
        <w:t>in</w:t>
      </w:r>
      <w:r w:rsidR="00ED058B" w:rsidRPr="00AC57EA">
        <w:rPr>
          <w:sz w:val="20"/>
          <w:szCs w:val="20"/>
          <w:lang w:val="en-US"/>
        </w:rPr>
        <w:t xml:space="preserve"> access to justice existed for reasons of sex and gender, as well as owing to the victim’s condition as a person in development.</w:t>
      </w:r>
    </w:p>
    <w:p w14:paraId="7578F56D" w14:textId="77777777" w:rsidR="004C2F3B" w:rsidRPr="00AC57EA" w:rsidRDefault="004C2F3B" w:rsidP="004C2F3B">
      <w:pPr>
        <w:widowControl/>
        <w:tabs>
          <w:tab w:val="left" w:pos="567"/>
          <w:tab w:val="num" w:pos="12305"/>
        </w:tabs>
        <w:adjustRightInd/>
        <w:spacing w:line="240" w:lineRule="auto"/>
        <w:textAlignment w:val="auto"/>
        <w:rPr>
          <w:sz w:val="20"/>
          <w:szCs w:val="20"/>
          <w:lang w:val="en-US"/>
        </w:rPr>
      </w:pPr>
    </w:p>
    <w:p w14:paraId="056AE0B0" w14:textId="708A3869" w:rsidR="00ED058B" w:rsidRPr="00AC57EA" w:rsidRDefault="00ED058B" w:rsidP="006F71B8">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kern w:val="2"/>
          <w:sz w:val="20"/>
          <w:szCs w:val="20"/>
          <w:lang w:val="en-US" w:eastAsia="en-US"/>
        </w:rPr>
        <w:t>Furthermore, it was incumbent on Nicaragua to make every effort to provide measures of protection for V</w:t>
      </w:r>
      <w:r w:rsidR="007D09F2" w:rsidRPr="00AC57EA">
        <w:rPr>
          <w:kern w:val="2"/>
          <w:sz w:val="20"/>
          <w:szCs w:val="20"/>
          <w:lang w:val="en-US" w:eastAsia="en-US"/>
        </w:rPr>
        <w:t xml:space="preserve">.R.P. </w:t>
      </w:r>
      <w:r w:rsidRPr="00AC57EA">
        <w:rPr>
          <w:kern w:val="2"/>
          <w:sz w:val="20"/>
          <w:szCs w:val="20"/>
          <w:lang w:val="en-US" w:eastAsia="en-US"/>
        </w:rPr>
        <w:t>so as not to prejudice her</w:t>
      </w:r>
      <w:r w:rsidR="00445890" w:rsidRPr="00AC57EA">
        <w:rPr>
          <w:kern w:val="2"/>
          <w:sz w:val="20"/>
          <w:szCs w:val="20"/>
          <w:lang w:val="en-US" w:eastAsia="en-US"/>
        </w:rPr>
        <w:t xml:space="preserve"> by </w:t>
      </w:r>
      <w:r w:rsidRPr="00AC57EA">
        <w:rPr>
          <w:kern w:val="2"/>
          <w:sz w:val="20"/>
          <w:szCs w:val="20"/>
          <w:lang w:val="en-US" w:eastAsia="en-US"/>
        </w:rPr>
        <w:t xml:space="preserve">causing her </w:t>
      </w:r>
      <w:r w:rsidR="00445890" w:rsidRPr="00AC57EA">
        <w:rPr>
          <w:kern w:val="2"/>
          <w:sz w:val="20"/>
          <w:szCs w:val="20"/>
          <w:lang w:val="en-US" w:eastAsia="en-US"/>
        </w:rPr>
        <w:t>further</w:t>
      </w:r>
      <w:r w:rsidRPr="00AC57EA">
        <w:rPr>
          <w:kern w:val="2"/>
          <w:sz w:val="20"/>
          <w:szCs w:val="20"/>
          <w:lang w:val="en-US" w:eastAsia="en-US"/>
        </w:rPr>
        <w:t xml:space="preserve"> harm </w:t>
      </w:r>
      <w:r w:rsidR="00445890" w:rsidRPr="00AC57EA">
        <w:rPr>
          <w:kern w:val="2"/>
          <w:sz w:val="20"/>
          <w:szCs w:val="20"/>
          <w:lang w:val="en-US" w:eastAsia="en-US"/>
        </w:rPr>
        <w:t>due to</w:t>
      </w:r>
      <w:r w:rsidRPr="00AC57EA">
        <w:rPr>
          <w:kern w:val="2"/>
          <w:sz w:val="20"/>
          <w:szCs w:val="20"/>
          <w:lang w:val="en-US" w:eastAsia="en-US"/>
        </w:rPr>
        <w:t xml:space="preserve"> the investigation proce</w:t>
      </w:r>
      <w:r w:rsidR="00445890" w:rsidRPr="00AC57EA">
        <w:rPr>
          <w:kern w:val="2"/>
          <w:sz w:val="20"/>
          <w:szCs w:val="20"/>
          <w:lang w:val="en-US" w:eastAsia="en-US"/>
        </w:rPr>
        <w:t>dures</w:t>
      </w:r>
      <w:r w:rsidRPr="00AC57EA">
        <w:rPr>
          <w:kern w:val="2"/>
          <w:sz w:val="20"/>
          <w:szCs w:val="20"/>
          <w:lang w:val="en-US" w:eastAsia="en-US"/>
        </w:rPr>
        <w:t xml:space="preserve">, understanding that all the decision adopted should obey </w:t>
      </w:r>
      <w:r w:rsidR="00E340E0" w:rsidRPr="00AC57EA">
        <w:rPr>
          <w:kern w:val="2"/>
          <w:sz w:val="20"/>
          <w:szCs w:val="20"/>
          <w:lang w:val="en-US" w:eastAsia="en-US"/>
        </w:rPr>
        <w:t>the main purpose of protecting the rights of the child comprehensively, safeguarding her subsequent development, ensuring her best interests, and avoiding her revictimization.</w:t>
      </w:r>
    </w:p>
    <w:p w14:paraId="1FFDAE3E" w14:textId="77777777" w:rsidR="00A93E8D" w:rsidRPr="00AC57EA" w:rsidRDefault="00A93E8D" w:rsidP="00A93E8D">
      <w:pPr>
        <w:widowControl/>
        <w:tabs>
          <w:tab w:val="left" w:pos="567"/>
        </w:tabs>
        <w:adjustRightInd/>
        <w:spacing w:line="240" w:lineRule="auto"/>
        <w:textAlignment w:val="auto"/>
        <w:rPr>
          <w:sz w:val="20"/>
          <w:szCs w:val="20"/>
          <w:lang w:val="en-US"/>
        </w:rPr>
      </w:pPr>
    </w:p>
    <w:p w14:paraId="621250D8" w14:textId="7FD6475E" w:rsidR="00A93E8D" w:rsidRPr="00AC57EA" w:rsidRDefault="00E340E0" w:rsidP="00E340E0">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In the instant case, the State required the child to submit to various medical examinations unnecessarily; to be interviewed</w:t>
      </w:r>
      <w:r w:rsidR="00445890" w:rsidRPr="00AC57EA">
        <w:rPr>
          <w:kern w:val="2"/>
          <w:sz w:val="20"/>
          <w:szCs w:val="20"/>
          <w:lang w:val="en-US" w:eastAsia="en-US"/>
        </w:rPr>
        <w:t xml:space="preserve"> on several occasions</w:t>
      </w:r>
      <w:r w:rsidRPr="00AC57EA">
        <w:rPr>
          <w:kern w:val="2"/>
          <w:sz w:val="20"/>
          <w:szCs w:val="20"/>
          <w:lang w:val="en-US" w:eastAsia="en-US"/>
        </w:rPr>
        <w:t xml:space="preserve"> in order to recount what happened</w:t>
      </w:r>
      <w:r w:rsidR="00445890" w:rsidRPr="00AC57EA">
        <w:rPr>
          <w:kern w:val="2"/>
          <w:sz w:val="20"/>
          <w:szCs w:val="20"/>
          <w:lang w:val="en-US" w:eastAsia="en-US"/>
        </w:rPr>
        <w:t>, and</w:t>
      </w:r>
      <w:r w:rsidRPr="00AC57EA">
        <w:rPr>
          <w:kern w:val="2"/>
          <w:sz w:val="20"/>
          <w:szCs w:val="20"/>
          <w:lang w:val="en-US" w:eastAsia="en-US"/>
        </w:rPr>
        <w:t xml:space="preserve"> to take part in the reconstruction of the events, causing her to relive extremely traumatic moments, among other actions examined above. In addition, the conduct </w:t>
      </w:r>
      <w:r w:rsidR="0045213C" w:rsidRPr="00AC57EA">
        <w:rPr>
          <w:sz w:val="20"/>
          <w:szCs w:val="20"/>
          <w:lang w:val="en-US"/>
        </w:rPr>
        <w:t xml:space="preserve">of the </w:t>
      </w:r>
      <w:r w:rsidR="00246365" w:rsidRPr="00AC57EA">
        <w:rPr>
          <w:sz w:val="20"/>
          <w:szCs w:val="20"/>
          <w:lang w:val="en-US"/>
        </w:rPr>
        <w:t>forensic physician</w:t>
      </w:r>
      <w:r w:rsidR="00A93E8D" w:rsidRPr="00AC57EA">
        <w:rPr>
          <w:sz w:val="20"/>
          <w:szCs w:val="20"/>
          <w:lang w:val="en-US"/>
        </w:rPr>
        <w:t xml:space="preserve"> </w:t>
      </w:r>
      <w:r w:rsidRPr="00AC57EA">
        <w:rPr>
          <w:sz w:val="20"/>
          <w:szCs w:val="20"/>
          <w:lang w:val="en-US"/>
        </w:rPr>
        <w:t>was discriminatory because he did not consider V.R.P.’s</w:t>
      </w:r>
      <w:r w:rsidR="002A5974" w:rsidRPr="00AC57EA">
        <w:rPr>
          <w:sz w:val="20"/>
          <w:szCs w:val="20"/>
          <w:lang w:val="en-US"/>
        </w:rPr>
        <w:t xml:space="preserve"> right </w:t>
      </w:r>
      <w:r w:rsidRPr="00AC57EA">
        <w:rPr>
          <w:sz w:val="20"/>
          <w:szCs w:val="20"/>
          <w:lang w:val="en-US"/>
        </w:rPr>
        <w:t xml:space="preserve">to be heard and to give her consent when she refused to submit to the first </w:t>
      </w:r>
      <w:r w:rsidR="00EB7A83" w:rsidRPr="00AC57EA">
        <w:rPr>
          <w:sz w:val="20"/>
          <w:szCs w:val="20"/>
          <w:lang w:val="en-US"/>
        </w:rPr>
        <w:t>medical examination</w:t>
      </w:r>
      <w:r w:rsidR="00A93E8D" w:rsidRPr="00AC57EA">
        <w:rPr>
          <w:sz w:val="20"/>
          <w:szCs w:val="20"/>
          <w:lang w:val="en-US"/>
        </w:rPr>
        <w:t xml:space="preserve">. </w:t>
      </w:r>
      <w:r w:rsidRPr="00AC57EA">
        <w:rPr>
          <w:sz w:val="20"/>
          <w:szCs w:val="20"/>
          <w:lang w:val="en-US"/>
        </w:rPr>
        <w:t>The physician blamed the child when she refused to undergo the examination. All this, added to absence of comprehensive care for the victim, increased the trauma suffered, maintained the post-traumatic stress, and prevented the child’s recovery and rehabilitation, and the impact on her personal integrity still continues. Consequently, the Court finds that the way in which the investigation into the rape of V.R.P. was conducted was discriminatory and was not carried out from a gender perspective and in order to provide enhanced protection to the rights of the child, pursuant to the special obligations imposed by</w:t>
      </w:r>
      <w:r w:rsidRPr="00AC57EA">
        <w:rPr>
          <w:kern w:val="2"/>
          <w:sz w:val="20"/>
          <w:szCs w:val="20"/>
          <w:lang w:val="en-US" w:eastAsia="en-US"/>
        </w:rPr>
        <w:t xml:space="preserve"> </w:t>
      </w:r>
      <w:r w:rsidR="00B7258C" w:rsidRPr="00AC57EA">
        <w:rPr>
          <w:bCs/>
          <w:sz w:val="20"/>
          <w:szCs w:val="20"/>
          <w:lang w:val="en-US"/>
        </w:rPr>
        <w:t>Article</w:t>
      </w:r>
      <w:r w:rsidR="00C35CE3" w:rsidRPr="00AC57EA">
        <w:rPr>
          <w:bCs/>
          <w:sz w:val="20"/>
          <w:szCs w:val="20"/>
          <w:lang w:val="en-US"/>
        </w:rPr>
        <w:t xml:space="preserve"> 19</w:t>
      </w:r>
      <w:r w:rsidR="00B7258C" w:rsidRPr="00AC57EA">
        <w:rPr>
          <w:bCs/>
          <w:sz w:val="20"/>
          <w:szCs w:val="20"/>
          <w:lang w:val="en-US"/>
        </w:rPr>
        <w:t xml:space="preserve"> of the American Convention</w:t>
      </w:r>
      <w:r w:rsidR="00171E27" w:rsidRPr="00AC57EA">
        <w:rPr>
          <w:bCs/>
          <w:sz w:val="20"/>
          <w:szCs w:val="20"/>
          <w:lang w:val="en-US"/>
        </w:rPr>
        <w:t xml:space="preserve"> and </w:t>
      </w:r>
      <w:r w:rsidR="00B7258C" w:rsidRPr="00AC57EA">
        <w:rPr>
          <w:bCs/>
          <w:sz w:val="20"/>
          <w:szCs w:val="20"/>
          <w:lang w:val="en-US"/>
        </w:rPr>
        <w:t xml:space="preserve">the </w:t>
      </w:r>
      <w:r w:rsidR="00171E27" w:rsidRPr="00AC57EA">
        <w:rPr>
          <w:bCs/>
          <w:sz w:val="20"/>
          <w:szCs w:val="20"/>
          <w:lang w:val="en-US"/>
        </w:rPr>
        <w:t>Convention of Belém</w:t>
      </w:r>
      <w:r w:rsidR="00C35CE3" w:rsidRPr="00AC57EA">
        <w:rPr>
          <w:bCs/>
          <w:sz w:val="20"/>
          <w:szCs w:val="20"/>
          <w:lang w:val="en-US"/>
        </w:rPr>
        <w:t xml:space="preserve"> do Pará</w:t>
      </w:r>
      <w:r w:rsidR="00480EC1" w:rsidRPr="00AC57EA">
        <w:rPr>
          <w:bCs/>
          <w:sz w:val="20"/>
          <w:szCs w:val="20"/>
          <w:lang w:val="en-US"/>
        </w:rPr>
        <w:t>.</w:t>
      </w:r>
    </w:p>
    <w:p w14:paraId="73B463E1" w14:textId="77777777" w:rsidR="00A93E8D" w:rsidRPr="00AC57EA" w:rsidRDefault="00A93E8D" w:rsidP="00A93E8D">
      <w:pPr>
        <w:widowControl/>
        <w:tabs>
          <w:tab w:val="left" w:pos="567"/>
        </w:tabs>
        <w:adjustRightInd/>
        <w:spacing w:line="240" w:lineRule="auto"/>
        <w:textAlignment w:val="auto"/>
        <w:rPr>
          <w:sz w:val="20"/>
          <w:szCs w:val="20"/>
          <w:lang w:val="en-US"/>
        </w:rPr>
      </w:pPr>
    </w:p>
    <w:p w14:paraId="6A68A0C7" w14:textId="586A419B" w:rsidR="000F6BA6" w:rsidRPr="00AC57EA" w:rsidRDefault="00E340E0" w:rsidP="00E340E0">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 xml:space="preserve">Based on the above, the Court considers that the State failed to comply with its obligation to ensure, without discrimination </w:t>
      </w:r>
      <w:r w:rsidR="00445890" w:rsidRPr="00AC57EA">
        <w:rPr>
          <w:sz w:val="20"/>
          <w:szCs w:val="20"/>
          <w:lang w:val="en-US"/>
        </w:rPr>
        <w:t>based on</w:t>
      </w:r>
      <w:r w:rsidRPr="00AC57EA">
        <w:rPr>
          <w:sz w:val="20"/>
          <w:szCs w:val="20"/>
          <w:lang w:val="en-US"/>
        </w:rPr>
        <w:t xml:space="preserve"> sex and gender and </w:t>
      </w:r>
      <w:r w:rsidR="00445890" w:rsidRPr="00AC57EA">
        <w:rPr>
          <w:sz w:val="20"/>
          <w:szCs w:val="20"/>
          <w:lang w:val="en-US"/>
        </w:rPr>
        <w:t xml:space="preserve">on </w:t>
      </w:r>
      <w:r w:rsidRPr="00AC57EA">
        <w:rPr>
          <w:sz w:val="20"/>
          <w:szCs w:val="20"/>
          <w:lang w:val="en-US"/>
        </w:rPr>
        <w:t>the victim’s condition as a person in development</w:t>
      </w:r>
      <w:r w:rsidR="000F6BA6" w:rsidRPr="00AC57EA">
        <w:rPr>
          <w:sz w:val="20"/>
          <w:szCs w:val="20"/>
          <w:lang w:val="en-US"/>
        </w:rPr>
        <w:t xml:space="preserve">, </w:t>
      </w:r>
      <w:r w:rsidR="002A5974" w:rsidRPr="00AC57EA">
        <w:rPr>
          <w:sz w:val="20"/>
          <w:szCs w:val="20"/>
          <w:lang w:val="en-US"/>
        </w:rPr>
        <w:t>the right of</w:t>
      </w:r>
      <w:r w:rsidR="000F6BA6" w:rsidRPr="00AC57EA">
        <w:rPr>
          <w:sz w:val="20"/>
          <w:szCs w:val="20"/>
          <w:lang w:val="en-US"/>
        </w:rPr>
        <w:t xml:space="preserve"> </w:t>
      </w:r>
      <w:r w:rsidR="002A5974" w:rsidRPr="00AC57EA">
        <w:rPr>
          <w:sz w:val="20"/>
          <w:szCs w:val="20"/>
          <w:lang w:val="en-US"/>
        </w:rPr>
        <w:t>access to justice</w:t>
      </w:r>
      <w:r w:rsidR="000F6BA6" w:rsidRPr="00AC57EA">
        <w:rPr>
          <w:sz w:val="20"/>
          <w:szCs w:val="20"/>
          <w:lang w:val="en-US"/>
        </w:rPr>
        <w:t xml:space="preserve"> </w:t>
      </w:r>
      <w:r w:rsidR="00EB338E" w:rsidRPr="00AC57EA">
        <w:rPr>
          <w:sz w:val="20"/>
          <w:szCs w:val="20"/>
          <w:lang w:val="en-US"/>
        </w:rPr>
        <w:t>pursuant to</w:t>
      </w:r>
      <w:r w:rsidR="000F6BA6" w:rsidRPr="00AC57EA">
        <w:rPr>
          <w:sz w:val="20"/>
          <w:szCs w:val="20"/>
          <w:lang w:val="en-US"/>
        </w:rPr>
        <w:t xml:space="preserve"> </w:t>
      </w:r>
      <w:r w:rsidR="00B7258C" w:rsidRPr="00AC57EA">
        <w:rPr>
          <w:sz w:val="20"/>
          <w:szCs w:val="20"/>
          <w:lang w:val="en-US"/>
        </w:rPr>
        <w:t>Articles</w:t>
      </w:r>
      <w:r w:rsidR="000F6BA6" w:rsidRPr="00AC57EA">
        <w:rPr>
          <w:sz w:val="20"/>
          <w:szCs w:val="20"/>
          <w:lang w:val="en-US"/>
        </w:rPr>
        <w:t xml:space="preserve"> </w:t>
      </w:r>
      <w:r w:rsidR="00171E27" w:rsidRPr="00AC57EA">
        <w:rPr>
          <w:sz w:val="20"/>
          <w:szCs w:val="20"/>
          <w:lang w:val="en-US"/>
        </w:rPr>
        <w:t xml:space="preserve">8(1) and </w:t>
      </w:r>
      <w:r w:rsidR="000F6BA6" w:rsidRPr="00AC57EA">
        <w:rPr>
          <w:sz w:val="20"/>
          <w:szCs w:val="20"/>
          <w:lang w:val="en-US"/>
        </w:rPr>
        <w:t>2</w:t>
      </w:r>
      <w:r w:rsidR="00171E27" w:rsidRPr="00AC57EA">
        <w:rPr>
          <w:sz w:val="20"/>
          <w:szCs w:val="20"/>
          <w:lang w:val="en-US"/>
        </w:rPr>
        <w:t>5(1)</w:t>
      </w:r>
      <w:r w:rsidR="00B7258C" w:rsidRPr="00AC57EA">
        <w:rPr>
          <w:sz w:val="20"/>
          <w:szCs w:val="20"/>
          <w:lang w:val="en-US"/>
        </w:rPr>
        <w:t xml:space="preserve"> of the American Convention</w:t>
      </w:r>
      <w:r w:rsidR="000F6BA6" w:rsidRPr="00AC57EA">
        <w:rPr>
          <w:sz w:val="20"/>
          <w:szCs w:val="20"/>
          <w:lang w:val="en-US"/>
        </w:rPr>
        <w:t xml:space="preserve">, </w:t>
      </w:r>
      <w:r w:rsidR="00171E27" w:rsidRPr="00AC57EA">
        <w:rPr>
          <w:sz w:val="20"/>
          <w:szCs w:val="20"/>
          <w:lang w:val="en-US"/>
        </w:rPr>
        <w:t>in relation to Articles 1(1)</w:t>
      </w:r>
      <w:r w:rsidR="00755D99" w:rsidRPr="00AC57EA">
        <w:rPr>
          <w:sz w:val="20"/>
          <w:szCs w:val="20"/>
          <w:lang w:val="en-US"/>
        </w:rPr>
        <w:t>,</w:t>
      </w:r>
      <w:r w:rsidR="00D90499" w:rsidRPr="00AC57EA">
        <w:rPr>
          <w:sz w:val="20"/>
          <w:szCs w:val="20"/>
          <w:lang w:val="en-US"/>
        </w:rPr>
        <w:t xml:space="preserve"> 19</w:t>
      </w:r>
      <w:r w:rsidR="00171E27" w:rsidRPr="00AC57EA">
        <w:rPr>
          <w:sz w:val="20"/>
          <w:szCs w:val="20"/>
          <w:lang w:val="en-US"/>
        </w:rPr>
        <w:t xml:space="preserve"> and </w:t>
      </w:r>
      <w:r w:rsidR="00755D99" w:rsidRPr="00AC57EA">
        <w:rPr>
          <w:sz w:val="20"/>
          <w:szCs w:val="20"/>
          <w:lang w:val="en-US"/>
        </w:rPr>
        <w:t>24</w:t>
      </w:r>
      <w:r w:rsidR="000F6BA6" w:rsidRPr="00AC57EA">
        <w:rPr>
          <w:sz w:val="20"/>
          <w:szCs w:val="20"/>
          <w:lang w:val="en-US"/>
        </w:rPr>
        <w:t xml:space="preserve"> </w:t>
      </w:r>
      <w:r w:rsidR="002A5974" w:rsidRPr="00AC57EA">
        <w:rPr>
          <w:sz w:val="20"/>
          <w:szCs w:val="20"/>
          <w:lang w:val="en-US"/>
        </w:rPr>
        <w:t>of this instrument</w:t>
      </w:r>
      <w:r w:rsidR="00171E27" w:rsidRPr="00AC57EA">
        <w:rPr>
          <w:sz w:val="20"/>
          <w:szCs w:val="20"/>
          <w:lang w:val="en-US"/>
        </w:rPr>
        <w:t xml:space="preserve"> and </w:t>
      </w:r>
      <w:r w:rsidR="00B7258C" w:rsidRPr="00AC57EA">
        <w:rPr>
          <w:rFonts w:eastAsia="Batang" w:cs="Arial"/>
          <w:sz w:val="20"/>
          <w:szCs w:val="20"/>
          <w:lang w:val="en-US" w:eastAsia="es-MX"/>
        </w:rPr>
        <w:t>Article</w:t>
      </w:r>
      <w:r w:rsidR="00C35CE3" w:rsidRPr="00AC57EA">
        <w:rPr>
          <w:rFonts w:eastAsia="Batang" w:cs="Arial"/>
          <w:sz w:val="20"/>
          <w:szCs w:val="20"/>
          <w:lang w:val="en-US" w:eastAsia="es-MX"/>
        </w:rPr>
        <w:t xml:space="preserve"> </w:t>
      </w:r>
      <w:r w:rsidR="007D5AA2" w:rsidRPr="00AC57EA">
        <w:rPr>
          <w:rFonts w:eastAsia="Batang" w:cs="Arial"/>
          <w:sz w:val="20"/>
          <w:szCs w:val="20"/>
          <w:lang w:val="en-US" w:eastAsia="es-MX"/>
        </w:rPr>
        <w:t>7(b)</w:t>
      </w:r>
      <w:r w:rsidR="00B7258C" w:rsidRPr="00AC57EA">
        <w:rPr>
          <w:rFonts w:eastAsia="Batang" w:cs="Arial"/>
          <w:sz w:val="20"/>
          <w:szCs w:val="20"/>
          <w:lang w:val="en-US" w:eastAsia="es-MX"/>
        </w:rPr>
        <w:t xml:space="preserve"> of the </w:t>
      </w:r>
      <w:r w:rsidR="00171E27" w:rsidRPr="00AC57EA">
        <w:rPr>
          <w:rFonts w:eastAsia="Batang"/>
          <w:sz w:val="20"/>
          <w:szCs w:val="20"/>
          <w:lang w:val="en-US" w:eastAsia="es-MX"/>
        </w:rPr>
        <w:t>Convention of Belém</w:t>
      </w:r>
      <w:r w:rsidR="00C35CE3" w:rsidRPr="00AC57EA">
        <w:rPr>
          <w:rFonts w:eastAsia="Batang"/>
          <w:sz w:val="20"/>
          <w:szCs w:val="20"/>
          <w:lang w:val="en-US" w:eastAsia="es-MX"/>
        </w:rPr>
        <w:t xml:space="preserve"> do Pará</w:t>
      </w:r>
      <w:r w:rsidR="000F6BA6" w:rsidRPr="00AC57EA">
        <w:rPr>
          <w:sz w:val="20"/>
          <w:szCs w:val="20"/>
          <w:lang w:val="en-US"/>
        </w:rPr>
        <w:t xml:space="preserve">, </w:t>
      </w:r>
      <w:r w:rsidR="002F084B" w:rsidRPr="00AC57EA">
        <w:rPr>
          <w:sz w:val="20"/>
          <w:szCs w:val="20"/>
          <w:lang w:val="en-US"/>
        </w:rPr>
        <w:t>to the detriment of</w:t>
      </w:r>
      <w:r w:rsidR="000F6BA6" w:rsidRPr="00AC57EA">
        <w:rPr>
          <w:sz w:val="20"/>
          <w:szCs w:val="20"/>
          <w:lang w:val="en-US"/>
        </w:rPr>
        <w:t xml:space="preserve"> V.R.P.</w:t>
      </w:r>
    </w:p>
    <w:p w14:paraId="4AECDDD1" w14:textId="77777777" w:rsidR="000F6BA6" w:rsidRPr="00AC57EA" w:rsidRDefault="000F6BA6" w:rsidP="000F6BA6">
      <w:pPr>
        <w:widowControl/>
        <w:tabs>
          <w:tab w:val="left" w:pos="567"/>
        </w:tabs>
        <w:adjustRightInd/>
        <w:spacing w:line="240" w:lineRule="auto"/>
        <w:textAlignment w:val="auto"/>
        <w:rPr>
          <w:rFonts w:eastAsia="Calibri"/>
          <w:sz w:val="20"/>
          <w:szCs w:val="20"/>
          <w:lang w:val="en-US" w:eastAsia="en-US" w:bidi="en-US"/>
        </w:rPr>
      </w:pPr>
    </w:p>
    <w:p w14:paraId="7C066780" w14:textId="06E862FE" w:rsidR="00A93E8D" w:rsidRPr="00AC57EA" w:rsidRDefault="000F6BA6" w:rsidP="00E340E0">
      <w:pPr>
        <w:widowControl/>
        <w:numPr>
          <w:ilvl w:val="0"/>
          <w:numId w:val="2"/>
        </w:numPr>
        <w:tabs>
          <w:tab w:val="left" w:pos="567"/>
          <w:tab w:val="num" w:pos="12305"/>
        </w:tabs>
        <w:adjustRightInd/>
        <w:spacing w:line="240" w:lineRule="auto"/>
        <w:ind w:left="0" w:firstLine="0"/>
        <w:textAlignment w:val="auto"/>
        <w:rPr>
          <w:rFonts w:eastAsia="Calibri"/>
          <w:sz w:val="20"/>
          <w:szCs w:val="20"/>
          <w:lang w:val="en-US" w:eastAsia="en-US" w:bidi="en-US"/>
        </w:rPr>
      </w:pPr>
      <w:r w:rsidRPr="00AC57EA">
        <w:rPr>
          <w:kern w:val="2"/>
          <w:sz w:val="20"/>
          <w:szCs w:val="20"/>
          <w:lang w:val="en-US" w:eastAsia="en-US"/>
        </w:rPr>
        <w:t>A</w:t>
      </w:r>
      <w:r w:rsidR="00E340E0" w:rsidRPr="00AC57EA">
        <w:rPr>
          <w:kern w:val="2"/>
          <w:sz w:val="20"/>
          <w:szCs w:val="20"/>
          <w:lang w:val="en-US" w:eastAsia="en-US"/>
        </w:rPr>
        <w:t>dditionally</w:t>
      </w:r>
      <w:r w:rsidR="00A93E8D" w:rsidRPr="00AC57EA">
        <w:rPr>
          <w:kern w:val="2"/>
          <w:sz w:val="20"/>
          <w:szCs w:val="20"/>
          <w:lang w:val="en-US" w:eastAsia="en-US"/>
        </w:rPr>
        <w:t xml:space="preserve">, </w:t>
      </w:r>
      <w:r w:rsidR="00B7258C" w:rsidRPr="00AC57EA">
        <w:rPr>
          <w:kern w:val="2"/>
          <w:sz w:val="20"/>
          <w:szCs w:val="20"/>
          <w:lang w:val="en-US" w:eastAsia="en-US"/>
        </w:rPr>
        <w:t>the Court</w:t>
      </w:r>
      <w:r w:rsidR="00A93E8D" w:rsidRPr="00AC57EA">
        <w:rPr>
          <w:kern w:val="2"/>
          <w:sz w:val="20"/>
          <w:szCs w:val="20"/>
          <w:lang w:val="en-US" w:eastAsia="en-US"/>
        </w:rPr>
        <w:t xml:space="preserve"> </w:t>
      </w:r>
      <w:r w:rsidR="00E340E0" w:rsidRPr="00AC57EA">
        <w:rPr>
          <w:kern w:val="2"/>
          <w:sz w:val="20"/>
          <w:szCs w:val="20"/>
          <w:lang w:val="en-US" w:eastAsia="en-US"/>
        </w:rPr>
        <w:t>finds that in this case, the State became the second aggressor, by committ</w:t>
      </w:r>
      <w:r w:rsidR="00445890" w:rsidRPr="00AC57EA">
        <w:rPr>
          <w:kern w:val="2"/>
          <w:sz w:val="20"/>
          <w:szCs w:val="20"/>
          <w:lang w:val="en-US" w:eastAsia="en-US"/>
        </w:rPr>
        <w:t>ing</w:t>
      </w:r>
      <w:r w:rsidR="00E340E0" w:rsidRPr="00AC57EA">
        <w:rPr>
          <w:kern w:val="2"/>
          <w:sz w:val="20"/>
          <w:szCs w:val="20"/>
          <w:lang w:val="en-US" w:eastAsia="en-US"/>
        </w:rPr>
        <w:t xml:space="preserve"> various revictimizing actions that, taking into account the definition of violence against women adopted by </w:t>
      </w:r>
      <w:r w:rsidR="00E340E0" w:rsidRPr="00AC57EA">
        <w:rPr>
          <w:rFonts w:cs="Tahoma"/>
          <w:sz w:val="20"/>
          <w:szCs w:val="20"/>
          <w:lang w:val="en-US"/>
        </w:rPr>
        <w:t>the Convention of Belém do Pará, constituted institutional violence. In</w:t>
      </w:r>
      <w:r w:rsidR="00CF7B25" w:rsidRPr="00AC57EA">
        <w:rPr>
          <w:rFonts w:cs="Tahoma"/>
          <w:sz w:val="20"/>
          <w:szCs w:val="20"/>
          <w:lang w:val="en-US"/>
        </w:rPr>
        <w:t>deed, the Convention of Belém do Pará has established parameters to identify when an act constitutes violence and its Article 1 stipulates that “</w:t>
      </w:r>
      <w:r w:rsidR="00CF7B25" w:rsidRPr="00AC57EA">
        <w:rPr>
          <w:rFonts w:eastAsiaTheme="minorHAnsi" w:cs="Calibri"/>
          <w:color w:val="000000"/>
          <w:sz w:val="20"/>
          <w:szCs w:val="20"/>
          <w:lang w:val="en-US" w:eastAsia="en-US"/>
        </w:rPr>
        <w:t>violence against women shall be understood as any act or conduct, based on gender, which causes death or physical, sexual or psychological harm or suffering to women, whether in the public or the private sphere.</w:t>
      </w:r>
      <w:r w:rsidR="00A93E8D" w:rsidRPr="00AC57EA">
        <w:rPr>
          <w:rFonts w:cs="Tahoma"/>
          <w:sz w:val="20"/>
          <w:szCs w:val="20"/>
          <w:lang w:val="en-US"/>
        </w:rPr>
        <w:t>”</w:t>
      </w:r>
      <w:r w:rsidR="00A93E8D" w:rsidRPr="00AC57EA">
        <w:rPr>
          <w:rStyle w:val="Refdenotaalpie"/>
          <w:rFonts w:eastAsiaTheme="minorHAnsi"/>
          <w:sz w:val="20"/>
          <w:szCs w:val="20"/>
          <w:lang w:val="en-US"/>
        </w:rPr>
        <w:footnoteReference w:id="382"/>
      </w:r>
      <w:r w:rsidR="00CF7B25" w:rsidRPr="00AC57EA">
        <w:rPr>
          <w:rFonts w:cs="Tahoma"/>
          <w:sz w:val="20"/>
          <w:szCs w:val="20"/>
          <w:lang w:val="en-US"/>
        </w:rPr>
        <w:t xml:space="preserve"> In addition, this instrument stresses that this includes violence perpetrated or condoned by the State or its agents regardless of where it occurs</w:t>
      </w:r>
      <w:r w:rsidR="00A93E8D" w:rsidRPr="00AC57EA">
        <w:rPr>
          <w:sz w:val="20"/>
          <w:szCs w:val="20"/>
          <w:lang w:val="en-US"/>
        </w:rPr>
        <w:t>.</w:t>
      </w:r>
    </w:p>
    <w:p w14:paraId="1CBD8BC5" w14:textId="77777777" w:rsidR="00A93E8D" w:rsidRPr="00AC57EA" w:rsidRDefault="00A93E8D" w:rsidP="00A93E8D">
      <w:pPr>
        <w:widowControl/>
        <w:autoSpaceDE w:val="0"/>
        <w:autoSpaceDN w:val="0"/>
        <w:spacing w:line="240" w:lineRule="auto"/>
        <w:textAlignment w:val="auto"/>
        <w:rPr>
          <w:rFonts w:eastAsiaTheme="minorHAnsi" w:cs="Arial"/>
          <w:sz w:val="20"/>
          <w:szCs w:val="20"/>
          <w:lang w:val="en-US" w:eastAsia="en-US"/>
        </w:rPr>
      </w:pPr>
    </w:p>
    <w:p w14:paraId="2EA7B832" w14:textId="71AE1FCA" w:rsidR="00117BEC" w:rsidRPr="00AC57EA" w:rsidRDefault="00CF7B25" w:rsidP="00CF7B25">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I</w:t>
      </w:r>
      <w:r w:rsidR="00A93E8D" w:rsidRPr="00AC57EA">
        <w:rPr>
          <w:sz w:val="20"/>
          <w:szCs w:val="20"/>
          <w:lang w:val="en-US"/>
        </w:rPr>
        <w:t xml:space="preserve">n </w:t>
      </w:r>
      <w:r w:rsidR="0025395E" w:rsidRPr="00AC57EA">
        <w:rPr>
          <w:sz w:val="20"/>
          <w:szCs w:val="20"/>
          <w:lang w:val="en-US"/>
        </w:rPr>
        <w:t>conclusion</w:t>
      </w:r>
      <w:r w:rsidR="00117BEC" w:rsidRPr="00AC57EA">
        <w:rPr>
          <w:sz w:val="20"/>
          <w:szCs w:val="20"/>
          <w:lang w:val="en-US"/>
        </w:rPr>
        <w:t xml:space="preserve">, </w:t>
      </w:r>
      <w:r w:rsidR="00B7258C" w:rsidRPr="00AC57EA">
        <w:rPr>
          <w:sz w:val="20"/>
          <w:szCs w:val="20"/>
          <w:lang w:val="en-US"/>
        </w:rPr>
        <w:t>the Court</w:t>
      </w:r>
      <w:r w:rsidR="00117BEC" w:rsidRPr="00AC57EA">
        <w:rPr>
          <w:sz w:val="20"/>
          <w:szCs w:val="20"/>
          <w:lang w:val="en-US"/>
        </w:rPr>
        <w:t xml:space="preserve"> consider</w:t>
      </w:r>
      <w:r w:rsidRPr="00AC57EA">
        <w:rPr>
          <w:sz w:val="20"/>
          <w:szCs w:val="20"/>
          <w:lang w:val="en-US"/>
        </w:rPr>
        <w:t>s that the child suffered two-fold</w:t>
      </w:r>
      <w:r w:rsidR="00117BEC" w:rsidRPr="00AC57EA">
        <w:rPr>
          <w:sz w:val="20"/>
          <w:szCs w:val="20"/>
          <w:lang w:val="en-US"/>
        </w:rPr>
        <w:t xml:space="preserve"> </w:t>
      </w:r>
      <w:r w:rsidRPr="00AC57EA">
        <w:rPr>
          <w:sz w:val="20"/>
          <w:szCs w:val="20"/>
          <w:lang w:val="en-US"/>
        </w:rPr>
        <w:t xml:space="preserve">violence; on the one hand, sexual violence at the hands of a non-state actor and, on the other hand, institutional violence during the judicial proceedings, in particular, owing to the forensic medical examination and the reconstruction of the events. The child and her family resorted to the judicial system seeking protection and to obtain the restitution of their violated rights. However, the State not only failed to comply with the enhanced due diligence and special protection that were required during the judicial proceedings in which a situation of sexual violence was investigated, but responded with a new form of violence. Thus, in addition to the violation of </w:t>
      </w:r>
      <w:r w:rsidR="002A5974" w:rsidRPr="00AC57EA">
        <w:rPr>
          <w:sz w:val="20"/>
          <w:szCs w:val="20"/>
          <w:lang w:val="en-US"/>
        </w:rPr>
        <w:t>the right of</w:t>
      </w:r>
      <w:r w:rsidR="001508AC" w:rsidRPr="00AC57EA">
        <w:rPr>
          <w:sz w:val="20"/>
          <w:szCs w:val="20"/>
          <w:lang w:val="en-US"/>
        </w:rPr>
        <w:t xml:space="preserve"> </w:t>
      </w:r>
      <w:r w:rsidR="002A5974" w:rsidRPr="00AC57EA">
        <w:rPr>
          <w:sz w:val="20"/>
          <w:szCs w:val="20"/>
          <w:lang w:val="en-US"/>
        </w:rPr>
        <w:t>access to justice</w:t>
      </w:r>
      <w:r w:rsidR="001508AC" w:rsidRPr="00AC57EA">
        <w:rPr>
          <w:sz w:val="20"/>
          <w:szCs w:val="20"/>
          <w:lang w:val="en-US"/>
        </w:rPr>
        <w:t xml:space="preserve"> </w:t>
      </w:r>
      <w:r w:rsidRPr="00AC57EA">
        <w:rPr>
          <w:sz w:val="20"/>
          <w:szCs w:val="20"/>
          <w:lang w:val="en-US"/>
        </w:rPr>
        <w:t xml:space="preserve">without discrimination, the Court finds that the State perpetrated institutional violence, causing </w:t>
      </w:r>
      <w:r w:rsidR="004A7A03" w:rsidRPr="00AC57EA">
        <w:rPr>
          <w:sz w:val="20"/>
          <w:szCs w:val="20"/>
          <w:lang w:val="en-US"/>
        </w:rPr>
        <w:t xml:space="preserve">V.R.P. </w:t>
      </w:r>
      <w:r w:rsidRPr="00AC57EA">
        <w:rPr>
          <w:sz w:val="20"/>
          <w:szCs w:val="20"/>
          <w:lang w:val="en-US"/>
        </w:rPr>
        <w:t xml:space="preserve">increased harm and </w:t>
      </w:r>
      <w:r w:rsidR="005E53B3" w:rsidRPr="00AC57EA">
        <w:rPr>
          <w:sz w:val="20"/>
          <w:szCs w:val="20"/>
          <w:lang w:val="en-US"/>
        </w:rPr>
        <w:t>exacerbating</w:t>
      </w:r>
      <w:r w:rsidRPr="00AC57EA">
        <w:rPr>
          <w:sz w:val="20"/>
          <w:szCs w:val="20"/>
          <w:lang w:val="en-US"/>
        </w:rPr>
        <w:t xml:space="preserve"> the traumatic experience </w:t>
      </w:r>
      <w:r w:rsidR="004A7A03" w:rsidRPr="00AC57EA">
        <w:rPr>
          <w:sz w:val="20"/>
          <w:szCs w:val="20"/>
          <w:lang w:val="en-US"/>
        </w:rPr>
        <w:t>she</w:t>
      </w:r>
      <w:r w:rsidRPr="00AC57EA">
        <w:rPr>
          <w:sz w:val="20"/>
          <w:szCs w:val="20"/>
          <w:lang w:val="en-US"/>
        </w:rPr>
        <w:t xml:space="preserve"> had undergone.</w:t>
      </w:r>
    </w:p>
    <w:p w14:paraId="73520F68" w14:textId="77777777" w:rsidR="00117BEC" w:rsidRPr="00AC57EA" w:rsidRDefault="00117BEC" w:rsidP="00117BEC">
      <w:pPr>
        <w:widowControl/>
        <w:tabs>
          <w:tab w:val="left" w:pos="567"/>
        </w:tabs>
        <w:adjustRightInd/>
        <w:spacing w:line="240" w:lineRule="auto"/>
        <w:textAlignment w:val="auto"/>
        <w:rPr>
          <w:sz w:val="20"/>
          <w:szCs w:val="20"/>
          <w:lang w:val="en-US"/>
        </w:rPr>
      </w:pPr>
    </w:p>
    <w:p w14:paraId="2E26004B" w14:textId="4419C675" w:rsidR="00117BEC" w:rsidRPr="00AC57EA" w:rsidRDefault="004A7A03" w:rsidP="00117BEC">
      <w:pPr>
        <w:widowControl/>
        <w:numPr>
          <w:ilvl w:val="0"/>
          <w:numId w:val="2"/>
        </w:numPr>
        <w:tabs>
          <w:tab w:val="left" w:pos="567"/>
          <w:tab w:val="num" w:pos="12305"/>
        </w:tabs>
        <w:adjustRightInd/>
        <w:spacing w:line="240" w:lineRule="auto"/>
        <w:ind w:left="0" w:firstLine="0"/>
        <w:textAlignment w:val="auto"/>
        <w:rPr>
          <w:sz w:val="20"/>
          <w:szCs w:val="20"/>
          <w:lang w:val="en-US"/>
        </w:rPr>
      </w:pPr>
      <w:r w:rsidRPr="00AC57EA">
        <w:rPr>
          <w:sz w:val="20"/>
          <w:szCs w:val="20"/>
          <w:lang w:val="en-US"/>
        </w:rPr>
        <w:t xml:space="preserve">Consequently, the Court determines that the revictimizing actions carried out by state officials </w:t>
      </w:r>
      <w:r w:rsidR="002F084B" w:rsidRPr="00AC57EA">
        <w:rPr>
          <w:sz w:val="20"/>
          <w:szCs w:val="20"/>
          <w:lang w:val="en-US"/>
        </w:rPr>
        <w:t>to the detriment of</w:t>
      </w:r>
      <w:r w:rsidR="00214C9A" w:rsidRPr="00AC57EA">
        <w:rPr>
          <w:sz w:val="20"/>
          <w:szCs w:val="20"/>
          <w:lang w:val="en-US"/>
        </w:rPr>
        <w:t xml:space="preserve"> V.R.P. </w:t>
      </w:r>
      <w:r w:rsidR="00117BEC" w:rsidRPr="00AC57EA">
        <w:rPr>
          <w:sz w:val="20"/>
          <w:szCs w:val="20"/>
          <w:lang w:val="en-US"/>
        </w:rPr>
        <w:t>constitu</w:t>
      </w:r>
      <w:r w:rsidRPr="00AC57EA">
        <w:rPr>
          <w:sz w:val="20"/>
          <w:szCs w:val="20"/>
          <w:lang w:val="en-US"/>
        </w:rPr>
        <w:t xml:space="preserve">ted institutional violence and, taking into account the importance of the suffering caused, should be classified as cruel, inhuman and degrading treatment in the terms </w:t>
      </w:r>
      <w:r w:rsidR="00171E27" w:rsidRPr="00AC57EA">
        <w:rPr>
          <w:sz w:val="20"/>
          <w:szCs w:val="20"/>
          <w:lang w:val="en-US"/>
        </w:rPr>
        <w:t>of Article</w:t>
      </w:r>
      <w:r w:rsidR="00117BEC" w:rsidRPr="00AC57EA">
        <w:rPr>
          <w:sz w:val="20"/>
          <w:szCs w:val="20"/>
          <w:lang w:val="en-US"/>
        </w:rPr>
        <w:t xml:space="preserve"> </w:t>
      </w:r>
      <w:r w:rsidR="004151E3" w:rsidRPr="00AC57EA">
        <w:rPr>
          <w:sz w:val="20"/>
          <w:szCs w:val="20"/>
          <w:lang w:val="en-US"/>
        </w:rPr>
        <w:t>5(2)</w:t>
      </w:r>
      <w:r w:rsidR="00B7258C" w:rsidRPr="00AC57EA">
        <w:rPr>
          <w:sz w:val="20"/>
          <w:szCs w:val="20"/>
          <w:lang w:val="en-US"/>
        </w:rPr>
        <w:t xml:space="preserve"> of the American Convention</w:t>
      </w:r>
      <w:r w:rsidR="00214C9A" w:rsidRPr="00AC57EA">
        <w:rPr>
          <w:sz w:val="20"/>
          <w:szCs w:val="20"/>
          <w:lang w:val="en-US"/>
        </w:rPr>
        <w:t>,</w:t>
      </w:r>
      <w:r w:rsidR="00214C9A" w:rsidRPr="00AC57EA">
        <w:rPr>
          <w:rFonts w:eastAsia="Times"/>
          <w:sz w:val="20"/>
          <w:szCs w:val="20"/>
          <w:lang w:val="en-US"/>
        </w:rPr>
        <w:t xml:space="preserve"> </w:t>
      </w:r>
      <w:r w:rsidR="00171E27" w:rsidRPr="00AC57EA">
        <w:rPr>
          <w:rFonts w:eastAsia="Times"/>
          <w:sz w:val="20"/>
          <w:szCs w:val="20"/>
          <w:lang w:val="en-US"/>
        </w:rPr>
        <w:t>in relation to Article 1(1)</w:t>
      </w:r>
      <w:r w:rsidR="00214C9A" w:rsidRPr="00AC57EA">
        <w:rPr>
          <w:rFonts w:eastAsia="Times"/>
          <w:sz w:val="20"/>
          <w:szCs w:val="20"/>
          <w:lang w:val="en-US"/>
        </w:rPr>
        <w:t xml:space="preserve"> </w:t>
      </w:r>
      <w:r w:rsidR="002A5974" w:rsidRPr="00AC57EA">
        <w:rPr>
          <w:rFonts w:eastAsia="Times"/>
          <w:sz w:val="20"/>
          <w:szCs w:val="20"/>
          <w:lang w:val="en-US"/>
        </w:rPr>
        <w:t xml:space="preserve">of this </w:t>
      </w:r>
      <w:r w:rsidRPr="00AC57EA">
        <w:rPr>
          <w:rFonts w:eastAsia="Times"/>
          <w:sz w:val="20"/>
          <w:szCs w:val="20"/>
          <w:lang w:val="en-US"/>
        </w:rPr>
        <w:t>instrument</w:t>
      </w:r>
      <w:r w:rsidRPr="00AC57EA">
        <w:rPr>
          <w:sz w:val="20"/>
          <w:szCs w:val="20"/>
          <w:lang w:val="en-US"/>
        </w:rPr>
        <w:t>.</w:t>
      </w:r>
    </w:p>
    <w:p w14:paraId="02E60C4D" w14:textId="77777777" w:rsidR="000F6BA6" w:rsidRPr="00AC57EA" w:rsidRDefault="000F6BA6" w:rsidP="00117BEC">
      <w:pPr>
        <w:widowControl/>
        <w:adjustRightInd/>
        <w:spacing w:line="240" w:lineRule="auto"/>
        <w:textAlignment w:val="auto"/>
        <w:rPr>
          <w:sz w:val="20"/>
          <w:szCs w:val="20"/>
          <w:lang w:val="en-US" w:eastAsia="en-US"/>
        </w:rPr>
      </w:pPr>
    </w:p>
    <w:p w14:paraId="4E728B49" w14:textId="5D2F52FF" w:rsidR="0012038C" w:rsidRPr="00AC57EA" w:rsidRDefault="004A7A03" w:rsidP="00681AE9">
      <w:pPr>
        <w:pStyle w:val="Prrafodelista"/>
        <w:keepNext/>
        <w:keepLines/>
        <w:widowControl/>
        <w:numPr>
          <w:ilvl w:val="0"/>
          <w:numId w:val="16"/>
        </w:numPr>
        <w:tabs>
          <w:tab w:val="left" w:pos="1134"/>
        </w:tabs>
        <w:autoSpaceDE w:val="0"/>
        <w:autoSpaceDN w:val="0"/>
        <w:adjustRightInd/>
        <w:spacing w:line="240" w:lineRule="auto"/>
        <w:ind w:left="1134" w:hanging="567"/>
        <w:textAlignment w:val="auto"/>
        <w:outlineLvl w:val="1"/>
        <w:rPr>
          <w:rFonts w:eastAsia="MS Mincho" w:cs="Arial"/>
          <w:b/>
          <w:bCs/>
          <w:i/>
          <w:kern w:val="2"/>
          <w:sz w:val="20"/>
          <w:szCs w:val="20"/>
          <w:lang w:val="en-US" w:eastAsia="en-US"/>
        </w:rPr>
      </w:pPr>
      <w:r w:rsidRPr="00AC57EA">
        <w:rPr>
          <w:rFonts w:eastAsia="MS Mincho" w:cs="Arial"/>
          <w:b/>
          <w:bCs/>
          <w:i/>
          <w:kern w:val="2"/>
          <w:sz w:val="20"/>
          <w:szCs w:val="20"/>
          <w:lang w:val="en-US" w:eastAsia="en-US"/>
        </w:rPr>
        <w:t>An effective remedy and the right to know the truth</w:t>
      </w:r>
    </w:p>
    <w:p w14:paraId="1B565AE6" w14:textId="2238CDBF" w:rsidR="00525DF6" w:rsidRPr="00AC57EA" w:rsidRDefault="00525DF6" w:rsidP="00B5625C">
      <w:pPr>
        <w:widowControl/>
        <w:adjustRightInd/>
        <w:spacing w:line="240" w:lineRule="auto"/>
        <w:textAlignment w:val="auto"/>
        <w:rPr>
          <w:sz w:val="20"/>
          <w:szCs w:val="20"/>
          <w:lang w:val="en-US" w:eastAsia="en-US"/>
        </w:rPr>
      </w:pPr>
    </w:p>
    <w:p w14:paraId="5AE9D8D5" w14:textId="54241A9A" w:rsidR="00525DF6" w:rsidRPr="00AC57EA" w:rsidRDefault="00525DF6" w:rsidP="00525DF6">
      <w:pPr>
        <w:pStyle w:val="Ttulo2"/>
        <w:tabs>
          <w:tab w:val="left" w:pos="1843"/>
        </w:tabs>
        <w:spacing w:before="0" w:line="240" w:lineRule="auto"/>
        <w:ind w:left="1134"/>
        <w:rPr>
          <w:rFonts w:ascii="Verdana" w:hAnsi="Verdana"/>
          <w:b w:val="0"/>
          <w:i/>
          <w:color w:val="auto"/>
          <w:sz w:val="20"/>
          <w:szCs w:val="20"/>
          <w:lang w:val="en-US"/>
        </w:rPr>
      </w:pPr>
      <w:bookmarkStart w:id="138" w:name="_Toc514172652"/>
      <w:r w:rsidRPr="00AC57EA">
        <w:rPr>
          <w:rFonts w:ascii="Verdana" w:hAnsi="Verdana"/>
          <w:b w:val="0"/>
          <w:i/>
          <w:color w:val="auto"/>
          <w:sz w:val="20"/>
          <w:szCs w:val="20"/>
          <w:lang w:val="en-US"/>
        </w:rPr>
        <w:t>E.1</w:t>
      </w:r>
      <w:r w:rsidRPr="00AC57EA">
        <w:rPr>
          <w:rFonts w:ascii="Verdana" w:hAnsi="Verdana"/>
          <w:b w:val="0"/>
          <w:i/>
          <w:color w:val="auto"/>
          <w:sz w:val="20"/>
          <w:szCs w:val="20"/>
          <w:lang w:val="en-US"/>
        </w:rPr>
        <w:tab/>
      </w:r>
      <w:r w:rsidR="001120B6" w:rsidRPr="00AC57EA">
        <w:rPr>
          <w:rFonts w:ascii="Verdana" w:hAnsi="Verdana"/>
          <w:b w:val="0"/>
          <w:i/>
          <w:color w:val="auto"/>
          <w:sz w:val="20"/>
          <w:szCs w:val="20"/>
          <w:lang w:val="en-US"/>
        </w:rPr>
        <w:t>Arguments of the parties</w:t>
      </w:r>
      <w:r w:rsidR="00171E27" w:rsidRPr="00AC57EA">
        <w:rPr>
          <w:rFonts w:ascii="Verdana" w:hAnsi="Verdana"/>
          <w:b w:val="0"/>
          <w:i/>
          <w:color w:val="auto"/>
          <w:sz w:val="20"/>
          <w:szCs w:val="20"/>
          <w:lang w:val="en-US"/>
        </w:rPr>
        <w:t xml:space="preserve"> and </w:t>
      </w:r>
      <w:r w:rsidR="00B7258C" w:rsidRPr="00AC57EA">
        <w:rPr>
          <w:rFonts w:ascii="Verdana" w:hAnsi="Verdana"/>
          <w:b w:val="0"/>
          <w:i/>
          <w:color w:val="auto"/>
          <w:sz w:val="20"/>
          <w:szCs w:val="20"/>
          <w:lang w:val="en-US"/>
        </w:rPr>
        <w:t>of the Commission</w:t>
      </w:r>
      <w:bookmarkEnd w:id="138"/>
    </w:p>
    <w:p w14:paraId="583054D2" w14:textId="77777777" w:rsidR="00525DF6" w:rsidRPr="00AC57EA" w:rsidRDefault="00525DF6" w:rsidP="00B5625C">
      <w:pPr>
        <w:widowControl/>
        <w:adjustRightInd/>
        <w:spacing w:line="240" w:lineRule="auto"/>
        <w:textAlignment w:val="auto"/>
        <w:rPr>
          <w:sz w:val="20"/>
          <w:szCs w:val="20"/>
          <w:lang w:val="en-US" w:eastAsia="en-US"/>
        </w:rPr>
      </w:pPr>
    </w:p>
    <w:p w14:paraId="0489AF67" w14:textId="647CC0F0" w:rsidR="004A7A03" w:rsidRPr="00AC57EA" w:rsidRDefault="00171E27" w:rsidP="004A7A03">
      <w:pPr>
        <w:widowControl/>
        <w:numPr>
          <w:ilvl w:val="0"/>
          <w:numId w:val="2"/>
        </w:numPr>
        <w:tabs>
          <w:tab w:val="left" w:pos="567"/>
          <w:tab w:val="num" w:pos="12305"/>
        </w:tabs>
        <w:adjustRightInd/>
        <w:spacing w:line="240" w:lineRule="auto"/>
        <w:ind w:left="0" w:firstLine="0"/>
        <w:textAlignment w:val="auto"/>
        <w:rPr>
          <w:b/>
          <w:sz w:val="16"/>
          <w:szCs w:val="16"/>
          <w:lang w:val="en-US"/>
        </w:rPr>
      </w:pPr>
      <w:r w:rsidRPr="00AC57EA">
        <w:rPr>
          <w:rFonts w:cs="Arial"/>
          <w:sz w:val="20"/>
          <w:szCs w:val="20"/>
          <w:lang w:val="en-US"/>
        </w:rPr>
        <w:t xml:space="preserve">The </w:t>
      </w:r>
      <w:r w:rsidRPr="00AC57EA">
        <w:rPr>
          <w:rFonts w:cs="Arial"/>
          <w:b/>
          <w:bCs/>
          <w:i/>
          <w:iCs/>
          <w:sz w:val="20"/>
          <w:szCs w:val="20"/>
          <w:lang w:val="en-US"/>
        </w:rPr>
        <w:t>representatives</w:t>
      </w:r>
      <w:r w:rsidR="0032081D" w:rsidRPr="00AC57EA">
        <w:rPr>
          <w:rFonts w:cs="Arial"/>
          <w:sz w:val="20"/>
          <w:szCs w:val="20"/>
          <w:lang w:val="en-US"/>
        </w:rPr>
        <w:t xml:space="preserve"> </w:t>
      </w:r>
      <w:r w:rsidR="004A7A03" w:rsidRPr="00AC57EA">
        <w:rPr>
          <w:rFonts w:cs="Arial"/>
          <w:sz w:val="20"/>
          <w:szCs w:val="20"/>
          <w:lang w:val="en-US"/>
        </w:rPr>
        <w:t xml:space="preserve">indicated that, </w:t>
      </w:r>
      <w:r w:rsidR="005E53B3" w:rsidRPr="00AC57EA">
        <w:rPr>
          <w:rFonts w:cs="Arial"/>
          <w:sz w:val="20"/>
          <w:szCs w:val="20"/>
          <w:lang w:val="en-US"/>
        </w:rPr>
        <w:t>on several</w:t>
      </w:r>
      <w:r w:rsidR="004A7A03" w:rsidRPr="00AC57EA">
        <w:rPr>
          <w:rFonts w:cs="Arial"/>
          <w:sz w:val="20"/>
          <w:szCs w:val="20"/>
          <w:lang w:val="en-US"/>
        </w:rPr>
        <w:t xml:space="preserve"> occasions, they had filed briefs before the different organs of justice </w:t>
      </w:r>
      <w:r w:rsidR="005E53B3" w:rsidRPr="00AC57EA">
        <w:rPr>
          <w:rFonts w:cs="Arial"/>
          <w:sz w:val="20"/>
          <w:szCs w:val="20"/>
          <w:lang w:val="en-US"/>
        </w:rPr>
        <w:t xml:space="preserve">at the domestic level </w:t>
      </w:r>
      <w:r w:rsidR="004A7A03" w:rsidRPr="00AC57EA">
        <w:rPr>
          <w:rFonts w:cs="Arial"/>
          <w:sz w:val="20"/>
          <w:szCs w:val="20"/>
          <w:lang w:val="en-US"/>
        </w:rPr>
        <w:t>reporting irregularities in the proceedings, offering evidence, and requesting procedure</w:t>
      </w:r>
      <w:r w:rsidR="005E53B3" w:rsidRPr="00AC57EA">
        <w:rPr>
          <w:rFonts w:cs="Arial"/>
          <w:sz w:val="20"/>
          <w:szCs w:val="20"/>
          <w:lang w:val="en-US"/>
        </w:rPr>
        <w:t>s</w:t>
      </w:r>
      <w:r w:rsidR="004A7A03" w:rsidRPr="00AC57EA">
        <w:rPr>
          <w:rFonts w:cs="Arial"/>
          <w:sz w:val="20"/>
          <w:szCs w:val="20"/>
          <w:lang w:val="en-US"/>
        </w:rPr>
        <w:t xml:space="preserve">, all to try and prove the irregular and flawed actions of the public servants. V.P.C. could not find an effective remedy in the State of Nicaragua that allowed </w:t>
      </w:r>
      <w:r w:rsidR="005E53B3" w:rsidRPr="00AC57EA">
        <w:rPr>
          <w:rFonts w:cs="Arial"/>
          <w:sz w:val="20"/>
          <w:szCs w:val="20"/>
          <w:lang w:val="en-US"/>
        </w:rPr>
        <w:t xml:space="preserve">her </w:t>
      </w:r>
      <w:r w:rsidR="004A7A03" w:rsidRPr="00AC57EA">
        <w:rPr>
          <w:rFonts w:cs="Arial"/>
          <w:sz w:val="20"/>
          <w:szCs w:val="20"/>
          <w:lang w:val="en-US"/>
        </w:rPr>
        <w:t xml:space="preserve">to obtain real protection for her daughter’s rights. The representatives also stressed the inexistence of an ordinary remedy that would have allowed the parties to file </w:t>
      </w:r>
      <w:r w:rsidR="0000161F" w:rsidRPr="00AC57EA">
        <w:rPr>
          <w:rFonts w:cs="Arial"/>
          <w:sz w:val="20"/>
          <w:szCs w:val="20"/>
          <w:lang w:val="en-US"/>
        </w:rPr>
        <w:t>an</w:t>
      </w:r>
      <w:r w:rsidR="004A7A03" w:rsidRPr="00AC57EA">
        <w:rPr>
          <w:rFonts w:cs="Arial"/>
          <w:sz w:val="20"/>
          <w:szCs w:val="20"/>
          <w:lang w:val="en-US"/>
        </w:rPr>
        <w:t xml:space="preserve"> appeal before a higher court. Based on this, they concluded that the State was responsible for the violation of</w:t>
      </w:r>
      <w:r w:rsidR="004A7A03" w:rsidRPr="00AC57EA">
        <w:rPr>
          <w:b/>
          <w:sz w:val="16"/>
          <w:szCs w:val="16"/>
          <w:lang w:val="en-US"/>
        </w:rPr>
        <w:t xml:space="preserve"> </w:t>
      </w:r>
      <w:r w:rsidR="00B7258C" w:rsidRPr="00AC57EA">
        <w:rPr>
          <w:rFonts w:cs="Arial"/>
          <w:sz w:val="20"/>
          <w:szCs w:val="20"/>
          <w:lang w:val="en-US"/>
        </w:rPr>
        <w:t>Articles</w:t>
      </w:r>
      <w:r w:rsidR="0032081D" w:rsidRPr="00AC57EA">
        <w:rPr>
          <w:rFonts w:cs="Arial"/>
          <w:sz w:val="20"/>
          <w:szCs w:val="20"/>
          <w:lang w:val="en-US"/>
        </w:rPr>
        <w:t xml:space="preserve"> 25</w:t>
      </w:r>
      <w:r w:rsidRPr="00AC57EA">
        <w:rPr>
          <w:rFonts w:cs="Arial"/>
          <w:sz w:val="20"/>
          <w:szCs w:val="20"/>
          <w:lang w:val="en-US"/>
        </w:rPr>
        <w:t xml:space="preserve"> and </w:t>
      </w:r>
      <w:r w:rsidR="0032081D" w:rsidRPr="00AC57EA">
        <w:rPr>
          <w:rFonts w:cs="Arial"/>
          <w:sz w:val="20"/>
          <w:szCs w:val="20"/>
          <w:lang w:val="en-US"/>
        </w:rPr>
        <w:t>2</w:t>
      </w:r>
      <w:r w:rsidRPr="00AC57EA">
        <w:rPr>
          <w:rFonts w:cs="Arial"/>
          <w:sz w:val="20"/>
          <w:szCs w:val="20"/>
          <w:lang w:val="en-US"/>
        </w:rPr>
        <w:t>5(1)</w:t>
      </w:r>
      <w:r w:rsidR="00B7258C" w:rsidRPr="00AC57EA">
        <w:rPr>
          <w:rFonts w:cs="Arial"/>
          <w:sz w:val="20"/>
          <w:szCs w:val="20"/>
          <w:lang w:val="en-US"/>
        </w:rPr>
        <w:t xml:space="preserve"> of the American Convention</w:t>
      </w:r>
      <w:r w:rsidR="0032081D" w:rsidRPr="00AC57EA">
        <w:rPr>
          <w:rFonts w:cs="Arial"/>
          <w:sz w:val="20"/>
          <w:szCs w:val="20"/>
          <w:lang w:val="en-US"/>
        </w:rPr>
        <w:t xml:space="preserve"> </w:t>
      </w:r>
      <w:r w:rsidRPr="00AC57EA">
        <w:rPr>
          <w:sz w:val="20"/>
          <w:szCs w:val="20"/>
          <w:lang w:val="en-US"/>
        </w:rPr>
        <w:t>in relation to Article 1(1)</w:t>
      </w:r>
      <w:r w:rsidR="0032081D" w:rsidRPr="00AC57EA">
        <w:rPr>
          <w:sz w:val="20"/>
          <w:szCs w:val="20"/>
          <w:lang w:val="en-US"/>
        </w:rPr>
        <w:t xml:space="preserve"> </w:t>
      </w:r>
      <w:r w:rsidRPr="00AC57EA">
        <w:rPr>
          <w:sz w:val="20"/>
          <w:szCs w:val="20"/>
          <w:lang w:val="en-US"/>
        </w:rPr>
        <w:t>of this instrument</w:t>
      </w:r>
      <w:r w:rsidR="0032081D" w:rsidRPr="00AC57EA">
        <w:rPr>
          <w:sz w:val="20"/>
          <w:szCs w:val="20"/>
          <w:lang w:val="en-US"/>
        </w:rPr>
        <w:t xml:space="preserve">. </w:t>
      </w:r>
      <w:r w:rsidR="000779A3" w:rsidRPr="00AC57EA">
        <w:rPr>
          <w:sz w:val="20"/>
          <w:szCs w:val="20"/>
          <w:lang w:val="en-US"/>
        </w:rPr>
        <w:t>Ad</w:t>
      </w:r>
      <w:r w:rsidR="004A7A03" w:rsidRPr="00AC57EA">
        <w:rPr>
          <w:sz w:val="20"/>
          <w:szCs w:val="20"/>
          <w:lang w:val="en-US"/>
        </w:rPr>
        <w:t>ditionally</w:t>
      </w:r>
      <w:r w:rsidR="000779A3" w:rsidRPr="00AC57EA">
        <w:rPr>
          <w:sz w:val="20"/>
          <w:szCs w:val="20"/>
          <w:lang w:val="en-US"/>
        </w:rPr>
        <w:t xml:space="preserve">, </w:t>
      </w:r>
      <w:r w:rsidRPr="00AC57EA">
        <w:rPr>
          <w:sz w:val="20"/>
          <w:szCs w:val="20"/>
          <w:lang w:val="en-US"/>
        </w:rPr>
        <w:t>the representatives</w:t>
      </w:r>
      <w:r w:rsidR="00464B78" w:rsidRPr="00AC57EA">
        <w:rPr>
          <w:sz w:val="20"/>
          <w:szCs w:val="20"/>
          <w:lang w:val="en-US"/>
        </w:rPr>
        <w:t xml:space="preserve"> a</w:t>
      </w:r>
      <w:r w:rsidR="004A7A03" w:rsidRPr="00AC57EA">
        <w:rPr>
          <w:sz w:val="20"/>
          <w:szCs w:val="20"/>
          <w:lang w:val="en-US"/>
        </w:rPr>
        <w:t xml:space="preserve">rgued that the State had violated the right to the truth because it had failed to conduct the necessary investigations to know the truth </w:t>
      </w:r>
      <w:r w:rsidR="00F066DC" w:rsidRPr="00AC57EA">
        <w:rPr>
          <w:sz w:val="20"/>
          <w:szCs w:val="20"/>
          <w:lang w:val="en-US"/>
        </w:rPr>
        <w:t>in relation to the reasons that led the jury to take the decision they did, despite the existence of all the evidence of the responsibility of the accused. They emphasized that</w:t>
      </w:r>
      <w:r w:rsidR="005E53B3" w:rsidRPr="00AC57EA">
        <w:rPr>
          <w:sz w:val="20"/>
          <w:szCs w:val="20"/>
          <w:lang w:val="en-US"/>
        </w:rPr>
        <w:t xml:space="preserve"> </w:t>
      </w:r>
      <w:r w:rsidR="00F066DC" w:rsidRPr="00AC57EA">
        <w:rPr>
          <w:sz w:val="20"/>
          <w:szCs w:val="20"/>
          <w:lang w:val="en-US"/>
        </w:rPr>
        <w:t>the State</w:t>
      </w:r>
      <w:r w:rsidR="005E53B3" w:rsidRPr="00AC57EA">
        <w:rPr>
          <w:sz w:val="20"/>
          <w:szCs w:val="20"/>
          <w:lang w:val="en-US"/>
        </w:rPr>
        <w:t xml:space="preserve"> also</w:t>
      </w:r>
      <w:r w:rsidR="00F066DC" w:rsidRPr="00AC57EA">
        <w:rPr>
          <w:sz w:val="20"/>
          <w:szCs w:val="20"/>
          <w:lang w:val="en-US"/>
        </w:rPr>
        <w:t xml:space="preserve"> failed to investigate or take measures with regard to the complaints filed by V.P.C. concerning irregularities committed by some participants in the proceedings, or to prosecute the public officials for offenses committed in the exercise of their functions.</w:t>
      </w:r>
    </w:p>
    <w:p w14:paraId="26534167" w14:textId="77777777" w:rsidR="00464B78" w:rsidRPr="00AC57EA" w:rsidRDefault="00464B78" w:rsidP="0032081D">
      <w:pPr>
        <w:autoSpaceDE w:val="0"/>
        <w:autoSpaceDN w:val="0"/>
        <w:spacing w:line="240" w:lineRule="auto"/>
        <w:rPr>
          <w:b/>
          <w:sz w:val="20"/>
          <w:szCs w:val="20"/>
          <w:lang w:val="en-US"/>
        </w:rPr>
      </w:pPr>
    </w:p>
    <w:p w14:paraId="7594DD1C" w14:textId="645CE1D4" w:rsidR="00F066DC" w:rsidRPr="00AC57EA" w:rsidRDefault="00EC52D7" w:rsidP="00464B78">
      <w:pPr>
        <w:widowControl/>
        <w:numPr>
          <w:ilvl w:val="0"/>
          <w:numId w:val="2"/>
        </w:numPr>
        <w:tabs>
          <w:tab w:val="left" w:pos="567"/>
          <w:tab w:val="num" w:pos="12305"/>
        </w:tabs>
        <w:adjustRightInd/>
        <w:spacing w:line="240" w:lineRule="auto"/>
        <w:ind w:left="0" w:firstLine="0"/>
        <w:textAlignment w:val="auto"/>
        <w:rPr>
          <w:rFonts w:cs="Arial"/>
          <w:sz w:val="20"/>
          <w:szCs w:val="20"/>
          <w:lang w:val="en-US"/>
        </w:rPr>
      </w:pPr>
      <w:r w:rsidRPr="00AC57EA">
        <w:rPr>
          <w:sz w:val="20"/>
          <w:szCs w:val="20"/>
          <w:lang w:val="en-US"/>
        </w:rPr>
        <w:t xml:space="preserve">The </w:t>
      </w:r>
      <w:r w:rsidRPr="00AC57EA">
        <w:rPr>
          <w:b/>
          <w:bCs/>
          <w:i/>
          <w:iCs/>
          <w:sz w:val="20"/>
          <w:szCs w:val="20"/>
          <w:lang w:val="en-US"/>
        </w:rPr>
        <w:t>State</w:t>
      </w:r>
      <w:r w:rsidR="0032081D" w:rsidRPr="00AC57EA">
        <w:rPr>
          <w:sz w:val="20"/>
          <w:szCs w:val="20"/>
          <w:lang w:val="en-US"/>
        </w:rPr>
        <w:t xml:space="preserve"> </w:t>
      </w:r>
      <w:r w:rsidR="00F066DC" w:rsidRPr="00AC57EA">
        <w:rPr>
          <w:sz w:val="20"/>
          <w:szCs w:val="20"/>
          <w:lang w:val="en-US"/>
        </w:rPr>
        <w:t>noted that, during the domestic public hearing, no complaint had been filed in relation to the supposed irregularities and that the complaints were only filed when V.P.C. became aware of the jury’s “not-guilty” verdict. The State indicated that the statement by the representatives that “it had failed to conduct the necessary investigations to know the truth” had not taken into consideration the evidence that had been collected and on which the interim judgment ordering the pre-trial detention of H.R.A. was founded because, in the absence of this evidence, the judge would not have been able to issue th</w:t>
      </w:r>
      <w:r w:rsidR="005E53B3" w:rsidRPr="00AC57EA">
        <w:rPr>
          <w:sz w:val="20"/>
          <w:szCs w:val="20"/>
          <w:lang w:val="en-US"/>
        </w:rPr>
        <w:t>e respective</w:t>
      </w:r>
      <w:r w:rsidR="00F066DC" w:rsidRPr="00AC57EA">
        <w:rPr>
          <w:sz w:val="20"/>
          <w:szCs w:val="20"/>
          <w:lang w:val="en-US"/>
        </w:rPr>
        <w:t xml:space="preserve"> order.</w:t>
      </w:r>
    </w:p>
    <w:p w14:paraId="3340D2A7" w14:textId="77777777" w:rsidR="0032081D" w:rsidRPr="00AC57EA" w:rsidRDefault="0032081D" w:rsidP="0032081D">
      <w:pPr>
        <w:autoSpaceDE w:val="0"/>
        <w:autoSpaceDN w:val="0"/>
        <w:spacing w:line="240" w:lineRule="auto"/>
        <w:rPr>
          <w:b/>
          <w:sz w:val="16"/>
          <w:szCs w:val="16"/>
          <w:lang w:val="en-US"/>
        </w:rPr>
      </w:pPr>
    </w:p>
    <w:p w14:paraId="58DE1560" w14:textId="6FB0A529" w:rsidR="0032081D" w:rsidRPr="00AC57EA" w:rsidRDefault="00B7258C" w:rsidP="00525DF6">
      <w:pPr>
        <w:widowControl/>
        <w:numPr>
          <w:ilvl w:val="0"/>
          <w:numId w:val="2"/>
        </w:numPr>
        <w:tabs>
          <w:tab w:val="left" w:pos="567"/>
          <w:tab w:val="num" w:pos="12305"/>
        </w:tabs>
        <w:adjustRightInd/>
        <w:spacing w:line="240" w:lineRule="auto"/>
        <w:ind w:left="0" w:firstLine="0"/>
        <w:textAlignment w:val="auto"/>
        <w:rPr>
          <w:rFonts w:cs="Arial"/>
          <w:sz w:val="20"/>
          <w:szCs w:val="20"/>
          <w:lang w:val="en-US"/>
        </w:rPr>
      </w:pPr>
      <w:r w:rsidRPr="00AC57EA">
        <w:rPr>
          <w:rFonts w:cs="Arial"/>
          <w:sz w:val="20"/>
          <w:szCs w:val="20"/>
          <w:lang w:val="en-US"/>
        </w:rPr>
        <w:t xml:space="preserve">The </w:t>
      </w:r>
      <w:r w:rsidRPr="00AC57EA">
        <w:rPr>
          <w:rFonts w:cs="Arial"/>
          <w:b/>
          <w:bCs/>
          <w:i/>
          <w:iCs/>
          <w:sz w:val="20"/>
          <w:szCs w:val="20"/>
          <w:lang w:val="en-US"/>
        </w:rPr>
        <w:t>Commission</w:t>
      </w:r>
      <w:r w:rsidR="00871008" w:rsidRPr="00AC57EA">
        <w:rPr>
          <w:rFonts w:cs="Arial"/>
          <w:sz w:val="20"/>
          <w:szCs w:val="20"/>
          <w:lang w:val="en-US"/>
        </w:rPr>
        <w:t xml:space="preserve"> </w:t>
      </w:r>
      <w:r w:rsidR="00537C04" w:rsidRPr="00AC57EA">
        <w:rPr>
          <w:rFonts w:cs="Arial"/>
          <w:sz w:val="20"/>
          <w:szCs w:val="20"/>
          <w:lang w:val="en-US"/>
        </w:rPr>
        <w:t>did not provide input on these points</w:t>
      </w:r>
      <w:r w:rsidR="0032081D" w:rsidRPr="00AC57EA">
        <w:rPr>
          <w:rFonts w:cs="Arial"/>
          <w:sz w:val="20"/>
          <w:szCs w:val="20"/>
          <w:lang w:val="en-US"/>
        </w:rPr>
        <w:t>.</w:t>
      </w:r>
    </w:p>
    <w:p w14:paraId="5AE6F35E" w14:textId="77777777" w:rsidR="0032081D" w:rsidRPr="00AC57EA" w:rsidRDefault="0032081D" w:rsidP="00B5625C">
      <w:pPr>
        <w:widowControl/>
        <w:adjustRightInd/>
        <w:spacing w:line="240" w:lineRule="auto"/>
        <w:textAlignment w:val="auto"/>
        <w:rPr>
          <w:sz w:val="20"/>
          <w:szCs w:val="20"/>
          <w:lang w:val="en-US" w:eastAsia="en-US"/>
        </w:rPr>
      </w:pPr>
    </w:p>
    <w:p w14:paraId="691341C6" w14:textId="04438F52" w:rsidR="00525DF6" w:rsidRPr="00AC57EA" w:rsidRDefault="00525DF6" w:rsidP="00525DF6">
      <w:pPr>
        <w:keepNext/>
        <w:keepLines/>
        <w:tabs>
          <w:tab w:val="left" w:pos="1701"/>
        </w:tabs>
        <w:spacing w:line="240" w:lineRule="auto"/>
        <w:ind w:left="1134"/>
        <w:outlineLvl w:val="1"/>
        <w:rPr>
          <w:bCs/>
          <w:i/>
          <w:sz w:val="20"/>
          <w:szCs w:val="20"/>
          <w:lang w:val="en-US"/>
        </w:rPr>
      </w:pPr>
      <w:bookmarkStart w:id="139" w:name="_Toc514172653"/>
      <w:r w:rsidRPr="00AC57EA">
        <w:rPr>
          <w:bCs/>
          <w:i/>
          <w:sz w:val="20"/>
          <w:szCs w:val="20"/>
          <w:lang w:val="en-US"/>
        </w:rPr>
        <w:t xml:space="preserve">E.2 </w:t>
      </w:r>
      <w:r w:rsidR="00D513F8" w:rsidRPr="00AC57EA">
        <w:rPr>
          <w:bCs/>
          <w:i/>
          <w:sz w:val="20"/>
          <w:szCs w:val="20"/>
          <w:lang w:val="en-US"/>
        </w:rPr>
        <w:tab/>
      </w:r>
      <w:r w:rsidR="002223C8" w:rsidRPr="00AC57EA">
        <w:rPr>
          <w:bCs/>
          <w:i/>
          <w:sz w:val="20"/>
          <w:szCs w:val="20"/>
          <w:lang w:val="en-US"/>
        </w:rPr>
        <w:t>Considerations</w:t>
      </w:r>
      <w:r w:rsidR="00B7258C" w:rsidRPr="00AC57EA">
        <w:rPr>
          <w:bCs/>
          <w:i/>
          <w:sz w:val="20"/>
          <w:szCs w:val="20"/>
          <w:lang w:val="en-US"/>
        </w:rPr>
        <w:t xml:space="preserve"> of the Court</w:t>
      </w:r>
      <w:bookmarkEnd w:id="139"/>
    </w:p>
    <w:p w14:paraId="22CF46F6" w14:textId="77777777" w:rsidR="00525DF6" w:rsidRPr="00AC57EA" w:rsidRDefault="00525DF6" w:rsidP="00B5625C">
      <w:pPr>
        <w:widowControl/>
        <w:adjustRightInd/>
        <w:spacing w:line="240" w:lineRule="auto"/>
        <w:textAlignment w:val="auto"/>
        <w:rPr>
          <w:sz w:val="20"/>
          <w:szCs w:val="20"/>
          <w:lang w:val="en-US" w:eastAsia="en-US"/>
        </w:rPr>
      </w:pPr>
    </w:p>
    <w:p w14:paraId="432B3B6E" w14:textId="579564A9" w:rsidR="00F066DC" w:rsidRPr="00AC57EA" w:rsidRDefault="00B7258C" w:rsidP="00871008">
      <w:pPr>
        <w:widowControl/>
        <w:numPr>
          <w:ilvl w:val="0"/>
          <w:numId w:val="2"/>
        </w:numPr>
        <w:tabs>
          <w:tab w:val="left" w:pos="567"/>
          <w:tab w:val="num" w:pos="12305"/>
        </w:tabs>
        <w:adjustRightInd/>
        <w:spacing w:line="240" w:lineRule="auto"/>
        <w:ind w:left="0" w:firstLine="0"/>
        <w:textAlignment w:val="auto"/>
        <w:rPr>
          <w:sz w:val="20"/>
          <w:lang w:val="en-US"/>
        </w:rPr>
      </w:pPr>
      <w:r w:rsidRPr="00AC57EA">
        <w:rPr>
          <w:sz w:val="20"/>
          <w:lang w:val="en-US"/>
        </w:rPr>
        <w:t>The Court</w:t>
      </w:r>
      <w:r w:rsidR="00871008" w:rsidRPr="00AC57EA">
        <w:rPr>
          <w:sz w:val="20"/>
          <w:lang w:val="en-US"/>
        </w:rPr>
        <w:t xml:space="preserve"> consider</w:t>
      </w:r>
      <w:r w:rsidR="00F066DC" w:rsidRPr="00AC57EA">
        <w:rPr>
          <w:sz w:val="20"/>
          <w:lang w:val="en-US"/>
        </w:rPr>
        <w:t xml:space="preserve">s that the relevant analysis of the additional aspects adduced by </w:t>
      </w:r>
      <w:r w:rsidR="00171E27" w:rsidRPr="00AC57EA">
        <w:rPr>
          <w:sz w:val="20"/>
          <w:lang w:val="en-US"/>
        </w:rPr>
        <w:t>the representatives</w:t>
      </w:r>
      <w:r w:rsidR="00F066DC" w:rsidRPr="00AC57EA">
        <w:rPr>
          <w:sz w:val="20"/>
          <w:lang w:val="en-US"/>
        </w:rPr>
        <w:t xml:space="preserve"> has already been made in the preceding sections; therefore, it does not find it pertinent to issue an autonomous ruling on their alleged violation.</w:t>
      </w:r>
    </w:p>
    <w:p w14:paraId="6FF713BD" w14:textId="77777777" w:rsidR="00871008" w:rsidRPr="00AC57EA" w:rsidRDefault="00871008" w:rsidP="00B5625C">
      <w:pPr>
        <w:widowControl/>
        <w:adjustRightInd/>
        <w:spacing w:line="240" w:lineRule="auto"/>
        <w:textAlignment w:val="auto"/>
        <w:rPr>
          <w:sz w:val="20"/>
          <w:szCs w:val="20"/>
          <w:lang w:val="en-US" w:eastAsia="en-US"/>
        </w:rPr>
      </w:pPr>
    </w:p>
    <w:p w14:paraId="74BD2362" w14:textId="6C9C224B" w:rsidR="00BB428E" w:rsidRPr="00AC57EA" w:rsidRDefault="0025395E" w:rsidP="00681AE9">
      <w:pPr>
        <w:pStyle w:val="Prrafodelista"/>
        <w:keepNext/>
        <w:keepLines/>
        <w:widowControl/>
        <w:numPr>
          <w:ilvl w:val="0"/>
          <w:numId w:val="16"/>
        </w:numPr>
        <w:tabs>
          <w:tab w:val="left" w:pos="1134"/>
        </w:tabs>
        <w:autoSpaceDE w:val="0"/>
        <w:autoSpaceDN w:val="0"/>
        <w:adjustRightInd/>
        <w:spacing w:line="240" w:lineRule="auto"/>
        <w:ind w:left="1134" w:hanging="567"/>
        <w:textAlignment w:val="auto"/>
        <w:outlineLvl w:val="1"/>
        <w:rPr>
          <w:rFonts w:eastAsia="MS Mincho" w:cs="Arial"/>
          <w:b/>
          <w:bCs/>
          <w:i/>
          <w:kern w:val="2"/>
          <w:sz w:val="20"/>
          <w:szCs w:val="20"/>
          <w:lang w:val="en-US" w:eastAsia="en-US"/>
        </w:rPr>
      </w:pPr>
      <w:r w:rsidRPr="00AC57EA">
        <w:rPr>
          <w:rFonts w:eastAsia="MS Mincho" w:cs="Arial"/>
          <w:b/>
          <w:bCs/>
          <w:i/>
          <w:kern w:val="2"/>
          <w:sz w:val="20"/>
          <w:szCs w:val="20"/>
          <w:lang w:val="en-US" w:eastAsia="en-US"/>
        </w:rPr>
        <w:t>Conclusion</w:t>
      </w:r>
    </w:p>
    <w:p w14:paraId="17034BD5" w14:textId="77777777" w:rsidR="00BB428E" w:rsidRPr="00AC57EA" w:rsidRDefault="00BB428E" w:rsidP="00B5625C">
      <w:pPr>
        <w:widowControl/>
        <w:adjustRightInd/>
        <w:spacing w:line="240" w:lineRule="auto"/>
        <w:textAlignment w:val="auto"/>
        <w:rPr>
          <w:sz w:val="20"/>
          <w:szCs w:val="20"/>
          <w:lang w:val="en-US" w:eastAsia="en-US"/>
        </w:rPr>
      </w:pPr>
    </w:p>
    <w:p w14:paraId="7480ED23" w14:textId="114BC686" w:rsidR="00BB428E" w:rsidRPr="00AC57EA" w:rsidRDefault="00523670" w:rsidP="000B3307">
      <w:pPr>
        <w:widowControl/>
        <w:numPr>
          <w:ilvl w:val="0"/>
          <w:numId w:val="2"/>
        </w:numPr>
        <w:tabs>
          <w:tab w:val="left" w:pos="567"/>
          <w:tab w:val="num" w:pos="12305"/>
        </w:tabs>
        <w:adjustRightInd/>
        <w:spacing w:line="240" w:lineRule="auto"/>
        <w:ind w:left="0" w:firstLine="0"/>
        <w:textAlignment w:val="auto"/>
        <w:rPr>
          <w:kern w:val="2"/>
          <w:sz w:val="20"/>
          <w:szCs w:val="20"/>
          <w:lang w:val="en-US" w:eastAsia="en-US"/>
        </w:rPr>
      </w:pPr>
      <w:r w:rsidRPr="00AC57EA">
        <w:rPr>
          <w:kern w:val="2"/>
          <w:sz w:val="20"/>
          <w:szCs w:val="20"/>
          <w:lang w:val="en-US" w:eastAsia="en-US"/>
        </w:rPr>
        <w:t xml:space="preserve">Based on the above, the Court concludes that </w:t>
      </w:r>
      <w:r w:rsidR="00EC52D7" w:rsidRPr="00AC57EA">
        <w:rPr>
          <w:kern w:val="2"/>
          <w:sz w:val="20"/>
          <w:szCs w:val="20"/>
          <w:lang w:val="en-US" w:eastAsia="en-US"/>
        </w:rPr>
        <w:t>the State of</w:t>
      </w:r>
      <w:r w:rsidR="00BB428E" w:rsidRPr="00AC57EA">
        <w:rPr>
          <w:kern w:val="2"/>
          <w:sz w:val="20"/>
          <w:szCs w:val="20"/>
          <w:lang w:val="en-US" w:eastAsia="en-US"/>
        </w:rPr>
        <w:t xml:space="preserve"> Nicaragua</w:t>
      </w:r>
      <w:r w:rsidR="000B3307" w:rsidRPr="00AC57EA">
        <w:rPr>
          <w:kern w:val="2"/>
          <w:sz w:val="20"/>
          <w:szCs w:val="20"/>
          <w:lang w:val="en-US" w:eastAsia="en-US"/>
        </w:rPr>
        <w:t xml:space="preserve"> did not act with enhanced due diligence or provide the special protection required in the investigations and criminal proceedings for the rape of the child V.R.P., which </w:t>
      </w:r>
      <w:r w:rsidR="005E53B3" w:rsidRPr="00AC57EA">
        <w:rPr>
          <w:kern w:val="2"/>
          <w:sz w:val="20"/>
          <w:szCs w:val="20"/>
          <w:lang w:val="en-US" w:eastAsia="en-US"/>
        </w:rPr>
        <w:t>involved</w:t>
      </w:r>
      <w:r w:rsidR="000B3307" w:rsidRPr="00AC57EA">
        <w:rPr>
          <w:kern w:val="2"/>
          <w:sz w:val="20"/>
          <w:szCs w:val="20"/>
          <w:lang w:val="en-US" w:eastAsia="en-US"/>
        </w:rPr>
        <w:t xml:space="preserve"> the perpetration of acts that violated her rights </w:t>
      </w:r>
      <w:r w:rsidRPr="00AC57EA">
        <w:rPr>
          <w:kern w:val="2"/>
          <w:sz w:val="20"/>
          <w:szCs w:val="20"/>
          <w:lang w:val="en-US" w:eastAsia="en-US"/>
        </w:rPr>
        <w:t xml:space="preserve">to personal integrity, judicial guarantees, private and family life and judicial protection </w:t>
      </w:r>
      <w:r w:rsidR="000B3307" w:rsidRPr="00AC57EA">
        <w:rPr>
          <w:kern w:val="2"/>
          <w:sz w:val="20"/>
          <w:szCs w:val="20"/>
          <w:lang w:val="en-US" w:eastAsia="en-US"/>
        </w:rPr>
        <w:t>recognized in</w:t>
      </w:r>
      <w:r w:rsidR="00BB428E" w:rsidRPr="00AC57EA">
        <w:rPr>
          <w:kern w:val="2"/>
          <w:sz w:val="20"/>
          <w:szCs w:val="20"/>
          <w:lang w:val="en-US" w:eastAsia="en-US"/>
        </w:rPr>
        <w:t xml:space="preserve"> </w:t>
      </w:r>
      <w:r w:rsidR="00B7258C" w:rsidRPr="00AC57EA">
        <w:rPr>
          <w:kern w:val="2"/>
          <w:sz w:val="20"/>
          <w:szCs w:val="20"/>
          <w:lang w:val="en-US" w:eastAsia="en-US"/>
        </w:rPr>
        <w:t>Articles</w:t>
      </w:r>
      <w:r w:rsidR="00BB428E" w:rsidRPr="00AC57EA">
        <w:rPr>
          <w:kern w:val="2"/>
          <w:sz w:val="20"/>
          <w:szCs w:val="20"/>
          <w:lang w:val="en-US" w:eastAsia="en-US"/>
        </w:rPr>
        <w:t xml:space="preserve"> </w:t>
      </w:r>
      <w:r w:rsidR="00171E27" w:rsidRPr="00AC57EA">
        <w:rPr>
          <w:kern w:val="2"/>
          <w:sz w:val="20"/>
          <w:szCs w:val="20"/>
          <w:lang w:val="en-US" w:eastAsia="en-US"/>
        </w:rPr>
        <w:t>5(1)</w:t>
      </w:r>
      <w:r w:rsidR="00BB428E" w:rsidRPr="00AC57EA">
        <w:rPr>
          <w:kern w:val="2"/>
          <w:sz w:val="20"/>
          <w:szCs w:val="20"/>
          <w:lang w:val="en-US" w:eastAsia="en-US"/>
        </w:rPr>
        <w:t>,</w:t>
      </w:r>
      <w:r w:rsidR="00464B78" w:rsidRPr="00AC57EA">
        <w:rPr>
          <w:kern w:val="2"/>
          <w:sz w:val="20"/>
          <w:szCs w:val="20"/>
          <w:lang w:val="en-US" w:eastAsia="en-US"/>
        </w:rPr>
        <w:t xml:space="preserve"> </w:t>
      </w:r>
      <w:r w:rsidR="004151E3" w:rsidRPr="00AC57EA">
        <w:rPr>
          <w:kern w:val="2"/>
          <w:sz w:val="20"/>
          <w:szCs w:val="20"/>
          <w:lang w:val="en-US" w:eastAsia="en-US"/>
        </w:rPr>
        <w:t>5(2)</w:t>
      </w:r>
      <w:r w:rsidR="00464B78" w:rsidRPr="00AC57EA">
        <w:rPr>
          <w:kern w:val="2"/>
          <w:sz w:val="20"/>
          <w:szCs w:val="20"/>
          <w:lang w:val="en-US" w:eastAsia="en-US"/>
        </w:rPr>
        <w:t>,</w:t>
      </w:r>
      <w:r w:rsidR="00D61200" w:rsidRPr="00AC57EA">
        <w:rPr>
          <w:kern w:val="2"/>
          <w:sz w:val="20"/>
          <w:szCs w:val="20"/>
          <w:lang w:val="en-US" w:eastAsia="en-US"/>
        </w:rPr>
        <w:t xml:space="preserve"> </w:t>
      </w:r>
      <w:r w:rsidR="00171E27" w:rsidRPr="00AC57EA">
        <w:rPr>
          <w:kern w:val="2"/>
          <w:sz w:val="20"/>
          <w:szCs w:val="20"/>
          <w:lang w:val="en-US" w:eastAsia="en-US"/>
        </w:rPr>
        <w:t>8(1)</w:t>
      </w:r>
      <w:r w:rsidR="00D61200" w:rsidRPr="00AC57EA">
        <w:rPr>
          <w:kern w:val="2"/>
          <w:sz w:val="20"/>
          <w:szCs w:val="20"/>
          <w:lang w:val="en-US" w:eastAsia="en-US"/>
        </w:rPr>
        <w:t>,</w:t>
      </w:r>
      <w:r w:rsidR="00BB428E" w:rsidRPr="00AC57EA">
        <w:rPr>
          <w:kern w:val="2"/>
          <w:sz w:val="20"/>
          <w:szCs w:val="20"/>
          <w:lang w:val="en-US" w:eastAsia="en-US"/>
        </w:rPr>
        <w:t xml:space="preserve"> </w:t>
      </w:r>
      <w:r w:rsidR="004151E3" w:rsidRPr="00AC57EA">
        <w:rPr>
          <w:kern w:val="2"/>
          <w:sz w:val="20"/>
          <w:szCs w:val="20"/>
          <w:lang w:val="en-US" w:eastAsia="en-US"/>
        </w:rPr>
        <w:t>11(2)</w:t>
      </w:r>
      <w:r w:rsidR="00171E27" w:rsidRPr="00AC57EA">
        <w:rPr>
          <w:kern w:val="2"/>
          <w:sz w:val="20"/>
          <w:szCs w:val="20"/>
          <w:lang w:val="en-US" w:eastAsia="en-US"/>
        </w:rPr>
        <w:t xml:space="preserve"> and </w:t>
      </w:r>
      <w:r w:rsidR="00D61200" w:rsidRPr="00AC57EA">
        <w:rPr>
          <w:kern w:val="2"/>
          <w:sz w:val="20"/>
          <w:szCs w:val="20"/>
          <w:lang w:val="en-US" w:eastAsia="en-US"/>
        </w:rPr>
        <w:t>2</w:t>
      </w:r>
      <w:r w:rsidR="00171E27" w:rsidRPr="00AC57EA">
        <w:rPr>
          <w:kern w:val="2"/>
          <w:sz w:val="20"/>
          <w:szCs w:val="20"/>
          <w:lang w:val="en-US" w:eastAsia="en-US"/>
        </w:rPr>
        <w:t>5(1)</w:t>
      </w:r>
      <w:r w:rsidR="00B7258C" w:rsidRPr="00AC57EA">
        <w:rPr>
          <w:kern w:val="2"/>
          <w:sz w:val="20"/>
          <w:szCs w:val="20"/>
          <w:lang w:val="en-US" w:eastAsia="en-US"/>
        </w:rPr>
        <w:t xml:space="preserve"> of the American Convention</w:t>
      </w:r>
      <w:r w:rsidR="00BB428E" w:rsidRPr="00AC57EA">
        <w:rPr>
          <w:kern w:val="2"/>
          <w:sz w:val="20"/>
          <w:szCs w:val="20"/>
          <w:lang w:val="en-US" w:eastAsia="en-US"/>
        </w:rPr>
        <w:t xml:space="preserve">, </w:t>
      </w:r>
      <w:r w:rsidR="00171E27" w:rsidRPr="00AC57EA">
        <w:rPr>
          <w:kern w:val="2"/>
          <w:sz w:val="20"/>
          <w:szCs w:val="20"/>
          <w:lang w:val="en-US" w:eastAsia="en-US"/>
        </w:rPr>
        <w:t xml:space="preserve">in relation to Articles 1(1) and </w:t>
      </w:r>
      <w:r w:rsidR="00D61200" w:rsidRPr="00AC57EA">
        <w:rPr>
          <w:kern w:val="2"/>
          <w:sz w:val="20"/>
          <w:szCs w:val="20"/>
          <w:lang w:val="en-US" w:eastAsia="en-US"/>
        </w:rPr>
        <w:t xml:space="preserve">19 </w:t>
      </w:r>
      <w:r w:rsidR="00171E27" w:rsidRPr="00AC57EA">
        <w:rPr>
          <w:kern w:val="2"/>
          <w:sz w:val="20"/>
          <w:szCs w:val="20"/>
          <w:lang w:val="en-US" w:eastAsia="en-US"/>
        </w:rPr>
        <w:t xml:space="preserve">of this instrument and </w:t>
      </w:r>
      <w:r w:rsidR="000B3307" w:rsidRPr="00AC57EA">
        <w:rPr>
          <w:kern w:val="2"/>
          <w:sz w:val="20"/>
          <w:szCs w:val="20"/>
          <w:lang w:val="en-US" w:eastAsia="en-US"/>
        </w:rPr>
        <w:t xml:space="preserve">the obligations contained in Article </w:t>
      </w:r>
      <w:r w:rsidR="007D5AA2" w:rsidRPr="00AC57EA">
        <w:rPr>
          <w:kern w:val="2"/>
          <w:sz w:val="20"/>
          <w:szCs w:val="20"/>
          <w:lang w:val="en-US" w:eastAsia="en-US"/>
        </w:rPr>
        <w:t>7(b)</w:t>
      </w:r>
      <w:r w:rsidR="00B7258C" w:rsidRPr="00AC57EA">
        <w:rPr>
          <w:kern w:val="2"/>
          <w:sz w:val="20"/>
          <w:szCs w:val="20"/>
          <w:lang w:val="en-US" w:eastAsia="en-US"/>
        </w:rPr>
        <w:t xml:space="preserve"> of the </w:t>
      </w:r>
      <w:r w:rsidR="00171E27" w:rsidRPr="00AC57EA">
        <w:rPr>
          <w:kern w:val="2"/>
          <w:sz w:val="20"/>
          <w:szCs w:val="20"/>
          <w:lang w:val="en-US" w:eastAsia="en-US"/>
        </w:rPr>
        <w:t>Convention of Belém</w:t>
      </w:r>
      <w:r w:rsidR="00100F58" w:rsidRPr="00AC57EA">
        <w:rPr>
          <w:kern w:val="2"/>
          <w:sz w:val="20"/>
          <w:szCs w:val="20"/>
          <w:lang w:val="en-US" w:eastAsia="en-US"/>
        </w:rPr>
        <w:t xml:space="preserve"> do Pará</w:t>
      </w:r>
      <w:r w:rsidR="00464B78" w:rsidRPr="00AC57EA">
        <w:rPr>
          <w:kern w:val="2"/>
          <w:sz w:val="20"/>
          <w:szCs w:val="20"/>
          <w:lang w:val="en-US" w:eastAsia="en-US"/>
        </w:rPr>
        <w:t xml:space="preserve">, </w:t>
      </w:r>
      <w:r w:rsidR="002F084B" w:rsidRPr="00AC57EA">
        <w:rPr>
          <w:kern w:val="2"/>
          <w:sz w:val="20"/>
          <w:szCs w:val="20"/>
          <w:lang w:val="en-US" w:eastAsia="en-US"/>
        </w:rPr>
        <w:t>to the detriment of</w:t>
      </w:r>
      <w:r w:rsidR="00464B78" w:rsidRPr="00AC57EA">
        <w:rPr>
          <w:kern w:val="2"/>
          <w:sz w:val="20"/>
          <w:szCs w:val="20"/>
          <w:lang w:val="en-US" w:eastAsia="en-US"/>
        </w:rPr>
        <w:t xml:space="preserve"> V.R.P.</w:t>
      </w:r>
      <w:r w:rsidR="00171E27" w:rsidRPr="00AC57EA">
        <w:rPr>
          <w:kern w:val="2"/>
          <w:sz w:val="20"/>
          <w:szCs w:val="20"/>
          <w:lang w:val="en-US" w:eastAsia="en-US"/>
        </w:rPr>
        <w:t xml:space="preserve"> and </w:t>
      </w:r>
      <w:r w:rsidR="00464B78" w:rsidRPr="00AC57EA">
        <w:rPr>
          <w:kern w:val="2"/>
          <w:sz w:val="20"/>
          <w:szCs w:val="20"/>
          <w:lang w:val="en-US" w:eastAsia="en-US"/>
        </w:rPr>
        <w:t>V.P.C.</w:t>
      </w:r>
    </w:p>
    <w:p w14:paraId="111651DA" w14:textId="77777777" w:rsidR="00BB428E" w:rsidRPr="00AC57EA" w:rsidRDefault="00BB428E" w:rsidP="00B5625C">
      <w:pPr>
        <w:widowControl/>
        <w:adjustRightInd/>
        <w:spacing w:line="240" w:lineRule="auto"/>
        <w:textAlignment w:val="auto"/>
        <w:rPr>
          <w:sz w:val="20"/>
          <w:szCs w:val="20"/>
          <w:lang w:val="en-US" w:eastAsia="en-US"/>
        </w:rPr>
      </w:pPr>
    </w:p>
    <w:p w14:paraId="204ECEAC" w14:textId="7B2E3024" w:rsidR="00B5625C" w:rsidRPr="00AC57EA" w:rsidRDefault="00B5625C" w:rsidP="009A3E37">
      <w:pPr>
        <w:keepNext/>
        <w:keepLines/>
        <w:widowControl/>
        <w:tabs>
          <w:tab w:val="left" w:pos="851"/>
        </w:tabs>
        <w:autoSpaceDE w:val="0"/>
        <w:autoSpaceDN w:val="0"/>
        <w:adjustRightInd/>
        <w:spacing w:line="240" w:lineRule="auto"/>
        <w:jc w:val="center"/>
        <w:textAlignment w:val="auto"/>
        <w:outlineLvl w:val="0"/>
        <w:rPr>
          <w:rFonts w:cs="Arial"/>
          <w:b/>
          <w:bCs/>
          <w:caps/>
          <w:kern w:val="2"/>
          <w:sz w:val="20"/>
          <w:szCs w:val="20"/>
          <w:lang w:val="en-US" w:eastAsia="en-US"/>
        </w:rPr>
      </w:pPr>
      <w:bookmarkStart w:id="140" w:name="_Toc514172655"/>
      <w:r w:rsidRPr="00AC57EA">
        <w:rPr>
          <w:rFonts w:cs="Arial"/>
          <w:b/>
          <w:bCs/>
          <w:caps/>
          <w:kern w:val="2"/>
          <w:sz w:val="20"/>
          <w:szCs w:val="20"/>
          <w:lang w:val="en-US" w:eastAsia="en-US"/>
        </w:rPr>
        <w:t>VIII-</w:t>
      </w:r>
      <w:r w:rsidR="0049359E" w:rsidRPr="00AC57EA">
        <w:rPr>
          <w:rFonts w:cs="Arial"/>
          <w:b/>
          <w:bCs/>
          <w:caps/>
          <w:kern w:val="2"/>
          <w:sz w:val="20"/>
          <w:szCs w:val="20"/>
          <w:lang w:val="en-US" w:eastAsia="en-US"/>
        </w:rPr>
        <w:t>2</w:t>
      </w:r>
      <w:r w:rsidRPr="00AC57EA">
        <w:rPr>
          <w:rFonts w:cs="Arial"/>
          <w:b/>
          <w:bCs/>
          <w:caps/>
          <w:kern w:val="2"/>
          <w:sz w:val="20"/>
          <w:szCs w:val="20"/>
          <w:lang w:val="en-US" w:eastAsia="en-US"/>
        </w:rPr>
        <w:br/>
      </w:r>
      <w:bookmarkStart w:id="141" w:name="_Toc493511343"/>
      <w:r w:rsidR="00537C04" w:rsidRPr="00AC57EA">
        <w:rPr>
          <w:rFonts w:cs="Arial"/>
          <w:b/>
          <w:bCs/>
          <w:caps/>
          <w:kern w:val="2"/>
          <w:sz w:val="20"/>
          <w:szCs w:val="20"/>
          <w:lang w:val="en-US" w:eastAsia="en-US"/>
        </w:rPr>
        <w:t>RIGHTS TO RESIDENCE,</w:t>
      </w:r>
      <w:r w:rsidR="009A3E37" w:rsidRPr="00AC57EA">
        <w:rPr>
          <w:rStyle w:val="Refdenotaalpie"/>
          <w:rFonts w:cs="Arial"/>
          <w:b/>
          <w:bCs/>
          <w:caps/>
          <w:kern w:val="2"/>
          <w:sz w:val="20"/>
          <w:szCs w:val="20"/>
          <w:lang w:val="en-US" w:eastAsia="en-US"/>
        </w:rPr>
        <w:footnoteReference w:id="383"/>
      </w:r>
      <w:r w:rsidR="009A3E37" w:rsidRPr="00AC57EA">
        <w:rPr>
          <w:rFonts w:cs="Arial"/>
          <w:b/>
          <w:bCs/>
          <w:caps/>
          <w:kern w:val="2"/>
          <w:sz w:val="20"/>
          <w:szCs w:val="20"/>
          <w:lang w:val="en-US" w:eastAsia="en-US"/>
        </w:rPr>
        <w:t xml:space="preserve"> </w:t>
      </w:r>
      <w:r w:rsidR="00537C04" w:rsidRPr="00AC57EA">
        <w:rPr>
          <w:rFonts w:cs="Arial"/>
          <w:b/>
          <w:bCs/>
          <w:caps/>
          <w:kern w:val="2"/>
          <w:sz w:val="20"/>
          <w:szCs w:val="20"/>
          <w:lang w:val="en-US" w:eastAsia="en-US"/>
        </w:rPr>
        <w:t>PROTECTION OF THE FAMILY,</w:t>
      </w:r>
      <w:r w:rsidR="009A3E37" w:rsidRPr="00AC57EA">
        <w:rPr>
          <w:rStyle w:val="Refdenotaalpie"/>
          <w:rFonts w:cs="Arial"/>
          <w:b/>
          <w:bCs/>
          <w:caps/>
          <w:kern w:val="2"/>
          <w:sz w:val="20"/>
          <w:szCs w:val="20"/>
          <w:lang w:val="en-US" w:eastAsia="en-US"/>
        </w:rPr>
        <w:footnoteReference w:id="384"/>
      </w:r>
      <w:r w:rsidR="009A3E37" w:rsidRPr="00AC57EA">
        <w:rPr>
          <w:rFonts w:cs="Arial"/>
          <w:b/>
          <w:bCs/>
          <w:caps/>
          <w:kern w:val="2"/>
          <w:sz w:val="20"/>
          <w:szCs w:val="20"/>
          <w:lang w:val="en-US" w:eastAsia="en-US"/>
        </w:rPr>
        <w:t xml:space="preserve"> </w:t>
      </w:r>
      <w:r w:rsidR="00537C04" w:rsidRPr="00AC57EA">
        <w:rPr>
          <w:rFonts w:cs="Arial"/>
          <w:b/>
          <w:bCs/>
          <w:caps/>
          <w:kern w:val="2"/>
          <w:sz w:val="20"/>
          <w:szCs w:val="20"/>
          <w:lang w:val="en-US" w:eastAsia="en-US"/>
        </w:rPr>
        <w:t>AND SPECIAL MEASURES OF PROTECTION FOR CHILDREN</w:t>
      </w:r>
      <w:r w:rsidR="009A3E37" w:rsidRPr="00AC57EA">
        <w:rPr>
          <w:rStyle w:val="Refdenotaalpie"/>
          <w:rFonts w:cs="Arial"/>
          <w:b/>
          <w:bCs/>
          <w:caps/>
          <w:kern w:val="2"/>
          <w:sz w:val="20"/>
          <w:szCs w:val="20"/>
          <w:lang w:val="en-US" w:eastAsia="en-US"/>
        </w:rPr>
        <w:footnoteReference w:id="385"/>
      </w:r>
      <w:r w:rsidR="009A3E37" w:rsidRPr="00AC57EA">
        <w:rPr>
          <w:rFonts w:cs="Arial"/>
          <w:b/>
          <w:bCs/>
          <w:caps/>
          <w:kern w:val="2"/>
          <w:sz w:val="20"/>
          <w:szCs w:val="20"/>
          <w:lang w:val="en-US" w:eastAsia="en-US"/>
        </w:rPr>
        <w:t xml:space="preserve"> </w:t>
      </w:r>
      <w:r w:rsidR="00B65C64" w:rsidRPr="00AC57EA">
        <w:rPr>
          <w:rFonts w:cs="Arial"/>
          <w:b/>
          <w:bCs/>
          <w:caps/>
          <w:kern w:val="2"/>
          <w:sz w:val="20"/>
          <w:szCs w:val="20"/>
          <w:lang w:val="en-US" w:eastAsia="en-US"/>
        </w:rPr>
        <w:t>IN RELATION TO THE OBLIGATIONS TO RESPECT AND TO ENSURE RIGHTS</w:t>
      </w:r>
      <w:bookmarkEnd w:id="140"/>
    </w:p>
    <w:bookmarkEnd w:id="141"/>
    <w:p w14:paraId="0A5B51FD" w14:textId="77777777" w:rsidR="00B5625C" w:rsidRPr="00AC57EA" w:rsidRDefault="00B5625C" w:rsidP="00B5625C">
      <w:pPr>
        <w:widowControl/>
        <w:adjustRightInd/>
        <w:spacing w:line="240" w:lineRule="auto"/>
        <w:textAlignment w:val="auto"/>
        <w:rPr>
          <w:rFonts w:eastAsiaTheme="minorHAnsi" w:cs="Arial"/>
          <w:b/>
          <w:sz w:val="20"/>
          <w:szCs w:val="20"/>
          <w:lang w:val="en-US" w:eastAsia="en-US"/>
        </w:rPr>
      </w:pPr>
    </w:p>
    <w:p w14:paraId="6C64FE8B" w14:textId="4F8360B6" w:rsidR="00B5625C" w:rsidRPr="00AC57EA" w:rsidRDefault="00B5625C" w:rsidP="00B5625C">
      <w:pPr>
        <w:keepNext/>
        <w:keepLines/>
        <w:widowControl/>
        <w:tabs>
          <w:tab w:val="left" w:pos="1134"/>
        </w:tabs>
        <w:autoSpaceDE w:val="0"/>
        <w:autoSpaceDN w:val="0"/>
        <w:adjustRightInd/>
        <w:spacing w:line="240" w:lineRule="auto"/>
        <w:ind w:left="567" w:firstLine="1"/>
        <w:jc w:val="left"/>
        <w:textAlignment w:val="auto"/>
        <w:outlineLvl w:val="1"/>
        <w:rPr>
          <w:rFonts w:eastAsia="MS Mincho" w:cs="Arial"/>
          <w:b/>
          <w:bCs/>
          <w:i/>
          <w:kern w:val="2"/>
          <w:sz w:val="20"/>
          <w:szCs w:val="20"/>
          <w:lang w:val="en-US" w:eastAsia="en-US"/>
        </w:rPr>
      </w:pPr>
      <w:bookmarkStart w:id="142" w:name="_Toc514172656"/>
      <w:r w:rsidRPr="00AC57EA">
        <w:rPr>
          <w:rFonts w:eastAsia="MS Mincho" w:cs="Arial"/>
          <w:b/>
          <w:bCs/>
          <w:i/>
          <w:kern w:val="2"/>
          <w:sz w:val="20"/>
          <w:szCs w:val="20"/>
          <w:lang w:val="en-US" w:eastAsia="en-US"/>
        </w:rPr>
        <w:t>A.</w:t>
      </w:r>
      <w:r w:rsidRPr="00AC57EA">
        <w:rPr>
          <w:rFonts w:eastAsia="MS Mincho" w:cs="Arial"/>
          <w:b/>
          <w:bCs/>
          <w:i/>
          <w:kern w:val="2"/>
          <w:sz w:val="20"/>
          <w:szCs w:val="20"/>
          <w:lang w:val="en-US" w:eastAsia="en-US"/>
        </w:rPr>
        <w:tab/>
      </w:r>
      <w:r w:rsidR="001120B6" w:rsidRPr="00AC57EA">
        <w:rPr>
          <w:rFonts w:eastAsia="MS Mincho" w:cs="Arial"/>
          <w:b/>
          <w:bCs/>
          <w:i/>
          <w:kern w:val="2"/>
          <w:sz w:val="20"/>
          <w:szCs w:val="20"/>
          <w:lang w:val="en-US" w:eastAsia="en-US"/>
        </w:rPr>
        <w:t>Arguments of the parties</w:t>
      </w:r>
      <w:r w:rsidR="00171E27" w:rsidRPr="00AC57EA">
        <w:rPr>
          <w:rFonts w:eastAsia="MS Mincho" w:cs="Arial"/>
          <w:b/>
          <w:bCs/>
          <w:i/>
          <w:kern w:val="2"/>
          <w:sz w:val="20"/>
          <w:szCs w:val="20"/>
          <w:lang w:val="en-US" w:eastAsia="en-US"/>
        </w:rPr>
        <w:t xml:space="preserve"> and </w:t>
      </w:r>
      <w:r w:rsidR="00B7258C" w:rsidRPr="00AC57EA">
        <w:rPr>
          <w:rFonts w:eastAsia="MS Mincho" w:cs="Arial"/>
          <w:b/>
          <w:bCs/>
          <w:i/>
          <w:kern w:val="2"/>
          <w:sz w:val="20"/>
          <w:szCs w:val="20"/>
          <w:lang w:val="en-US" w:eastAsia="en-US"/>
        </w:rPr>
        <w:t>of the Commission</w:t>
      </w:r>
      <w:bookmarkEnd w:id="142"/>
    </w:p>
    <w:p w14:paraId="79861E11" w14:textId="77777777" w:rsidR="00B5625C" w:rsidRPr="00AC57EA" w:rsidRDefault="00B5625C" w:rsidP="00B5625C">
      <w:pPr>
        <w:widowControl/>
        <w:adjustRightInd/>
        <w:spacing w:line="240" w:lineRule="auto"/>
        <w:textAlignment w:val="auto"/>
        <w:rPr>
          <w:rFonts w:eastAsiaTheme="minorHAnsi" w:cs="Arial"/>
          <w:b/>
          <w:sz w:val="20"/>
          <w:szCs w:val="20"/>
          <w:lang w:val="en-US" w:eastAsia="en-US"/>
        </w:rPr>
      </w:pPr>
    </w:p>
    <w:p w14:paraId="293C70E2" w14:textId="180A7D39" w:rsidR="00B5625C" w:rsidRPr="00AC57EA" w:rsidRDefault="00B7258C" w:rsidP="009A3E37">
      <w:pPr>
        <w:widowControl/>
        <w:numPr>
          <w:ilvl w:val="0"/>
          <w:numId w:val="2"/>
        </w:numPr>
        <w:tabs>
          <w:tab w:val="left" w:pos="567"/>
          <w:tab w:val="num" w:pos="12305"/>
        </w:tabs>
        <w:adjustRightInd/>
        <w:spacing w:line="240" w:lineRule="auto"/>
        <w:ind w:left="0" w:firstLine="0"/>
        <w:textAlignment w:val="auto"/>
        <w:rPr>
          <w:rFonts w:eastAsiaTheme="minorHAnsi" w:cs="Arial"/>
          <w:sz w:val="20"/>
          <w:szCs w:val="20"/>
          <w:lang w:val="en-US" w:eastAsia="en-US"/>
        </w:rPr>
      </w:pPr>
      <w:r w:rsidRPr="00AC57EA">
        <w:rPr>
          <w:rFonts w:eastAsia="Batang" w:cs="Arial"/>
          <w:sz w:val="20"/>
          <w:szCs w:val="20"/>
          <w:lang w:val="en-US" w:eastAsia="es-MX"/>
        </w:rPr>
        <w:t xml:space="preserve">The </w:t>
      </w:r>
      <w:r w:rsidRPr="00AC57EA">
        <w:rPr>
          <w:rFonts w:eastAsia="Batang" w:cs="Arial"/>
          <w:b/>
          <w:bCs/>
          <w:i/>
          <w:iCs/>
          <w:sz w:val="20"/>
          <w:szCs w:val="20"/>
          <w:lang w:val="en-US" w:eastAsia="es-MX"/>
        </w:rPr>
        <w:t>Commission</w:t>
      </w:r>
      <w:r w:rsidR="00B5625C" w:rsidRPr="00AC57EA">
        <w:rPr>
          <w:rFonts w:eastAsiaTheme="minorHAnsi" w:cs="Arial"/>
          <w:sz w:val="20"/>
          <w:szCs w:val="20"/>
          <w:lang w:val="en-US" w:eastAsia="en-US"/>
        </w:rPr>
        <w:t xml:space="preserve"> </w:t>
      </w:r>
      <w:r w:rsidR="00537C04" w:rsidRPr="00AC57EA">
        <w:rPr>
          <w:rFonts w:eastAsiaTheme="minorHAnsi" w:cs="Arial"/>
          <w:sz w:val="20"/>
          <w:szCs w:val="20"/>
          <w:lang w:val="en-US" w:eastAsia="en-US"/>
        </w:rPr>
        <w:t>did not provide input on this point</w:t>
      </w:r>
      <w:r w:rsidR="00B5625C" w:rsidRPr="00AC57EA">
        <w:rPr>
          <w:rFonts w:eastAsiaTheme="minorHAnsi" w:cs="Arial"/>
          <w:sz w:val="20"/>
          <w:szCs w:val="20"/>
          <w:lang w:val="en-US" w:eastAsia="en-US"/>
        </w:rPr>
        <w:t>.</w:t>
      </w:r>
    </w:p>
    <w:p w14:paraId="0EC34793" w14:textId="77777777" w:rsidR="00495E03" w:rsidRPr="00AC57EA" w:rsidRDefault="00495E03" w:rsidP="006E0342">
      <w:pPr>
        <w:widowControl/>
        <w:adjustRightInd/>
        <w:spacing w:line="240" w:lineRule="auto"/>
        <w:textAlignment w:val="auto"/>
        <w:rPr>
          <w:rFonts w:eastAsiaTheme="minorHAnsi" w:cs="Arial"/>
          <w:b/>
          <w:sz w:val="20"/>
          <w:szCs w:val="20"/>
          <w:lang w:val="en-US" w:eastAsia="en-US"/>
        </w:rPr>
      </w:pPr>
    </w:p>
    <w:p w14:paraId="749D9217" w14:textId="705E0A28" w:rsidR="00495E03" w:rsidRPr="00AC57EA" w:rsidRDefault="00171E27" w:rsidP="00345031">
      <w:pPr>
        <w:widowControl/>
        <w:numPr>
          <w:ilvl w:val="0"/>
          <w:numId w:val="2"/>
        </w:numPr>
        <w:tabs>
          <w:tab w:val="left" w:pos="567"/>
          <w:tab w:val="num" w:pos="12305"/>
        </w:tabs>
        <w:autoSpaceDE w:val="0"/>
        <w:autoSpaceDN w:val="0"/>
        <w:spacing w:line="240" w:lineRule="auto"/>
        <w:ind w:left="0" w:firstLine="0"/>
        <w:textAlignment w:val="auto"/>
        <w:rPr>
          <w:rFonts w:eastAsiaTheme="minorHAnsi" w:cs="Arial"/>
          <w:lang w:val="en-US"/>
        </w:rPr>
      </w:pPr>
      <w:r w:rsidRPr="00AC57EA">
        <w:rPr>
          <w:rFonts w:eastAsia="Batang" w:cs="Arial"/>
          <w:sz w:val="20"/>
          <w:szCs w:val="20"/>
          <w:lang w:val="en-US" w:eastAsia="es-MX"/>
        </w:rPr>
        <w:t xml:space="preserve">The </w:t>
      </w:r>
      <w:r w:rsidRPr="00AC57EA">
        <w:rPr>
          <w:rFonts w:eastAsia="Batang" w:cs="Arial"/>
          <w:b/>
          <w:bCs/>
          <w:i/>
          <w:iCs/>
          <w:sz w:val="20"/>
          <w:szCs w:val="20"/>
          <w:lang w:val="en-US" w:eastAsia="es-MX"/>
        </w:rPr>
        <w:t>representatives</w:t>
      </w:r>
      <w:r w:rsidR="00495E03" w:rsidRPr="00AC57EA">
        <w:rPr>
          <w:rFonts w:eastAsia="MS Mincho" w:cs="Arial"/>
          <w:sz w:val="20"/>
          <w:szCs w:val="20"/>
          <w:lang w:val="en-US"/>
        </w:rPr>
        <w:t xml:space="preserve"> </w:t>
      </w:r>
      <w:r w:rsidR="00345031" w:rsidRPr="00AC57EA">
        <w:rPr>
          <w:rFonts w:eastAsia="MS Mincho" w:cs="Arial"/>
          <w:sz w:val="20"/>
          <w:szCs w:val="20"/>
          <w:lang w:val="en-US"/>
        </w:rPr>
        <w:t>indicated that</w:t>
      </w:r>
      <w:r w:rsidR="00495E03" w:rsidRPr="00AC57EA">
        <w:rPr>
          <w:rFonts w:eastAsia="MS Mincho" w:cs="Arial"/>
          <w:sz w:val="20"/>
          <w:szCs w:val="20"/>
          <w:lang w:val="en-US"/>
        </w:rPr>
        <w:t xml:space="preserve"> V.P.C. </w:t>
      </w:r>
      <w:r w:rsidR="00345031" w:rsidRPr="00AC57EA">
        <w:rPr>
          <w:rFonts w:eastAsia="MS Mincho" w:cs="Arial"/>
          <w:sz w:val="20"/>
          <w:szCs w:val="20"/>
          <w:lang w:val="en-US"/>
        </w:rPr>
        <w:t>was accused of the offenses of</w:t>
      </w:r>
      <w:r w:rsidR="00495E03" w:rsidRPr="00AC57EA">
        <w:rPr>
          <w:rFonts w:eastAsia="MS Mincho" w:cs="Arial"/>
          <w:sz w:val="20"/>
          <w:szCs w:val="20"/>
          <w:lang w:val="en-US"/>
        </w:rPr>
        <w:t xml:space="preserve"> </w:t>
      </w:r>
      <w:r w:rsidR="0045213C" w:rsidRPr="00AC57EA">
        <w:rPr>
          <w:rFonts w:eastAsia="MS Mincho" w:cs="Arial"/>
          <w:sz w:val="20"/>
          <w:szCs w:val="20"/>
          <w:lang w:val="en-US"/>
        </w:rPr>
        <w:t>defamation and libel</w:t>
      </w:r>
      <w:r w:rsidR="00495E03" w:rsidRPr="00AC57EA" w:rsidDel="009E7F35">
        <w:rPr>
          <w:rFonts w:eastAsia="MS Mincho" w:cs="Arial"/>
          <w:sz w:val="20"/>
          <w:szCs w:val="20"/>
          <w:lang w:val="en-US"/>
        </w:rPr>
        <w:t xml:space="preserve"> </w:t>
      </w:r>
      <w:r w:rsidR="00345031" w:rsidRPr="00AC57EA">
        <w:rPr>
          <w:rFonts w:eastAsia="MS Mincho" w:cs="Arial"/>
          <w:sz w:val="20"/>
          <w:szCs w:val="20"/>
          <w:lang w:val="en-US"/>
        </w:rPr>
        <w:t>by different public servants who intervened in the proceedings. They also indicated that V.R.P. stopped going to school because she was ashamed and was afraid of being rejected; also, the</w:t>
      </w:r>
      <w:r w:rsidR="005B281E" w:rsidRPr="00AC57EA">
        <w:rPr>
          <w:rFonts w:eastAsia="MS Mincho" w:cs="Arial"/>
          <w:sz w:val="20"/>
          <w:szCs w:val="20"/>
          <w:lang w:val="en-US"/>
        </w:rPr>
        <w:t>re was a fear</w:t>
      </w:r>
      <w:r w:rsidR="00345031" w:rsidRPr="00AC57EA">
        <w:rPr>
          <w:rFonts w:eastAsia="MS Mincho" w:cs="Arial"/>
          <w:sz w:val="20"/>
          <w:szCs w:val="20"/>
          <w:lang w:val="en-US"/>
        </w:rPr>
        <w:t xml:space="preserve"> that V.P.C. would be sent to prison and that “the aggressor would have the custody of the child and continue harming her.” They argued that, in these circumstances, in December 2002, V.P.C. “had to abandon and flee Nicaragua” with her daughters, V.R.P. and N.R.P., owing to the “persecution of the judiciary politicized against her, religious persecution because she was a Mormon, and gender-based persecution, and she was granted asylum in the United States. They argued that the State did not provide the family with due protection, because the “accusations and threats of public servants who had </w:t>
      </w:r>
      <w:r w:rsidR="0000161F" w:rsidRPr="00AC57EA">
        <w:rPr>
          <w:rFonts w:eastAsia="MS Mincho" w:cs="Arial"/>
          <w:sz w:val="20"/>
          <w:szCs w:val="20"/>
          <w:lang w:val="en-US"/>
        </w:rPr>
        <w:t>taken</w:t>
      </w:r>
      <w:r w:rsidR="00345031" w:rsidRPr="00AC57EA">
        <w:rPr>
          <w:rFonts w:eastAsia="MS Mincho" w:cs="Arial"/>
          <w:sz w:val="20"/>
          <w:szCs w:val="20"/>
          <w:lang w:val="en-US"/>
        </w:rPr>
        <w:t xml:space="preserve"> part in the proceedings” resulted in the displacement of some members of the family. They indicated that V.R.P., her mother and sister lost their home</w:t>
      </w:r>
      <w:r w:rsidR="005B281E" w:rsidRPr="00AC57EA">
        <w:rPr>
          <w:rFonts w:eastAsia="MS Mincho" w:cs="Arial"/>
          <w:sz w:val="20"/>
          <w:szCs w:val="20"/>
          <w:lang w:val="en-US"/>
        </w:rPr>
        <w:t xml:space="preserve"> and</w:t>
      </w:r>
      <w:r w:rsidR="00345031" w:rsidRPr="00AC57EA">
        <w:rPr>
          <w:rFonts w:eastAsia="MS Mincho" w:cs="Arial"/>
          <w:sz w:val="20"/>
          <w:szCs w:val="20"/>
          <w:lang w:val="en-US"/>
        </w:rPr>
        <w:t xml:space="preserve"> were uprooted from their community</w:t>
      </w:r>
      <w:r w:rsidR="005B281E" w:rsidRPr="00AC57EA">
        <w:rPr>
          <w:rFonts w:eastAsia="MS Mincho" w:cs="Arial"/>
          <w:sz w:val="20"/>
          <w:szCs w:val="20"/>
          <w:lang w:val="en-US"/>
        </w:rPr>
        <w:t>;</w:t>
      </w:r>
      <w:r w:rsidR="00345031" w:rsidRPr="00AC57EA">
        <w:rPr>
          <w:rFonts w:eastAsia="MS Mincho" w:cs="Arial"/>
          <w:sz w:val="20"/>
          <w:szCs w:val="20"/>
          <w:lang w:val="en-US"/>
        </w:rPr>
        <w:t xml:space="preserve"> the family was </w:t>
      </w:r>
      <w:r w:rsidR="005B281E" w:rsidRPr="00AC57EA">
        <w:rPr>
          <w:rFonts w:eastAsia="MS Mincho" w:cs="Arial"/>
          <w:sz w:val="20"/>
          <w:szCs w:val="20"/>
          <w:lang w:val="en-US"/>
        </w:rPr>
        <w:t>separated</w:t>
      </w:r>
      <w:r w:rsidR="00345031" w:rsidRPr="00AC57EA">
        <w:rPr>
          <w:rFonts w:eastAsia="MS Mincho" w:cs="Arial"/>
          <w:sz w:val="20"/>
          <w:szCs w:val="20"/>
          <w:lang w:val="en-US"/>
        </w:rPr>
        <w:t xml:space="preserve">, with the loss of the </w:t>
      </w:r>
      <w:r w:rsidR="005B281E" w:rsidRPr="00AC57EA">
        <w:rPr>
          <w:rFonts w:eastAsia="MS Mincho" w:cs="Arial"/>
          <w:sz w:val="20"/>
          <w:szCs w:val="20"/>
          <w:lang w:val="en-US"/>
        </w:rPr>
        <w:t xml:space="preserve">central </w:t>
      </w:r>
      <w:r w:rsidR="00345031" w:rsidRPr="00AC57EA">
        <w:rPr>
          <w:rFonts w:eastAsia="MS Mincho" w:cs="Arial"/>
          <w:sz w:val="20"/>
          <w:szCs w:val="20"/>
          <w:lang w:val="en-US"/>
        </w:rPr>
        <w:t xml:space="preserve">element of the mother, who was the only person who was protecting her children. On this basis, the representatives alleged that the State had </w:t>
      </w:r>
      <w:r w:rsidR="00537C04" w:rsidRPr="00AC57EA">
        <w:rPr>
          <w:rFonts w:eastAsiaTheme="minorHAnsi" w:cs="Arial"/>
          <w:sz w:val="20"/>
          <w:szCs w:val="20"/>
          <w:lang w:val="en-US"/>
        </w:rPr>
        <w:t>violated</w:t>
      </w:r>
      <w:r w:rsidR="00495E03" w:rsidRPr="00AC57EA">
        <w:rPr>
          <w:rFonts w:eastAsiaTheme="minorHAnsi" w:cs="Arial"/>
          <w:sz w:val="20"/>
          <w:szCs w:val="20"/>
          <w:lang w:val="en-US"/>
        </w:rPr>
        <w:t xml:space="preserve"> </w:t>
      </w:r>
      <w:r w:rsidRPr="00AC57EA">
        <w:rPr>
          <w:rFonts w:eastAsiaTheme="minorHAnsi" w:cs="Arial"/>
          <w:sz w:val="20"/>
          <w:szCs w:val="20"/>
          <w:lang w:val="en-US"/>
        </w:rPr>
        <w:t>Articles 1(1)</w:t>
      </w:r>
      <w:r w:rsidR="00495E03" w:rsidRPr="00AC57EA">
        <w:rPr>
          <w:rFonts w:eastAsiaTheme="minorHAnsi" w:cs="Arial"/>
          <w:sz w:val="20"/>
          <w:szCs w:val="20"/>
          <w:lang w:val="en-US"/>
        </w:rPr>
        <w:t xml:space="preserve">, </w:t>
      </w:r>
      <w:r w:rsidRPr="00AC57EA">
        <w:rPr>
          <w:rFonts w:eastAsiaTheme="minorHAnsi" w:cs="Arial"/>
          <w:sz w:val="20"/>
          <w:szCs w:val="20"/>
          <w:lang w:val="en-US"/>
        </w:rPr>
        <w:t>17(1)</w:t>
      </w:r>
      <w:r w:rsidR="00495E03" w:rsidRPr="00AC57EA">
        <w:rPr>
          <w:rFonts w:eastAsiaTheme="minorHAnsi" w:cs="Arial"/>
          <w:sz w:val="20"/>
          <w:szCs w:val="20"/>
          <w:lang w:val="en-US"/>
        </w:rPr>
        <w:t xml:space="preserve">, </w:t>
      </w:r>
      <w:r w:rsidR="000377EA" w:rsidRPr="00AC57EA">
        <w:rPr>
          <w:rFonts w:eastAsiaTheme="minorHAnsi" w:cs="Arial"/>
          <w:sz w:val="20"/>
          <w:szCs w:val="20"/>
          <w:lang w:val="en-US"/>
        </w:rPr>
        <w:t>1</w:t>
      </w:r>
      <w:r w:rsidRPr="00AC57EA">
        <w:rPr>
          <w:rFonts w:eastAsiaTheme="minorHAnsi" w:cs="Arial"/>
          <w:sz w:val="20"/>
          <w:szCs w:val="20"/>
          <w:lang w:val="en-US"/>
        </w:rPr>
        <w:t>2(1)</w:t>
      </w:r>
      <w:r w:rsidR="000377EA" w:rsidRPr="00AC57EA">
        <w:rPr>
          <w:rFonts w:eastAsiaTheme="minorHAnsi" w:cs="Arial"/>
          <w:sz w:val="20"/>
          <w:szCs w:val="20"/>
          <w:lang w:val="en-US"/>
        </w:rPr>
        <w:t xml:space="preserve">, </w:t>
      </w:r>
      <w:r w:rsidR="00495E03" w:rsidRPr="00AC57EA">
        <w:rPr>
          <w:rFonts w:eastAsiaTheme="minorHAnsi" w:cs="Arial"/>
          <w:sz w:val="20"/>
          <w:szCs w:val="20"/>
          <w:lang w:val="en-US"/>
        </w:rPr>
        <w:t>19</w:t>
      </w:r>
      <w:r w:rsidRPr="00AC57EA">
        <w:rPr>
          <w:rFonts w:eastAsiaTheme="minorHAnsi" w:cs="Arial"/>
          <w:sz w:val="20"/>
          <w:szCs w:val="20"/>
          <w:lang w:val="en-US"/>
        </w:rPr>
        <w:t xml:space="preserve"> and </w:t>
      </w:r>
      <w:r w:rsidR="00495E03" w:rsidRPr="00AC57EA">
        <w:rPr>
          <w:rFonts w:eastAsiaTheme="minorHAnsi" w:cs="Arial"/>
          <w:sz w:val="20"/>
          <w:szCs w:val="20"/>
          <w:lang w:val="en-US"/>
        </w:rPr>
        <w:t>2</w:t>
      </w:r>
      <w:r w:rsidRPr="00AC57EA">
        <w:rPr>
          <w:rFonts w:eastAsiaTheme="minorHAnsi" w:cs="Arial"/>
          <w:sz w:val="20"/>
          <w:szCs w:val="20"/>
          <w:lang w:val="en-US"/>
        </w:rPr>
        <w:t>2(1)</w:t>
      </w:r>
      <w:r w:rsidR="00B7258C" w:rsidRPr="00AC57EA">
        <w:rPr>
          <w:rFonts w:eastAsiaTheme="minorHAnsi" w:cs="Arial"/>
          <w:sz w:val="20"/>
          <w:szCs w:val="20"/>
          <w:lang w:val="en-US"/>
        </w:rPr>
        <w:t xml:space="preserve"> of the American Convention</w:t>
      </w:r>
      <w:r w:rsidR="006E0342" w:rsidRPr="00AC57EA">
        <w:rPr>
          <w:rFonts w:eastAsiaTheme="minorHAnsi" w:cs="Arial"/>
          <w:sz w:val="20"/>
          <w:szCs w:val="20"/>
          <w:lang w:val="en-US"/>
        </w:rPr>
        <w:t>.</w:t>
      </w:r>
    </w:p>
    <w:p w14:paraId="5BFA6554" w14:textId="77777777" w:rsidR="00495E03" w:rsidRPr="00AC57EA" w:rsidRDefault="00495E03" w:rsidP="006E0342">
      <w:pPr>
        <w:widowControl/>
        <w:adjustRightInd/>
        <w:spacing w:line="240" w:lineRule="auto"/>
        <w:textAlignment w:val="auto"/>
        <w:rPr>
          <w:rFonts w:eastAsiaTheme="minorHAnsi" w:cs="Arial"/>
          <w:sz w:val="20"/>
          <w:szCs w:val="20"/>
          <w:lang w:val="en-US"/>
        </w:rPr>
      </w:pPr>
    </w:p>
    <w:p w14:paraId="2BE591EB" w14:textId="76CF58ED" w:rsidR="00495E03" w:rsidRPr="00AC57EA" w:rsidRDefault="00EC52D7" w:rsidP="00495E03">
      <w:pPr>
        <w:pStyle w:val="Prrafodelista"/>
        <w:widowControl/>
        <w:numPr>
          <w:ilvl w:val="0"/>
          <w:numId w:val="2"/>
        </w:numPr>
        <w:adjustRightInd/>
        <w:spacing w:line="240" w:lineRule="auto"/>
        <w:ind w:left="0" w:firstLine="0"/>
        <w:contextualSpacing/>
        <w:textAlignment w:val="auto"/>
        <w:rPr>
          <w:rFonts w:eastAsiaTheme="minorHAnsi" w:cs="Arial"/>
          <w:lang w:val="en-US"/>
        </w:rPr>
      </w:pPr>
      <w:r w:rsidRPr="00AC57EA">
        <w:rPr>
          <w:rFonts w:eastAsiaTheme="minorHAnsi" w:cs="Arial"/>
          <w:sz w:val="20"/>
          <w:szCs w:val="20"/>
          <w:lang w:val="en-US"/>
        </w:rPr>
        <w:t xml:space="preserve">The </w:t>
      </w:r>
      <w:r w:rsidRPr="00AC57EA">
        <w:rPr>
          <w:rFonts w:eastAsiaTheme="minorHAnsi" w:cs="Arial"/>
          <w:b/>
          <w:bCs/>
          <w:i/>
          <w:iCs/>
          <w:sz w:val="20"/>
          <w:szCs w:val="20"/>
          <w:lang w:val="en-US"/>
        </w:rPr>
        <w:t>State</w:t>
      </w:r>
      <w:r w:rsidR="00495E03" w:rsidRPr="00AC57EA">
        <w:rPr>
          <w:rFonts w:eastAsiaTheme="minorHAnsi" w:cs="Arial"/>
          <w:b/>
          <w:bCs/>
          <w:i/>
          <w:iCs/>
          <w:sz w:val="20"/>
          <w:szCs w:val="20"/>
          <w:lang w:val="en-US"/>
        </w:rPr>
        <w:t xml:space="preserve"> </w:t>
      </w:r>
      <w:r w:rsidR="00345031" w:rsidRPr="00AC57EA">
        <w:rPr>
          <w:rFonts w:eastAsiaTheme="minorHAnsi" w:cs="Arial"/>
          <w:sz w:val="20"/>
          <w:szCs w:val="20"/>
          <w:lang w:val="en-US"/>
        </w:rPr>
        <w:t>argued that the public officials who filed complaints were not acting in their official capacity, but as private individuals. It added that the offenses of defamation</w:t>
      </w:r>
      <w:r w:rsidR="00803213" w:rsidRPr="00AC57EA">
        <w:rPr>
          <w:rFonts w:eastAsiaTheme="minorHAnsi" w:cs="Arial"/>
          <w:sz w:val="20"/>
          <w:szCs w:val="20"/>
          <w:lang w:val="en-US"/>
        </w:rPr>
        <w:t xml:space="preserve"> or libel were not punishable by imprisonment. It considered that the fact that the actions against V.P.C. had been file</w:t>
      </w:r>
      <w:r w:rsidR="005B281E" w:rsidRPr="00AC57EA">
        <w:rPr>
          <w:rFonts w:eastAsiaTheme="minorHAnsi" w:cs="Arial"/>
          <w:sz w:val="20"/>
          <w:szCs w:val="20"/>
          <w:lang w:val="en-US"/>
        </w:rPr>
        <w:t>d</w:t>
      </w:r>
      <w:r w:rsidR="00803213" w:rsidRPr="00AC57EA">
        <w:rPr>
          <w:rFonts w:eastAsiaTheme="minorHAnsi" w:cs="Arial"/>
          <w:sz w:val="20"/>
          <w:szCs w:val="20"/>
          <w:lang w:val="en-US"/>
        </w:rPr>
        <w:t xml:space="preserve"> by private individuals revealed that there had not been any political persecution. It also indicated that there had not been any religious persecution because religious freedom exist</w:t>
      </w:r>
      <w:r w:rsidR="005B281E" w:rsidRPr="00AC57EA">
        <w:rPr>
          <w:rFonts w:eastAsiaTheme="minorHAnsi" w:cs="Arial"/>
          <w:sz w:val="20"/>
          <w:szCs w:val="20"/>
          <w:lang w:val="en-US"/>
        </w:rPr>
        <w:t>ed</w:t>
      </w:r>
      <w:r w:rsidR="00803213" w:rsidRPr="00AC57EA">
        <w:rPr>
          <w:rFonts w:eastAsiaTheme="minorHAnsi" w:cs="Arial"/>
          <w:sz w:val="20"/>
          <w:szCs w:val="20"/>
          <w:lang w:val="en-US"/>
        </w:rPr>
        <w:t xml:space="preserve"> for “Mormon churches” and Nicaragua is a secular State. Regarding the fact that V.R.P. abandoned her schooling, the State affirmed that it had provided the necessary psychological care for the child to overcome the situation; however, her mother decided to leave the country, even though education </w:t>
      </w:r>
      <w:r w:rsidR="005B281E" w:rsidRPr="00AC57EA">
        <w:rPr>
          <w:rFonts w:eastAsiaTheme="minorHAnsi" w:cs="Arial"/>
          <w:sz w:val="20"/>
          <w:szCs w:val="20"/>
          <w:lang w:val="en-US"/>
        </w:rPr>
        <w:t xml:space="preserve">was </w:t>
      </w:r>
      <w:r w:rsidR="00803213" w:rsidRPr="00AC57EA">
        <w:rPr>
          <w:rFonts w:eastAsiaTheme="minorHAnsi" w:cs="Arial"/>
          <w:sz w:val="20"/>
          <w:szCs w:val="20"/>
          <w:lang w:val="en-US"/>
        </w:rPr>
        <w:t xml:space="preserve">free in Nicaragua and </w:t>
      </w:r>
      <w:r w:rsidR="005B281E" w:rsidRPr="00AC57EA">
        <w:rPr>
          <w:rFonts w:eastAsiaTheme="minorHAnsi" w:cs="Arial"/>
          <w:sz w:val="20"/>
          <w:szCs w:val="20"/>
          <w:lang w:val="en-US"/>
        </w:rPr>
        <w:t xml:space="preserve">V.R.P. </w:t>
      </w:r>
      <w:r w:rsidR="00803213" w:rsidRPr="00AC57EA">
        <w:rPr>
          <w:rFonts w:eastAsiaTheme="minorHAnsi" w:cs="Arial"/>
          <w:sz w:val="20"/>
          <w:szCs w:val="20"/>
          <w:lang w:val="en-US"/>
        </w:rPr>
        <w:t xml:space="preserve">could have </w:t>
      </w:r>
      <w:r w:rsidR="005B281E" w:rsidRPr="00AC57EA">
        <w:rPr>
          <w:rFonts w:eastAsiaTheme="minorHAnsi" w:cs="Arial"/>
          <w:sz w:val="20"/>
          <w:szCs w:val="20"/>
          <w:lang w:val="en-US"/>
        </w:rPr>
        <w:t xml:space="preserve">been </w:t>
      </w:r>
      <w:r w:rsidR="00803213" w:rsidRPr="00AC57EA">
        <w:rPr>
          <w:rFonts w:eastAsiaTheme="minorHAnsi" w:cs="Arial"/>
          <w:sz w:val="20"/>
          <w:szCs w:val="20"/>
          <w:lang w:val="en-US"/>
        </w:rPr>
        <w:t xml:space="preserve">enrolled in another school. In relation to the request for asylum, the State indicated that V.P.C. abandoned the country owing to a voluntary personal decision that resulted in the separation of the family. It argued that a State’s decision to grant </w:t>
      </w:r>
      <w:r w:rsidR="005B281E" w:rsidRPr="00AC57EA">
        <w:rPr>
          <w:rFonts w:eastAsiaTheme="minorHAnsi" w:cs="Arial"/>
          <w:sz w:val="20"/>
          <w:szCs w:val="20"/>
          <w:lang w:val="en-US"/>
        </w:rPr>
        <w:t xml:space="preserve">someone </w:t>
      </w:r>
      <w:r w:rsidR="00803213" w:rsidRPr="00AC57EA">
        <w:rPr>
          <w:rFonts w:eastAsiaTheme="minorHAnsi" w:cs="Arial"/>
          <w:sz w:val="20"/>
          <w:szCs w:val="20"/>
          <w:lang w:val="en-US"/>
        </w:rPr>
        <w:t xml:space="preserve">asylum </w:t>
      </w:r>
      <w:r w:rsidR="005B281E" w:rsidRPr="00AC57EA">
        <w:rPr>
          <w:rFonts w:eastAsiaTheme="minorHAnsi" w:cs="Arial"/>
          <w:sz w:val="20"/>
          <w:szCs w:val="20"/>
          <w:lang w:val="en-US"/>
        </w:rPr>
        <w:t xml:space="preserve">was </w:t>
      </w:r>
      <w:r w:rsidR="00803213" w:rsidRPr="00AC57EA">
        <w:rPr>
          <w:rFonts w:eastAsiaTheme="minorHAnsi" w:cs="Arial"/>
          <w:sz w:val="20"/>
          <w:szCs w:val="20"/>
          <w:lang w:val="en-US"/>
        </w:rPr>
        <w:t xml:space="preserve">made in exercise of its sovereignty based on its domestic law. In addition, it denied that the family had been left homeless, because V.P.C. continued to exercise her </w:t>
      </w:r>
      <w:r w:rsidR="005B281E" w:rsidRPr="00AC57EA">
        <w:rPr>
          <w:rFonts w:eastAsiaTheme="minorHAnsi" w:cs="Arial"/>
          <w:sz w:val="20"/>
          <w:szCs w:val="20"/>
          <w:lang w:val="en-US"/>
        </w:rPr>
        <w:t>ownership</w:t>
      </w:r>
      <w:r w:rsidR="00803213" w:rsidRPr="00AC57EA">
        <w:rPr>
          <w:rFonts w:eastAsiaTheme="minorHAnsi" w:cs="Arial"/>
          <w:sz w:val="20"/>
          <w:szCs w:val="20"/>
          <w:lang w:val="en-US"/>
        </w:rPr>
        <w:t xml:space="preserve"> right</w:t>
      </w:r>
      <w:r w:rsidR="005B281E" w:rsidRPr="00AC57EA">
        <w:rPr>
          <w:rFonts w:eastAsiaTheme="minorHAnsi" w:cs="Arial"/>
          <w:sz w:val="20"/>
          <w:szCs w:val="20"/>
          <w:lang w:val="en-US"/>
        </w:rPr>
        <w:t xml:space="preserve">s </w:t>
      </w:r>
      <w:r w:rsidR="00803213" w:rsidRPr="00AC57EA">
        <w:rPr>
          <w:rFonts w:eastAsiaTheme="minorHAnsi" w:cs="Arial"/>
          <w:sz w:val="20"/>
          <w:szCs w:val="20"/>
          <w:lang w:val="en-US"/>
        </w:rPr>
        <w:t>over the property in the city of</w:t>
      </w:r>
      <w:r w:rsidR="00495E03" w:rsidRPr="00AC57EA">
        <w:rPr>
          <w:rFonts w:eastAsiaTheme="minorHAnsi" w:cs="Arial"/>
          <w:sz w:val="20"/>
          <w:szCs w:val="20"/>
          <w:lang w:val="en-US"/>
        </w:rPr>
        <w:t xml:space="preserve"> Jinotega. </w:t>
      </w:r>
      <w:r w:rsidR="00803213" w:rsidRPr="00AC57EA">
        <w:rPr>
          <w:rFonts w:eastAsiaTheme="minorHAnsi" w:cs="Arial"/>
          <w:sz w:val="20"/>
          <w:szCs w:val="20"/>
          <w:lang w:val="en-US"/>
        </w:rPr>
        <w:t>It asserted that</w:t>
      </w:r>
      <w:r w:rsidR="00495E03" w:rsidRPr="00AC57EA">
        <w:rPr>
          <w:rFonts w:eastAsiaTheme="minorHAnsi" w:cs="Arial"/>
          <w:sz w:val="20"/>
          <w:szCs w:val="20"/>
          <w:lang w:val="en-US"/>
        </w:rPr>
        <w:t xml:space="preserve"> V.P.C., V.R.P.</w:t>
      </w:r>
      <w:r w:rsidR="00171E27" w:rsidRPr="00AC57EA">
        <w:rPr>
          <w:rFonts w:eastAsiaTheme="minorHAnsi" w:cs="Arial"/>
          <w:sz w:val="20"/>
          <w:szCs w:val="20"/>
          <w:lang w:val="en-US"/>
        </w:rPr>
        <w:t xml:space="preserve"> and </w:t>
      </w:r>
      <w:r w:rsidR="00495E03" w:rsidRPr="00AC57EA">
        <w:rPr>
          <w:rFonts w:eastAsiaTheme="minorHAnsi" w:cs="Arial"/>
          <w:sz w:val="20"/>
          <w:szCs w:val="20"/>
          <w:lang w:val="en-US"/>
        </w:rPr>
        <w:t xml:space="preserve">N.R.P., </w:t>
      </w:r>
      <w:r w:rsidR="00803213" w:rsidRPr="00AC57EA">
        <w:rPr>
          <w:rFonts w:eastAsiaTheme="minorHAnsi" w:cs="Arial"/>
          <w:sz w:val="20"/>
          <w:szCs w:val="20"/>
          <w:lang w:val="en-US"/>
        </w:rPr>
        <w:t>ha</w:t>
      </w:r>
      <w:r w:rsidR="005B281E" w:rsidRPr="00AC57EA">
        <w:rPr>
          <w:rFonts w:eastAsiaTheme="minorHAnsi" w:cs="Arial"/>
          <w:sz w:val="20"/>
          <w:szCs w:val="20"/>
          <w:lang w:val="en-US"/>
        </w:rPr>
        <w:t>d</w:t>
      </w:r>
      <w:r w:rsidR="00803213" w:rsidRPr="00AC57EA">
        <w:rPr>
          <w:rFonts w:eastAsiaTheme="minorHAnsi" w:cs="Arial"/>
          <w:sz w:val="20"/>
          <w:szCs w:val="20"/>
          <w:lang w:val="en-US"/>
        </w:rPr>
        <w:t xml:space="preserve"> never been prevented from entering Nicaragua,</w:t>
      </w:r>
      <w:r w:rsidR="009361F1" w:rsidRPr="00AC57EA">
        <w:rPr>
          <w:rFonts w:eastAsiaTheme="minorHAnsi" w:cs="Arial"/>
          <w:sz w:val="20"/>
          <w:szCs w:val="20"/>
          <w:lang w:val="en-US"/>
        </w:rPr>
        <w:t xml:space="preserve"> as revealed by </w:t>
      </w:r>
      <w:r w:rsidR="005B281E" w:rsidRPr="00AC57EA">
        <w:rPr>
          <w:rFonts w:eastAsiaTheme="minorHAnsi" w:cs="Arial"/>
          <w:sz w:val="20"/>
          <w:szCs w:val="20"/>
          <w:lang w:val="en-US"/>
        </w:rPr>
        <w:t xml:space="preserve">the migratory movements of </w:t>
      </w:r>
      <w:r w:rsidR="009361F1" w:rsidRPr="00AC57EA">
        <w:rPr>
          <w:rFonts w:eastAsiaTheme="minorHAnsi" w:cs="Arial"/>
          <w:sz w:val="20"/>
          <w:szCs w:val="20"/>
          <w:lang w:val="en-US"/>
        </w:rPr>
        <w:t>V.P.C., who had entered the country on two occasions. It added that the rest of the family continue</w:t>
      </w:r>
      <w:r w:rsidR="005B281E" w:rsidRPr="00AC57EA">
        <w:rPr>
          <w:rFonts w:eastAsiaTheme="minorHAnsi" w:cs="Arial"/>
          <w:sz w:val="20"/>
          <w:szCs w:val="20"/>
          <w:lang w:val="en-US"/>
        </w:rPr>
        <w:t>d</w:t>
      </w:r>
      <w:r w:rsidR="009361F1" w:rsidRPr="00AC57EA">
        <w:rPr>
          <w:rFonts w:eastAsiaTheme="minorHAnsi" w:cs="Arial"/>
          <w:sz w:val="20"/>
          <w:szCs w:val="20"/>
          <w:lang w:val="en-US"/>
        </w:rPr>
        <w:t xml:space="preserve"> to live in Nicaragua. Consequently, the State denied the violation of</w:t>
      </w:r>
      <w:r w:rsidR="009361F1" w:rsidRPr="00AC57EA">
        <w:rPr>
          <w:rFonts w:eastAsiaTheme="minorHAnsi" w:cs="Arial"/>
          <w:lang w:val="en-US"/>
        </w:rPr>
        <w:t xml:space="preserve"> </w:t>
      </w:r>
      <w:r w:rsidR="00171E27" w:rsidRPr="00AC57EA">
        <w:rPr>
          <w:rFonts w:eastAsiaTheme="minorHAnsi" w:cs="Arial"/>
          <w:sz w:val="20"/>
          <w:szCs w:val="20"/>
          <w:lang w:val="en-US"/>
        </w:rPr>
        <w:t>Articles 1(1)</w:t>
      </w:r>
      <w:r w:rsidR="00495E03" w:rsidRPr="00AC57EA">
        <w:rPr>
          <w:rFonts w:eastAsiaTheme="minorHAnsi" w:cs="Arial"/>
          <w:sz w:val="20"/>
          <w:szCs w:val="20"/>
          <w:lang w:val="en-US"/>
        </w:rPr>
        <w:t>,</w:t>
      </w:r>
      <w:r w:rsidR="00D57585" w:rsidRPr="00AC57EA">
        <w:rPr>
          <w:rFonts w:eastAsiaTheme="minorHAnsi" w:cs="Arial"/>
          <w:sz w:val="20"/>
          <w:szCs w:val="20"/>
          <w:lang w:val="en-US"/>
        </w:rPr>
        <w:t xml:space="preserve"> 1</w:t>
      </w:r>
      <w:r w:rsidR="00171E27" w:rsidRPr="00AC57EA">
        <w:rPr>
          <w:rFonts w:eastAsiaTheme="minorHAnsi" w:cs="Arial"/>
          <w:sz w:val="20"/>
          <w:szCs w:val="20"/>
          <w:lang w:val="en-US"/>
        </w:rPr>
        <w:t>2(1)</w:t>
      </w:r>
      <w:r w:rsidR="00D57585" w:rsidRPr="00AC57EA">
        <w:rPr>
          <w:rFonts w:eastAsiaTheme="minorHAnsi" w:cs="Arial"/>
          <w:sz w:val="20"/>
          <w:szCs w:val="20"/>
          <w:lang w:val="en-US"/>
        </w:rPr>
        <w:t>,</w:t>
      </w:r>
      <w:r w:rsidR="00495E03" w:rsidRPr="00AC57EA">
        <w:rPr>
          <w:rFonts w:eastAsiaTheme="minorHAnsi" w:cs="Arial"/>
          <w:sz w:val="20"/>
          <w:szCs w:val="20"/>
          <w:lang w:val="en-US"/>
        </w:rPr>
        <w:t xml:space="preserve"> </w:t>
      </w:r>
      <w:r w:rsidR="00171E27" w:rsidRPr="00AC57EA">
        <w:rPr>
          <w:rFonts w:eastAsiaTheme="minorHAnsi" w:cs="Arial"/>
          <w:sz w:val="20"/>
          <w:szCs w:val="20"/>
          <w:lang w:val="en-US"/>
        </w:rPr>
        <w:t>17(1)</w:t>
      </w:r>
      <w:r w:rsidR="00495E03" w:rsidRPr="00AC57EA">
        <w:rPr>
          <w:rFonts w:eastAsiaTheme="minorHAnsi" w:cs="Arial"/>
          <w:sz w:val="20"/>
          <w:szCs w:val="20"/>
          <w:lang w:val="en-US"/>
        </w:rPr>
        <w:t>, 19</w:t>
      </w:r>
      <w:r w:rsidR="00171E27" w:rsidRPr="00AC57EA">
        <w:rPr>
          <w:rFonts w:eastAsiaTheme="minorHAnsi" w:cs="Arial"/>
          <w:sz w:val="20"/>
          <w:szCs w:val="20"/>
          <w:lang w:val="en-US"/>
        </w:rPr>
        <w:t xml:space="preserve"> and </w:t>
      </w:r>
      <w:r w:rsidR="00495E03" w:rsidRPr="00AC57EA">
        <w:rPr>
          <w:rFonts w:eastAsiaTheme="minorHAnsi" w:cs="Arial"/>
          <w:sz w:val="20"/>
          <w:szCs w:val="20"/>
          <w:lang w:val="en-US"/>
        </w:rPr>
        <w:t>2</w:t>
      </w:r>
      <w:r w:rsidR="00171E27" w:rsidRPr="00AC57EA">
        <w:rPr>
          <w:rFonts w:eastAsiaTheme="minorHAnsi" w:cs="Arial"/>
          <w:sz w:val="20"/>
          <w:szCs w:val="20"/>
          <w:lang w:val="en-US"/>
        </w:rPr>
        <w:t>2(1)</w:t>
      </w:r>
      <w:r w:rsidR="00B7258C" w:rsidRPr="00AC57EA">
        <w:rPr>
          <w:rFonts w:eastAsiaTheme="minorHAnsi" w:cs="Arial"/>
          <w:sz w:val="20"/>
          <w:szCs w:val="20"/>
          <w:lang w:val="en-US"/>
        </w:rPr>
        <w:t xml:space="preserve"> of the American Convention</w:t>
      </w:r>
      <w:r w:rsidR="00495E03" w:rsidRPr="00AC57EA">
        <w:rPr>
          <w:rFonts w:eastAsiaTheme="minorHAnsi" w:cs="Arial"/>
          <w:sz w:val="20"/>
          <w:szCs w:val="20"/>
          <w:lang w:val="en-US"/>
        </w:rPr>
        <w:t>.</w:t>
      </w:r>
    </w:p>
    <w:p w14:paraId="0B937D34" w14:textId="77777777" w:rsidR="005B281E" w:rsidRPr="00AC57EA" w:rsidRDefault="005B281E" w:rsidP="005B281E">
      <w:pPr>
        <w:pStyle w:val="Prrafodelista"/>
        <w:widowControl/>
        <w:adjustRightInd/>
        <w:spacing w:line="240" w:lineRule="auto"/>
        <w:ind w:left="0"/>
        <w:contextualSpacing/>
        <w:textAlignment w:val="auto"/>
        <w:rPr>
          <w:rFonts w:eastAsiaTheme="minorHAnsi" w:cs="Arial"/>
          <w:lang w:val="en-US"/>
        </w:rPr>
      </w:pPr>
    </w:p>
    <w:p w14:paraId="211BAD6E" w14:textId="39A75A07" w:rsidR="00495E03" w:rsidRPr="00AC57EA" w:rsidRDefault="00495E03" w:rsidP="0011586B">
      <w:pPr>
        <w:keepNext/>
        <w:keepLines/>
        <w:tabs>
          <w:tab w:val="left" w:pos="1134"/>
        </w:tabs>
        <w:autoSpaceDE w:val="0"/>
        <w:autoSpaceDN w:val="0"/>
        <w:spacing w:line="240" w:lineRule="auto"/>
        <w:ind w:left="567" w:firstLine="1"/>
        <w:outlineLvl w:val="1"/>
        <w:rPr>
          <w:rFonts w:eastAsia="MS Mincho" w:cs="Arial"/>
          <w:b/>
          <w:bCs/>
          <w:i/>
          <w:kern w:val="2"/>
          <w:sz w:val="20"/>
          <w:szCs w:val="20"/>
          <w:lang w:val="en-US"/>
        </w:rPr>
      </w:pPr>
      <w:bookmarkStart w:id="143" w:name="_Toc514172657"/>
      <w:r w:rsidRPr="00AC57EA">
        <w:rPr>
          <w:rFonts w:eastAsia="MS Mincho" w:cs="Arial"/>
          <w:b/>
          <w:bCs/>
          <w:i/>
          <w:kern w:val="2"/>
          <w:sz w:val="20"/>
          <w:szCs w:val="20"/>
          <w:lang w:val="en-US"/>
        </w:rPr>
        <w:t>B.</w:t>
      </w:r>
      <w:r w:rsidRPr="00AC57EA">
        <w:rPr>
          <w:rFonts w:eastAsia="MS Mincho" w:cs="Arial"/>
          <w:b/>
          <w:bCs/>
          <w:i/>
          <w:kern w:val="2"/>
          <w:sz w:val="20"/>
          <w:szCs w:val="20"/>
          <w:lang w:val="en-US"/>
        </w:rPr>
        <w:tab/>
      </w:r>
      <w:r w:rsidR="002223C8" w:rsidRPr="00AC57EA">
        <w:rPr>
          <w:rFonts w:eastAsia="MS Mincho" w:cs="Arial"/>
          <w:b/>
          <w:bCs/>
          <w:i/>
          <w:kern w:val="2"/>
          <w:sz w:val="20"/>
          <w:szCs w:val="20"/>
          <w:lang w:val="en-US"/>
        </w:rPr>
        <w:t>Considerations</w:t>
      </w:r>
      <w:r w:rsidR="00B7258C" w:rsidRPr="00AC57EA">
        <w:rPr>
          <w:rFonts w:eastAsia="MS Mincho" w:cs="Arial"/>
          <w:b/>
          <w:bCs/>
          <w:i/>
          <w:kern w:val="2"/>
          <w:sz w:val="20"/>
          <w:szCs w:val="20"/>
          <w:lang w:val="en-US"/>
        </w:rPr>
        <w:t xml:space="preserve"> of the Court</w:t>
      </w:r>
      <w:bookmarkEnd w:id="143"/>
    </w:p>
    <w:p w14:paraId="3DD90C42" w14:textId="77777777" w:rsidR="00495E03" w:rsidRPr="00AC57EA" w:rsidRDefault="00495E03" w:rsidP="0011586B">
      <w:pPr>
        <w:pStyle w:val="Prrafodelista"/>
        <w:spacing w:line="240" w:lineRule="auto"/>
        <w:ind w:left="0"/>
        <w:rPr>
          <w:sz w:val="20"/>
          <w:szCs w:val="20"/>
          <w:lang w:val="en-US"/>
        </w:rPr>
      </w:pPr>
    </w:p>
    <w:p w14:paraId="4AB81BC3" w14:textId="1E6B8B16" w:rsidR="00495E03" w:rsidRPr="00AC57EA" w:rsidRDefault="004151E3" w:rsidP="009361F1">
      <w:pPr>
        <w:pStyle w:val="Prrafodelista"/>
        <w:widowControl/>
        <w:numPr>
          <w:ilvl w:val="0"/>
          <w:numId w:val="2"/>
        </w:numPr>
        <w:adjustRightInd/>
        <w:spacing w:line="240" w:lineRule="auto"/>
        <w:ind w:left="0" w:firstLine="0"/>
        <w:textAlignment w:val="auto"/>
        <w:rPr>
          <w:sz w:val="20"/>
          <w:szCs w:val="20"/>
          <w:lang w:val="en-US"/>
        </w:rPr>
      </w:pPr>
      <w:r w:rsidRPr="00AC57EA">
        <w:rPr>
          <w:sz w:val="20"/>
          <w:szCs w:val="20"/>
          <w:lang w:val="en-US"/>
        </w:rPr>
        <w:t>Article</w:t>
      </w:r>
      <w:r w:rsidR="00495E03" w:rsidRPr="00AC57EA">
        <w:rPr>
          <w:sz w:val="20"/>
          <w:szCs w:val="20"/>
          <w:lang w:val="en-US"/>
        </w:rPr>
        <w:t xml:space="preserve"> 2</w:t>
      </w:r>
      <w:r w:rsidR="00171E27" w:rsidRPr="00AC57EA">
        <w:rPr>
          <w:sz w:val="20"/>
          <w:szCs w:val="20"/>
          <w:lang w:val="en-US"/>
        </w:rPr>
        <w:t>2(1)</w:t>
      </w:r>
      <w:r w:rsidR="00B7258C" w:rsidRPr="00AC57EA">
        <w:rPr>
          <w:sz w:val="20"/>
          <w:szCs w:val="20"/>
          <w:lang w:val="en-US"/>
        </w:rPr>
        <w:t xml:space="preserve"> of the Convention</w:t>
      </w:r>
      <w:r w:rsidR="00495E03" w:rsidRPr="00AC57EA">
        <w:rPr>
          <w:sz w:val="20"/>
          <w:szCs w:val="20"/>
          <w:lang w:val="en-US"/>
        </w:rPr>
        <w:t xml:space="preserve"> reco</w:t>
      </w:r>
      <w:r w:rsidR="009361F1" w:rsidRPr="00AC57EA">
        <w:rPr>
          <w:sz w:val="20"/>
          <w:szCs w:val="20"/>
          <w:lang w:val="en-US"/>
        </w:rPr>
        <w:t>gnizes</w:t>
      </w:r>
      <w:r w:rsidR="00495E03" w:rsidRPr="00AC57EA">
        <w:rPr>
          <w:sz w:val="20"/>
          <w:szCs w:val="20"/>
          <w:lang w:val="en-US"/>
        </w:rPr>
        <w:t xml:space="preserve"> </w:t>
      </w:r>
      <w:r w:rsidR="002A5974" w:rsidRPr="00AC57EA">
        <w:rPr>
          <w:sz w:val="20"/>
          <w:szCs w:val="20"/>
          <w:lang w:val="en-US"/>
        </w:rPr>
        <w:t>the right</w:t>
      </w:r>
      <w:r w:rsidR="009361F1" w:rsidRPr="00AC57EA">
        <w:rPr>
          <w:sz w:val="20"/>
          <w:szCs w:val="20"/>
          <w:lang w:val="en-US"/>
        </w:rPr>
        <w:t xml:space="preserve"> to freedom of movement and residence. In this regard, the Court has considered that this provision protects the right not to be forcibly displaced within a State Party and not to </w:t>
      </w:r>
      <w:r w:rsidR="005B281E" w:rsidRPr="00AC57EA">
        <w:rPr>
          <w:sz w:val="20"/>
          <w:szCs w:val="20"/>
          <w:lang w:val="en-US"/>
        </w:rPr>
        <w:t>be forced to</w:t>
      </w:r>
      <w:r w:rsidR="009361F1" w:rsidRPr="00AC57EA">
        <w:rPr>
          <w:sz w:val="20"/>
          <w:szCs w:val="20"/>
          <w:lang w:val="en-US"/>
        </w:rPr>
        <w:t xml:space="preserve"> leave the territory of the State in which a person legally resides.</w:t>
      </w:r>
      <w:r w:rsidR="008A7BAE" w:rsidRPr="00AC57EA">
        <w:rPr>
          <w:rStyle w:val="Refdenotaalpie"/>
          <w:sz w:val="20"/>
          <w:szCs w:val="20"/>
          <w:lang w:val="en-US"/>
        </w:rPr>
        <w:footnoteReference w:id="386"/>
      </w:r>
      <w:r w:rsidR="00495E03" w:rsidRPr="00AC57EA">
        <w:rPr>
          <w:sz w:val="20"/>
          <w:szCs w:val="20"/>
          <w:lang w:val="en-US"/>
        </w:rPr>
        <w:t xml:space="preserve"> </w:t>
      </w:r>
      <w:r w:rsidR="009361F1" w:rsidRPr="00AC57EA">
        <w:rPr>
          <w:sz w:val="20"/>
          <w:szCs w:val="20"/>
          <w:lang w:val="en-US"/>
        </w:rPr>
        <w:t>The Court has also indicated repeatedly that the right to freedom of movement and residence is an essential condition for the free development of the individual.</w:t>
      </w:r>
      <w:r w:rsidR="00495E03" w:rsidRPr="00AC57EA">
        <w:rPr>
          <w:sz w:val="20"/>
          <w:szCs w:val="20"/>
          <w:vertAlign w:val="superscript"/>
          <w:lang w:val="en-US"/>
        </w:rPr>
        <w:footnoteReference w:id="387"/>
      </w:r>
    </w:p>
    <w:p w14:paraId="140DF53D" w14:textId="77777777" w:rsidR="00495E03" w:rsidRPr="00AC57EA" w:rsidRDefault="00495E03" w:rsidP="0011586B">
      <w:pPr>
        <w:spacing w:line="240" w:lineRule="auto"/>
        <w:rPr>
          <w:sz w:val="20"/>
          <w:szCs w:val="20"/>
          <w:lang w:val="en-US"/>
        </w:rPr>
      </w:pPr>
    </w:p>
    <w:p w14:paraId="7685E020" w14:textId="457D10F2" w:rsidR="00495E03" w:rsidRPr="00AC57EA" w:rsidRDefault="00B7258C" w:rsidP="009361F1">
      <w:pPr>
        <w:pStyle w:val="Prrafodelista"/>
        <w:widowControl/>
        <w:numPr>
          <w:ilvl w:val="0"/>
          <w:numId w:val="2"/>
        </w:numPr>
        <w:adjustRightInd/>
        <w:spacing w:line="240" w:lineRule="auto"/>
        <w:ind w:left="0" w:right="49" w:firstLine="0"/>
        <w:textAlignment w:val="auto"/>
        <w:rPr>
          <w:sz w:val="20"/>
          <w:szCs w:val="20"/>
          <w:lang w:val="en-US"/>
        </w:rPr>
      </w:pPr>
      <w:r w:rsidRPr="00AC57EA">
        <w:rPr>
          <w:sz w:val="20"/>
          <w:szCs w:val="20"/>
          <w:lang w:val="en-US"/>
        </w:rPr>
        <w:t>The Court</w:t>
      </w:r>
      <w:r w:rsidR="00495E03" w:rsidRPr="00AC57EA">
        <w:rPr>
          <w:sz w:val="20"/>
          <w:szCs w:val="20"/>
          <w:lang w:val="en-US"/>
        </w:rPr>
        <w:t xml:space="preserve"> </w:t>
      </w:r>
      <w:r w:rsidR="009361F1" w:rsidRPr="00AC57EA">
        <w:rPr>
          <w:sz w:val="20"/>
          <w:szCs w:val="20"/>
          <w:lang w:val="en-US"/>
        </w:rPr>
        <w:t>has indicated that freedom</w:t>
      </w:r>
      <w:r w:rsidR="00495E03" w:rsidRPr="00AC57EA">
        <w:rPr>
          <w:sz w:val="20"/>
          <w:szCs w:val="20"/>
          <w:lang w:val="en-US"/>
        </w:rPr>
        <w:t xml:space="preserve"> </w:t>
      </w:r>
      <w:r w:rsidR="009361F1" w:rsidRPr="00AC57EA">
        <w:rPr>
          <w:sz w:val="20"/>
          <w:szCs w:val="20"/>
          <w:lang w:val="en-US"/>
        </w:rPr>
        <w:t xml:space="preserve">of movement and residence may be violated by </w:t>
      </w:r>
      <w:r w:rsidR="009361F1" w:rsidRPr="00AC57EA">
        <w:rPr>
          <w:i/>
          <w:sz w:val="20"/>
          <w:szCs w:val="20"/>
          <w:lang w:val="en-US"/>
        </w:rPr>
        <w:t>de facto</w:t>
      </w:r>
      <w:r w:rsidR="009361F1" w:rsidRPr="00AC57EA">
        <w:rPr>
          <w:iCs/>
          <w:sz w:val="20"/>
          <w:szCs w:val="20"/>
          <w:lang w:val="en-US"/>
        </w:rPr>
        <w:t xml:space="preserve"> restrictions if the State has not established the conditions, or provided the means</w:t>
      </w:r>
      <w:r w:rsidR="005B281E" w:rsidRPr="00AC57EA">
        <w:rPr>
          <w:iCs/>
          <w:sz w:val="20"/>
          <w:szCs w:val="20"/>
          <w:lang w:val="en-US"/>
        </w:rPr>
        <w:t>,</w:t>
      </w:r>
      <w:r w:rsidR="009361F1" w:rsidRPr="00AC57EA">
        <w:rPr>
          <w:iCs/>
          <w:sz w:val="20"/>
          <w:szCs w:val="20"/>
          <w:lang w:val="en-US"/>
        </w:rPr>
        <w:t xml:space="preserve"> to exercise </w:t>
      </w:r>
      <w:r w:rsidR="005B281E" w:rsidRPr="00AC57EA">
        <w:rPr>
          <w:iCs/>
          <w:sz w:val="20"/>
          <w:szCs w:val="20"/>
          <w:lang w:val="en-US"/>
        </w:rPr>
        <w:t>this freedom</w:t>
      </w:r>
      <w:r w:rsidR="009361F1" w:rsidRPr="00AC57EA">
        <w:rPr>
          <w:iCs/>
          <w:sz w:val="20"/>
          <w:szCs w:val="20"/>
          <w:lang w:val="en-US"/>
        </w:rPr>
        <w:t>.</w:t>
      </w:r>
      <w:r w:rsidR="00495E03" w:rsidRPr="00AC57EA">
        <w:rPr>
          <w:rStyle w:val="Refdenotaalpie"/>
          <w:sz w:val="20"/>
          <w:szCs w:val="20"/>
          <w:lang w:val="en-US"/>
        </w:rPr>
        <w:footnoteReference w:id="388"/>
      </w:r>
      <w:r w:rsidR="009361F1" w:rsidRPr="00AC57EA">
        <w:rPr>
          <w:sz w:val="20"/>
          <w:szCs w:val="20"/>
          <w:lang w:val="en-US"/>
        </w:rPr>
        <w:t xml:space="preserve"> Thus, freedom of movement and residence may be infringed when a persons is the victim of threats and harassment and the State fails to provide the necessary guarantees for them to move freely and reside in the territory in question, even when the authors of the threats and harassment are non-State actors.</w:t>
      </w:r>
      <w:r w:rsidR="00495E03" w:rsidRPr="00AC57EA">
        <w:rPr>
          <w:rStyle w:val="Refdenotaalpie"/>
          <w:sz w:val="20"/>
          <w:szCs w:val="20"/>
          <w:lang w:val="en-US"/>
        </w:rPr>
        <w:footnoteReference w:id="389"/>
      </w:r>
      <w:r w:rsidR="009361F1" w:rsidRPr="00AC57EA">
        <w:rPr>
          <w:sz w:val="20"/>
          <w:szCs w:val="20"/>
          <w:lang w:val="en-US"/>
        </w:rPr>
        <w:t xml:space="preserve"> The lack of an effective investigation into violent acts and the situation of impunity may also impair the victims’ confidence in the system of justice and contribute to unsafe conditions.</w:t>
      </w:r>
      <w:r w:rsidR="00495E03" w:rsidRPr="00AC57EA">
        <w:rPr>
          <w:rStyle w:val="Refdenotaalpie"/>
          <w:rFonts w:cs="Arial"/>
          <w:bCs/>
          <w:sz w:val="20"/>
          <w:szCs w:val="20"/>
          <w:lang w:val="en-US"/>
        </w:rPr>
        <w:footnoteReference w:id="390"/>
      </w:r>
      <w:r w:rsidR="009361F1" w:rsidRPr="00AC57EA">
        <w:rPr>
          <w:rFonts w:cs="Arial"/>
          <w:bCs/>
          <w:sz w:val="20"/>
          <w:szCs w:val="20"/>
          <w:lang w:val="en-US"/>
        </w:rPr>
        <w:t xml:space="preserve"> In addition, this situation of impunity may lead to or perpetuate forced displacement or exile.</w:t>
      </w:r>
      <w:r w:rsidR="00495E03" w:rsidRPr="00AC57EA">
        <w:rPr>
          <w:rStyle w:val="Refdenotaalpie"/>
          <w:rFonts w:cs="Arial"/>
          <w:bCs/>
          <w:sz w:val="20"/>
          <w:szCs w:val="20"/>
          <w:lang w:val="en-US"/>
        </w:rPr>
        <w:footnoteReference w:id="391"/>
      </w:r>
    </w:p>
    <w:p w14:paraId="08F429F5" w14:textId="77777777" w:rsidR="00495E03" w:rsidRPr="00AC57EA" w:rsidRDefault="00495E03" w:rsidP="0011586B">
      <w:pPr>
        <w:spacing w:line="240" w:lineRule="auto"/>
        <w:rPr>
          <w:sz w:val="20"/>
          <w:szCs w:val="20"/>
          <w:lang w:val="en-US"/>
        </w:rPr>
      </w:pPr>
    </w:p>
    <w:p w14:paraId="19FA5913" w14:textId="0B27EED3" w:rsidR="00495E03" w:rsidRPr="00AC57EA" w:rsidRDefault="00B7258C" w:rsidP="009361F1">
      <w:pPr>
        <w:pStyle w:val="Prrafodelista"/>
        <w:widowControl/>
        <w:numPr>
          <w:ilvl w:val="0"/>
          <w:numId w:val="2"/>
        </w:numPr>
        <w:adjustRightInd/>
        <w:spacing w:line="240" w:lineRule="auto"/>
        <w:ind w:left="0" w:firstLine="0"/>
        <w:textAlignment w:val="auto"/>
        <w:rPr>
          <w:rFonts w:cs="Arial"/>
          <w:sz w:val="20"/>
          <w:szCs w:val="20"/>
          <w:lang w:val="en-US"/>
        </w:rPr>
      </w:pPr>
      <w:r w:rsidRPr="00AC57EA">
        <w:rPr>
          <w:rFonts w:cs="Arial"/>
          <w:sz w:val="20"/>
          <w:szCs w:val="20"/>
          <w:lang w:val="en-US"/>
        </w:rPr>
        <w:t>The Court</w:t>
      </w:r>
      <w:r w:rsidR="00495E03" w:rsidRPr="00AC57EA">
        <w:rPr>
          <w:rFonts w:cs="Arial"/>
          <w:sz w:val="20"/>
          <w:szCs w:val="20"/>
          <w:lang w:val="en-US"/>
        </w:rPr>
        <w:t xml:space="preserve"> ha</w:t>
      </w:r>
      <w:r w:rsidR="009361F1" w:rsidRPr="00AC57EA">
        <w:rPr>
          <w:rFonts w:cs="Arial"/>
          <w:sz w:val="20"/>
          <w:szCs w:val="20"/>
          <w:lang w:val="en-US"/>
        </w:rPr>
        <w:t xml:space="preserve">s indicated that the fact that another country grants asylum reveals the </w:t>
      </w:r>
      <w:r w:rsidR="00EA6349" w:rsidRPr="00AC57EA">
        <w:rPr>
          <w:rFonts w:cs="Arial"/>
          <w:sz w:val="20"/>
          <w:szCs w:val="20"/>
          <w:lang w:val="en-US"/>
        </w:rPr>
        <w:t>high degree of credibility that the authorities of the host State accorded to the claims made by the victims.</w:t>
      </w:r>
      <w:r w:rsidR="00495E03" w:rsidRPr="00AC57EA">
        <w:rPr>
          <w:rStyle w:val="Refdenotaalpie"/>
          <w:rFonts w:cs="Arial"/>
          <w:sz w:val="20"/>
          <w:szCs w:val="20"/>
          <w:lang w:val="en-US"/>
        </w:rPr>
        <w:footnoteReference w:id="392"/>
      </w:r>
      <w:r w:rsidR="00EA6349" w:rsidRPr="00AC57EA">
        <w:rPr>
          <w:rFonts w:cs="Arial"/>
          <w:sz w:val="20"/>
          <w:szCs w:val="20"/>
          <w:lang w:val="en-US"/>
        </w:rPr>
        <w:t xml:space="preserve"> However, this acknowledgement alone is not sufficient to affirm that the right to freedom of residence has been violated in the case. It is just one more indication to be taken into account together with all the specific circumstances of the case.</w:t>
      </w:r>
    </w:p>
    <w:p w14:paraId="3437E2CE" w14:textId="0CB777F6" w:rsidR="00495E03" w:rsidRPr="00AC57EA" w:rsidRDefault="00495E03" w:rsidP="0011586B">
      <w:pPr>
        <w:spacing w:line="240" w:lineRule="auto"/>
        <w:ind w:right="49"/>
        <w:rPr>
          <w:sz w:val="20"/>
          <w:szCs w:val="20"/>
          <w:lang w:val="en-US"/>
        </w:rPr>
      </w:pPr>
    </w:p>
    <w:p w14:paraId="5F04B574" w14:textId="00A191A5" w:rsidR="00495E03" w:rsidRPr="00AC57EA" w:rsidRDefault="00EA6349" w:rsidP="0011586B">
      <w:pPr>
        <w:pStyle w:val="Prrafodelista"/>
        <w:widowControl/>
        <w:numPr>
          <w:ilvl w:val="0"/>
          <w:numId w:val="2"/>
        </w:numPr>
        <w:adjustRightInd/>
        <w:spacing w:line="240" w:lineRule="auto"/>
        <w:ind w:left="0" w:firstLine="0"/>
        <w:textAlignment w:val="auto"/>
        <w:rPr>
          <w:sz w:val="20"/>
          <w:szCs w:val="20"/>
          <w:lang w:val="en-US"/>
        </w:rPr>
      </w:pPr>
      <w:r w:rsidRPr="00AC57EA">
        <w:rPr>
          <w:sz w:val="20"/>
          <w:szCs w:val="20"/>
          <w:lang w:val="en-US"/>
        </w:rPr>
        <w:t>Regarding</w:t>
      </w:r>
      <w:r w:rsidR="00495E03" w:rsidRPr="00AC57EA">
        <w:rPr>
          <w:sz w:val="20"/>
          <w:szCs w:val="20"/>
          <w:lang w:val="en-US"/>
        </w:rPr>
        <w:t xml:space="preserve"> </w:t>
      </w:r>
      <w:r w:rsidR="00B7258C" w:rsidRPr="00AC57EA">
        <w:rPr>
          <w:sz w:val="20"/>
          <w:szCs w:val="20"/>
          <w:lang w:val="en-US"/>
        </w:rPr>
        <w:t>Article</w:t>
      </w:r>
      <w:r w:rsidR="00495E03" w:rsidRPr="00AC57EA">
        <w:rPr>
          <w:sz w:val="20"/>
          <w:szCs w:val="20"/>
          <w:lang w:val="en-US"/>
        </w:rPr>
        <w:t xml:space="preserve"> 17 </w:t>
      </w:r>
      <w:r w:rsidR="00171E27" w:rsidRPr="00AC57EA">
        <w:rPr>
          <w:sz w:val="20"/>
          <w:szCs w:val="20"/>
          <w:lang w:val="en-US"/>
        </w:rPr>
        <w:t>in relation to Article</w:t>
      </w:r>
      <w:r w:rsidR="00495E03" w:rsidRPr="00AC57EA">
        <w:rPr>
          <w:sz w:val="20"/>
          <w:szCs w:val="20"/>
          <w:lang w:val="en-US"/>
        </w:rPr>
        <w:t xml:space="preserve"> 19</w:t>
      </w:r>
      <w:r w:rsidR="00B7258C" w:rsidRPr="00AC57EA">
        <w:rPr>
          <w:sz w:val="20"/>
          <w:szCs w:val="20"/>
          <w:lang w:val="en-US"/>
        </w:rPr>
        <w:t xml:space="preserve"> of the American Convention</w:t>
      </w:r>
      <w:r w:rsidR="00495E03" w:rsidRPr="00AC57EA">
        <w:rPr>
          <w:sz w:val="20"/>
          <w:szCs w:val="20"/>
          <w:lang w:val="en-US"/>
        </w:rPr>
        <w:t xml:space="preserve">, </w:t>
      </w:r>
      <w:r w:rsidR="00B7258C" w:rsidRPr="00AC57EA">
        <w:rPr>
          <w:sz w:val="20"/>
          <w:szCs w:val="20"/>
          <w:lang w:val="en-US"/>
        </w:rPr>
        <w:t>the Court</w:t>
      </w:r>
      <w:r w:rsidR="00495E03" w:rsidRPr="00AC57EA">
        <w:rPr>
          <w:sz w:val="20"/>
          <w:szCs w:val="20"/>
          <w:lang w:val="en-US"/>
        </w:rPr>
        <w:t xml:space="preserve"> ha</w:t>
      </w:r>
      <w:r w:rsidRPr="00AC57EA">
        <w:rPr>
          <w:sz w:val="20"/>
          <w:szCs w:val="20"/>
          <w:lang w:val="en-US"/>
        </w:rPr>
        <w:t xml:space="preserve">s indicated that the State is obliged not only to establish and directly implement measures of protection </w:t>
      </w:r>
      <w:r w:rsidR="005B281E" w:rsidRPr="00AC57EA">
        <w:rPr>
          <w:sz w:val="20"/>
          <w:szCs w:val="20"/>
          <w:lang w:val="en-US"/>
        </w:rPr>
        <w:t>for</w:t>
      </w:r>
      <w:r w:rsidR="00495E03" w:rsidRPr="00AC57EA">
        <w:rPr>
          <w:sz w:val="20"/>
          <w:szCs w:val="20"/>
          <w:lang w:val="en-US"/>
        </w:rPr>
        <w:t xml:space="preserve"> </w:t>
      </w:r>
      <w:r w:rsidR="001567A9" w:rsidRPr="00AC57EA">
        <w:rPr>
          <w:sz w:val="20"/>
          <w:szCs w:val="20"/>
          <w:lang w:val="en-US"/>
        </w:rPr>
        <w:t>children and adolescents</w:t>
      </w:r>
      <w:r w:rsidR="00495E03" w:rsidRPr="00AC57EA">
        <w:rPr>
          <w:sz w:val="20"/>
          <w:szCs w:val="20"/>
          <w:lang w:val="en-US"/>
        </w:rPr>
        <w:t xml:space="preserve">, </w:t>
      </w:r>
      <w:r w:rsidRPr="00AC57EA">
        <w:rPr>
          <w:sz w:val="20"/>
          <w:szCs w:val="20"/>
          <w:lang w:val="en-US"/>
        </w:rPr>
        <w:t xml:space="preserve">but also to promote, as extensively as possible, the development and reinforcement of the family unit. Consequently, the Court has established that the separation of </w:t>
      </w:r>
      <w:r w:rsidR="001567A9" w:rsidRPr="00AC57EA">
        <w:rPr>
          <w:sz w:val="20"/>
          <w:szCs w:val="20"/>
          <w:lang w:val="en-US"/>
        </w:rPr>
        <w:t>children and adolescents</w:t>
      </w:r>
      <w:r w:rsidR="00495E03" w:rsidRPr="00AC57EA">
        <w:rPr>
          <w:sz w:val="20"/>
          <w:szCs w:val="20"/>
          <w:lang w:val="en-US"/>
        </w:rPr>
        <w:t xml:space="preserve"> </w:t>
      </w:r>
      <w:r w:rsidRPr="00AC57EA">
        <w:rPr>
          <w:sz w:val="20"/>
          <w:szCs w:val="20"/>
          <w:lang w:val="en-US"/>
        </w:rPr>
        <w:t xml:space="preserve">from their family constitutes, in certain circumstances, a violation of their right to a family </w:t>
      </w:r>
      <w:r w:rsidR="002A5974" w:rsidRPr="00AC57EA">
        <w:rPr>
          <w:sz w:val="20"/>
          <w:szCs w:val="20"/>
          <w:lang w:val="en-US"/>
        </w:rPr>
        <w:t>recognized in</w:t>
      </w:r>
      <w:r w:rsidR="00495E03" w:rsidRPr="00AC57EA">
        <w:rPr>
          <w:sz w:val="20"/>
          <w:szCs w:val="20"/>
          <w:lang w:val="en-US"/>
        </w:rPr>
        <w:t xml:space="preserve"> </w:t>
      </w:r>
      <w:r w:rsidR="00B7258C" w:rsidRPr="00AC57EA">
        <w:rPr>
          <w:sz w:val="20"/>
          <w:szCs w:val="20"/>
          <w:lang w:val="en-US"/>
        </w:rPr>
        <w:t>Article</w:t>
      </w:r>
      <w:r w:rsidR="00495E03" w:rsidRPr="00AC57EA">
        <w:rPr>
          <w:sz w:val="20"/>
          <w:szCs w:val="20"/>
          <w:lang w:val="en-US"/>
        </w:rPr>
        <w:t xml:space="preserve"> 17</w:t>
      </w:r>
      <w:r w:rsidR="00B7258C" w:rsidRPr="00AC57EA">
        <w:rPr>
          <w:sz w:val="20"/>
          <w:szCs w:val="20"/>
          <w:lang w:val="en-US"/>
        </w:rPr>
        <w:t xml:space="preserve"> of the American Convention</w:t>
      </w:r>
      <w:r w:rsidRPr="00AC57EA">
        <w:rPr>
          <w:sz w:val="20"/>
          <w:szCs w:val="20"/>
          <w:lang w:val="en-US"/>
        </w:rPr>
        <w:t>,</w:t>
      </w:r>
      <w:r w:rsidR="00495E03" w:rsidRPr="00AC57EA">
        <w:rPr>
          <w:rStyle w:val="Refdenotaalpie"/>
          <w:sz w:val="20"/>
          <w:szCs w:val="20"/>
          <w:lang w:val="en-US"/>
        </w:rPr>
        <w:footnoteReference w:id="393"/>
      </w:r>
      <w:r w:rsidRPr="00AC57EA">
        <w:rPr>
          <w:sz w:val="20"/>
          <w:szCs w:val="20"/>
          <w:lang w:val="en-US"/>
        </w:rPr>
        <w:t xml:space="preserve"> because the mutual enjoyment of the coexistence of parents and their children is an essential element of family life.</w:t>
      </w:r>
      <w:r w:rsidR="00495E03" w:rsidRPr="00AC57EA">
        <w:rPr>
          <w:rStyle w:val="Refdenotaalpie"/>
          <w:sz w:val="20"/>
          <w:szCs w:val="20"/>
          <w:lang w:val="en-US"/>
        </w:rPr>
        <w:footnoteReference w:id="394"/>
      </w:r>
    </w:p>
    <w:p w14:paraId="52B1FAF5" w14:textId="77777777" w:rsidR="00495E03" w:rsidRPr="00AC57EA" w:rsidRDefault="00495E03" w:rsidP="0011586B">
      <w:pPr>
        <w:spacing w:line="240" w:lineRule="auto"/>
        <w:rPr>
          <w:sz w:val="20"/>
          <w:szCs w:val="20"/>
          <w:lang w:val="en-US"/>
        </w:rPr>
      </w:pPr>
    </w:p>
    <w:p w14:paraId="10F55E5A" w14:textId="20C73080" w:rsidR="00495E03" w:rsidRPr="00AC57EA" w:rsidRDefault="00B7258C" w:rsidP="009C2181">
      <w:pPr>
        <w:pStyle w:val="Prrafodelista"/>
        <w:widowControl/>
        <w:numPr>
          <w:ilvl w:val="0"/>
          <w:numId w:val="2"/>
        </w:numPr>
        <w:adjustRightInd/>
        <w:spacing w:line="240" w:lineRule="auto"/>
        <w:ind w:left="0" w:right="49" w:firstLine="0"/>
        <w:textAlignment w:val="auto"/>
        <w:rPr>
          <w:sz w:val="20"/>
          <w:szCs w:val="20"/>
          <w:lang w:val="en-US"/>
        </w:rPr>
      </w:pPr>
      <w:r w:rsidRPr="00AC57EA">
        <w:rPr>
          <w:sz w:val="20"/>
          <w:szCs w:val="20"/>
          <w:lang w:val="en-US"/>
        </w:rPr>
        <w:t>The Court</w:t>
      </w:r>
      <w:r w:rsidR="00495E03" w:rsidRPr="00AC57EA">
        <w:rPr>
          <w:sz w:val="20"/>
          <w:szCs w:val="20"/>
          <w:lang w:val="en-US"/>
        </w:rPr>
        <w:t xml:space="preserve"> </w:t>
      </w:r>
      <w:r w:rsidR="00EA6349" w:rsidRPr="00AC57EA">
        <w:rPr>
          <w:sz w:val="20"/>
          <w:szCs w:val="20"/>
          <w:lang w:val="en-US"/>
        </w:rPr>
        <w:t xml:space="preserve">will now analyze whether </w:t>
      </w:r>
      <w:r w:rsidR="00495E03" w:rsidRPr="00AC57EA">
        <w:rPr>
          <w:sz w:val="20"/>
          <w:szCs w:val="20"/>
          <w:lang w:val="en-US"/>
        </w:rPr>
        <w:t>V.P.C.</w:t>
      </w:r>
      <w:r w:rsidR="00171E27" w:rsidRPr="00AC57EA">
        <w:rPr>
          <w:sz w:val="20"/>
          <w:szCs w:val="20"/>
          <w:lang w:val="en-US"/>
        </w:rPr>
        <w:t xml:space="preserve"> and </w:t>
      </w:r>
      <w:r w:rsidR="00EA6349" w:rsidRPr="00AC57EA">
        <w:rPr>
          <w:sz w:val="20"/>
          <w:szCs w:val="20"/>
          <w:lang w:val="en-US"/>
        </w:rPr>
        <w:t>her daughters,</w:t>
      </w:r>
      <w:r w:rsidR="00495E03" w:rsidRPr="00AC57EA">
        <w:rPr>
          <w:sz w:val="20"/>
          <w:szCs w:val="20"/>
          <w:lang w:val="en-US"/>
        </w:rPr>
        <w:t xml:space="preserve"> V.R.P.</w:t>
      </w:r>
      <w:r w:rsidR="00171E27" w:rsidRPr="00AC57EA">
        <w:rPr>
          <w:sz w:val="20"/>
          <w:szCs w:val="20"/>
          <w:lang w:val="en-US"/>
        </w:rPr>
        <w:t xml:space="preserve"> and </w:t>
      </w:r>
      <w:r w:rsidR="00495E03" w:rsidRPr="00AC57EA">
        <w:rPr>
          <w:sz w:val="20"/>
          <w:szCs w:val="20"/>
          <w:lang w:val="en-US"/>
        </w:rPr>
        <w:t>N.R.P.</w:t>
      </w:r>
      <w:r w:rsidR="00EA6349" w:rsidRPr="00AC57EA">
        <w:rPr>
          <w:sz w:val="20"/>
          <w:szCs w:val="20"/>
          <w:lang w:val="en-US"/>
        </w:rPr>
        <w:t>, had a well-founded fear that their rights were unprotected</w:t>
      </w:r>
      <w:r w:rsidR="009C2181" w:rsidRPr="00AC57EA">
        <w:rPr>
          <w:sz w:val="20"/>
          <w:szCs w:val="20"/>
          <w:lang w:val="en-US"/>
        </w:rPr>
        <w:t xml:space="preserve"> and were therefore forced to leave Nicaragua, leading to the violation of their right to freedom of residence </w:t>
      </w:r>
      <w:r w:rsidR="002A5974" w:rsidRPr="00AC57EA">
        <w:rPr>
          <w:sz w:val="20"/>
          <w:szCs w:val="20"/>
          <w:lang w:val="en-US"/>
        </w:rPr>
        <w:t>recognized in</w:t>
      </w:r>
      <w:r w:rsidR="00495E03" w:rsidRPr="00AC57EA">
        <w:rPr>
          <w:sz w:val="20"/>
          <w:szCs w:val="20"/>
          <w:lang w:val="en-US"/>
        </w:rPr>
        <w:t xml:space="preserve"> </w:t>
      </w:r>
      <w:r w:rsidRPr="00AC57EA">
        <w:rPr>
          <w:sz w:val="20"/>
          <w:szCs w:val="20"/>
          <w:lang w:val="en-US"/>
        </w:rPr>
        <w:t>Article</w:t>
      </w:r>
      <w:r w:rsidR="00495E03" w:rsidRPr="00AC57EA">
        <w:rPr>
          <w:sz w:val="20"/>
          <w:szCs w:val="20"/>
          <w:lang w:val="en-US"/>
        </w:rPr>
        <w:t xml:space="preserve"> 2</w:t>
      </w:r>
      <w:r w:rsidR="00171E27" w:rsidRPr="00AC57EA">
        <w:rPr>
          <w:sz w:val="20"/>
          <w:szCs w:val="20"/>
          <w:lang w:val="en-US"/>
        </w:rPr>
        <w:t>2(1)</w:t>
      </w:r>
      <w:r w:rsidRPr="00AC57EA">
        <w:rPr>
          <w:sz w:val="20"/>
          <w:szCs w:val="20"/>
          <w:lang w:val="en-US"/>
        </w:rPr>
        <w:t xml:space="preserve"> of the Convention</w:t>
      </w:r>
      <w:r w:rsidR="00495E03" w:rsidRPr="00AC57EA">
        <w:rPr>
          <w:sz w:val="20"/>
          <w:szCs w:val="20"/>
          <w:lang w:val="en-US"/>
        </w:rPr>
        <w:t xml:space="preserve">. </w:t>
      </w:r>
      <w:r w:rsidR="009C2181" w:rsidRPr="00AC57EA">
        <w:rPr>
          <w:sz w:val="20"/>
          <w:szCs w:val="20"/>
          <w:lang w:val="en-US"/>
        </w:rPr>
        <w:t xml:space="preserve">In addition, it will determine whether the circumstances of the departure from the country resulted in other legal consequences that entailed the violation of the rights to protection of the family to the detriment </w:t>
      </w:r>
      <w:r w:rsidR="002F084B" w:rsidRPr="00AC57EA">
        <w:rPr>
          <w:sz w:val="20"/>
          <w:szCs w:val="20"/>
          <w:lang w:val="en-US"/>
        </w:rPr>
        <w:t>of</w:t>
      </w:r>
      <w:r w:rsidR="00495E03" w:rsidRPr="00AC57EA">
        <w:rPr>
          <w:sz w:val="20"/>
          <w:szCs w:val="20"/>
          <w:lang w:val="en-US"/>
        </w:rPr>
        <w:t xml:space="preserve"> V.P.C., </w:t>
      </w:r>
      <w:r w:rsidR="002E1EE5" w:rsidRPr="00AC57EA">
        <w:rPr>
          <w:sz w:val="20"/>
          <w:szCs w:val="20"/>
          <w:lang w:val="en-US"/>
        </w:rPr>
        <w:t xml:space="preserve">N.R.P., </w:t>
      </w:r>
      <w:r w:rsidR="00495E03" w:rsidRPr="00AC57EA">
        <w:rPr>
          <w:sz w:val="20"/>
          <w:szCs w:val="20"/>
          <w:lang w:val="en-US"/>
        </w:rPr>
        <w:t>H.J.R.P., V.A.R.P.</w:t>
      </w:r>
      <w:r w:rsidR="00171E27" w:rsidRPr="00AC57EA">
        <w:rPr>
          <w:sz w:val="20"/>
          <w:szCs w:val="20"/>
          <w:lang w:val="en-US"/>
        </w:rPr>
        <w:t xml:space="preserve"> and </w:t>
      </w:r>
      <w:r w:rsidR="00495E03" w:rsidRPr="00AC57EA">
        <w:rPr>
          <w:sz w:val="20"/>
          <w:szCs w:val="20"/>
          <w:lang w:val="en-US"/>
        </w:rPr>
        <w:t xml:space="preserve">V.R.P. </w:t>
      </w:r>
      <w:r w:rsidR="009C2181" w:rsidRPr="00AC57EA">
        <w:rPr>
          <w:sz w:val="20"/>
          <w:szCs w:val="20"/>
          <w:lang w:val="en-US"/>
        </w:rPr>
        <w:t xml:space="preserve">and, in particular, to the special measures of protection for </w:t>
      </w:r>
      <w:r w:rsidR="003C0AC1" w:rsidRPr="00AC57EA">
        <w:rPr>
          <w:sz w:val="20"/>
          <w:szCs w:val="20"/>
          <w:lang w:val="en-US"/>
        </w:rPr>
        <w:t>female child</w:t>
      </w:r>
      <w:r w:rsidR="009C2181" w:rsidRPr="00AC57EA">
        <w:rPr>
          <w:sz w:val="20"/>
          <w:szCs w:val="20"/>
          <w:lang w:val="en-US"/>
        </w:rPr>
        <w:t xml:space="preserve">ren, </w:t>
      </w:r>
      <w:r w:rsidR="002F084B" w:rsidRPr="00AC57EA">
        <w:rPr>
          <w:sz w:val="20"/>
          <w:szCs w:val="20"/>
          <w:lang w:val="en-US"/>
        </w:rPr>
        <w:t>to the detriment of</w:t>
      </w:r>
      <w:r w:rsidR="00495E03" w:rsidRPr="00AC57EA">
        <w:rPr>
          <w:sz w:val="20"/>
          <w:szCs w:val="20"/>
          <w:lang w:val="en-US"/>
        </w:rPr>
        <w:t xml:space="preserve"> V.R.P.</w:t>
      </w:r>
    </w:p>
    <w:p w14:paraId="303151E7" w14:textId="77777777" w:rsidR="00495E03" w:rsidRPr="00AC57EA" w:rsidRDefault="00495E03" w:rsidP="0011586B">
      <w:pPr>
        <w:pStyle w:val="Prrafodelista"/>
        <w:spacing w:line="240" w:lineRule="auto"/>
        <w:ind w:left="0"/>
        <w:rPr>
          <w:rFonts w:cs="Arial"/>
          <w:sz w:val="20"/>
          <w:szCs w:val="20"/>
          <w:lang w:val="en-US"/>
        </w:rPr>
      </w:pPr>
    </w:p>
    <w:p w14:paraId="6F1FCF06" w14:textId="71CCC1A5" w:rsidR="0038400D" w:rsidRPr="00AC57EA" w:rsidRDefault="00B7258C" w:rsidP="009C2181">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The Court</w:t>
      </w:r>
      <w:r w:rsidR="0038400D" w:rsidRPr="00AC57EA">
        <w:rPr>
          <w:rFonts w:cs="Arial"/>
          <w:sz w:val="20"/>
          <w:szCs w:val="20"/>
          <w:lang w:val="en-US"/>
        </w:rPr>
        <w:t xml:space="preserve"> </w:t>
      </w:r>
      <w:r w:rsidR="009C2181" w:rsidRPr="00AC57EA">
        <w:rPr>
          <w:rFonts w:cs="Arial"/>
          <w:sz w:val="20"/>
          <w:szCs w:val="20"/>
          <w:lang w:val="en-US"/>
        </w:rPr>
        <w:t>emphasizes that, in the instant case, the alleged human rights violations must be assessed from a gender perspective</w:t>
      </w:r>
      <w:r w:rsidR="0038400D" w:rsidRPr="00AC57EA">
        <w:rPr>
          <w:rFonts w:cs="Arial"/>
          <w:sz w:val="20"/>
          <w:szCs w:val="20"/>
          <w:vertAlign w:val="superscript"/>
          <w:lang w:val="en-US"/>
        </w:rPr>
        <w:footnoteReference w:id="395"/>
      </w:r>
      <w:r w:rsidR="00171E27" w:rsidRPr="00AC57EA">
        <w:rPr>
          <w:rFonts w:cs="Arial"/>
          <w:sz w:val="20"/>
          <w:szCs w:val="20"/>
          <w:lang w:val="en-US"/>
        </w:rPr>
        <w:t xml:space="preserve"> and</w:t>
      </w:r>
      <w:r w:rsidR="009C2181" w:rsidRPr="00AC57EA">
        <w:rPr>
          <w:rFonts w:cs="Arial"/>
          <w:sz w:val="20"/>
          <w:szCs w:val="20"/>
          <w:lang w:val="en-US"/>
        </w:rPr>
        <w:t xml:space="preserve"> observing the paradigm of the comprehensive protection of</w:t>
      </w:r>
      <w:r w:rsidR="00171E27" w:rsidRPr="00AC57EA">
        <w:rPr>
          <w:rFonts w:cs="Arial"/>
          <w:sz w:val="20"/>
          <w:szCs w:val="20"/>
          <w:lang w:val="en-US"/>
        </w:rPr>
        <w:t xml:space="preserve"> </w:t>
      </w:r>
      <w:r w:rsidR="001567A9" w:rsidRPr="00AC57EA">
        <w:rPr>
          <w:rFonts w:cs="Arial"/>
          <w:sz w:val="20"/>
          <w:szCs w:val="20"/>
          <w:lang w:val="en-US"/>
        </w:rPr>
        <w:t>children and adolescents</w:t>
      </w:r>
      <w:r w:rsidR="009C2181" w:rsidRPr="00AC57EA">
        <w:rPr>
          <w:rFonts w:cs="Arial"/>
          <w:sz w:val="20"/>
          <w:szCs w:val="20"/>
          <w:lang w:val="en-US"/>
        </w:rPr>
        <w:t>.</w:t>
      </w:r>
      <w:r w:rsidR="0038400D" w:rsidRPr="00AC57EA">
        <w:rPr>
          <w:rFonts w:cs="Arial"/>
          <w:sz w:val="20"/>
          <w:szCs w:val="20"/>
          <w:vertAlign w:val="superscript"/>
          <w:lang w:val="en-US"/>
        </w:rPr>
        <w:footnoteReference w:id="396"/>
      </w:r>
      <w:r w:rsidR="0038400D" w:rsidRPr="00AC57EA">
        <w:rPr>
          <w:rFonts w:cs="Arial"/>
          <w:sz w:val="20"/>
          <w:szCs w:val="20"/>
          <w:lang w:val="en-US"/>
        </w:rPr>
        <w:t xml:space="preserve"> </w:t>
      </w:r>
      <w:r w:rsidR="009C2181" w:rsidRPr="00AC57EA">
        <w:rPr>
          <w:rFonts w:cs="Arial"/>
          <w:sz w:val="20"/>
          <w:szCs w:val="20"/>
          <w:lang w:val="en-US"/>
        </w:rPr>
        <w:t>Thus, the Court observes that rape causes severe physical and mental harm,</w:t>
      </w:r>
      <w:r w:rsidR="0038400D" w:rsidRPr="00AC57EA">
        <w:rPr>
          <w:rFonts w:cs="Arial"/>
          <w:sz w:val="20"/>
          <w:szCs w:val="20"/>
          <w:vertAlign w:val="superscript"/>
          <w:lang w:val="en-US"/>
        </w:rPr>
        <w:footnoteReference w:id="397"/>
      </w:r>
      <w:r w:rsidR="009C2181" w:rsidRPr="00AC57EA">
        <w:rPr>
          <w:rFonts w:cs="Arial"/>
          <w:sz w:val="20"/>
          <w:szCs w:val="20"/>
          <w:lang w:val="en-US"/>
        </w:rPr>
        <w:t xml:space="preserve"> </w:t>
      </w:r>
      <w:r w:rsidR="00BA5E75" w:rsidRPr="00AC57EA">
        <w:rPr>
          <w:rFonts w:cs="Arial"/>
          <w:sz w:val="20"/>
          <w:szCs w:val="20"/>
          <w:lang w:val="en-US"/>
        </w:rPr>
        <w:t>which</w:t>
      </w:r>
      <w:r w:rsidR="009C2181" w:rsidRPr="00AC57EA">
        <w:rPr>
          <w:rFonts w:cs="Arial"/>
          <w:sz w:val="20"/>
          <w:szCs w:val="20"/>
          <w:lang w:val="en-US"/>
        </w:rPr>
        <w:t xml:space="preserve"> is increased when the victim is a child and, especially when the perpetrator occupies a position of authority over the child. All of this may reasonably cause the victim to have a well-founded fear of lack of protection, comparable to persecution. In this context, even if the rape was committed by a private individual, the State’s international responsibility </w:t>
      </w:r>
      <w:r w:rsidR="00BA5E75" w:rsidRPr="00AC57EA">
        <w:rPr>
          <w:rFonts w:cs="Arial"/>
          <w:sz w:val="20"/>
          <w:szCs w:val="20"/>
          <w:lang w:val="en-US"/>
        </w:rPr>
        <w:t xml:space="preserve">in relation to </w:t>
      </w:r>
      <w:r w:rsidR="009C2181" w:rsidRPr="00AC57EA">
        <w:rPr>
          <w:rFonts w:cs="Arial"/>
          <w:sz w:val="20"/>
          <w:szCs w:val="20"/>
          <w:lang w:val="en-US"/>
        </w:rPr>
        <w:t xml:space="preserve">this situation of well-founded fear of lack of protection, comparable to persecution, may arise to the extent that it </w:t>
      </w:r>
      <w:r w:rsidR="00981115" w:rsidRPr="00AC57EA">
        <w:rPr>
          <w:rFonts w:cs="Arial"/>
          <w:sz w:val="20"/>
          <w:szCs w:val="20"/>
          <w:lang w:val="en-US"/>
        </w:rPr>
        <w:t>knowingly</w:t>
      </w:r>
      <w:r w:rsidR="009C2181" w:rsidRPr="00AC57EA">
        <w:rPr>
          <w:rFonts w:cs="Arial"/>
          <w:sz w:val="20"/>
          <w:szCs w:val="20"/>
          <w:lang w:val="en-US"/>
        </w:rPr>
        <w:t xml:space="preserve"> tolerates the act that caused this, or refuses</w:t>
      </w:r>
      <w:r w:rsidR="00981115" w:rsidRPr="00AC57EA">
        <w:rPr>
          <w:rFonts w:cs="Arial"/>
          <w:sz w:val="20"/>
          <w:szCs w:val="20"/>
          <w:lang w:val="en-US"/>
        </w:rPr>
        <w:t xml:space="preserve"> or proves unable</w:t>
      </w:r>
      <w:r w:rsidR="009C2181" w:rsidRPr="00AC57EA">
        <w:rPr>
          <w:rFonts w:cs="Arial"/>
          <w:sz w:val="20"/>
          <w:szCs w:val="20"/>
          <w:lang w:val="en-US"/>
        </w:rPr>
        <w:t xml:space="preserve"> to </w:t>
      </w:r>
      <w:r w:rsidR="00981115" w:rsidRPr="00AC57EA">
        <w:rPr>
          <w:rFonts w:cs="Arial"/>
          <w:sz w:val="20"/>
          <w:szCs w:val="20"/>
          <w:lang w:val="en-US"/>
        </w:rPr>
        <w:t>offer effective</w:t>
      </w:r>
      <w:r w:rsidR="009C2181" w:rsidRPr="00AC57EA">
        <w:rPr>
          <w:rFonts w:cs="Arial"/>
          <w:sz w:val="20"/>
          <w:szCs w:val="20"/>
          <w:lang w:val="en-US"/>
        </w:rPr>
        <w:t xml:space="preserve"> protection.</w:t>
      </w:r>
      <w:r w:rsidR="0038400D" w:rsidRPr="00AC57EA">
        <w:rPr>
          <w:sz w:val="20"/>
          <w:szCs w:val="20"/>
          <w:vertAlign w:val="superscript"/>
          <w:lang w:val="en-US"/>
        </w:rPr>
        <w:footnoteReference w:id="398"/>
      </w:r>
    </w:p>
    <w:p w14:paraId="32561DA7" w14:textId="77777777" w:rsidR="0038400D" w:rsidRPr="00AC57EA" w:rsidRDefault="0038400D" w:rsidP="0038400D">
      <w:pPr>
        <w:pStyle w:val="Prrafodelista"/>
        <w:widowControl/>
        <w:adjustRightInd/>
        <w:spacing w:line="240" w:lineRule="auto"/>
        <w:ind w:left="0" w:right="49"/>
        <w:textAlignment w:val="auto"/>
        <w:rPr>
          <w:rFonts w:cs="Arial"/>
          <w:sz w:val="20"/>
          <w:szCs w:val="20"/>
          <w:lang w:val="en-US"/>
        </w:rPr>
      </w:pPr>
    </w:p>
    <w:p w14:paraId="2CBC6EE7" w14:textId="47681EF6" w:rsidR="0038400D" w:rsidRPr="00AC57EA" w:rsidRDefault="00981115" w:rsidP="00981115">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 xml:space="preserve">Bearing in mind these </w:t>
      </w:r>
      <w:r w:rsidR="002223C8" w:rsidRPr="00AC57EA">
        <w:rPr>
          <w:rFonts w:cs="Arial"/>
          <w:sz w:val="20"/>
          <w:szCs w:val="20"/>
          <w:lang w:val="en-US"/>
        </w:rPr>
        <w:t>considerations</w:t>
      </w:r>
      <w:r w:rsidR="0038400D" w:rsidRPr="00AC57EA">
        <w:rPr>
          <w:rFonts w:cs="Arial"/>
          <w:sz w:val="20"/>
          <w:szCs w:val="20"/>
          <w:lang w:val="en-US"/>
        </w:rPr>
        <w:t xml:space="preserve">, </w:t>
      </w:r>
      <w:r w:rsidR="00B7258C" w:rsidRPr="00AC57EA">
        <w:rPr>
          <w:rFonts w:cs="Arial"/>
          <w:sz w:val="20"/>
          <w:szCs w:val="20"/>
          <w:lang w:val="en-US"/>
        </w:rPr>
        <w:t>the Court</w:t>
      </w:r>
      <w:r w:rsidR="0038400D" w:rsidRPr="00AC57EA">
        <w:rPr>
          <w:rFonts w:cs="Arial"/>
          <w:sz w:val="20"/>
          <w:szCs w:val="20"/>
          <w:lang w:val="en-US"/>
        </w:rPr>
        <w:t xml:space="preserve"> </w:t>
      </w:r>
      <w:r w:rsidRPr="00AC57EA">
        <w:rPr>
          <w:rFonts w:cs="Arial"/>
          <w:sz w:val="20"/>
          <w:szCs w:val="20"/>
          <w:lang w:val="en-US"/>
        </w:rPr>
        <w:t>bases its analysis on the fact that V.R.P. was a victim of rape perpetrated, as she has indicated on numerous occasions, by her father, and this caused her serious physical harm and had profound psychological effects, and also affected her family environment</w:t>
      </w:r>
      <w:r w:rsidR="0038400D" w:rsidRPr="00AC57EA">
        <w:rPr>
          <w:rFonts w:cs="Arial"/>
          <w:sz w:val="20"/>
          <w:szCs w:val="20"/>
          <w:lang w:val="en-US"/>
        </w:rPr>
        <w:t xml:space="preserve"> (</w:t>
      </w:r>
      <w:r w:rsidR="0038400D" w:rsidRPr="00AC57EA">
        <w:rPr>
          <w:rFonts w:cs="Arial"/>
          <w:i/>
          <w:sz w:val="20"/>
          <w:szCs w:val="20"/>
          <w:lang w:val="en-US"/>
        </w:rPr>
        <w:t xml:space="preserve">supra </w:t>
      </w:r>
      <w:r w:rsidR="006E5BF7" w:rsidRPr="00AC57EA">
        <w:rPr>
          <w:rFonts w:cs="Arial"/>
          <w:sz w:val="20"/>
          <w:szCs w:val="20"/>
          <w:lang w:val="en-US"/>
        </w:rPr>
        <w:t>C</w:t>
      </w:r>
      <w:r w:rsidRPr="00AC57EA">
        <w:rPr>
          <w:rFonts w:cs="Arial"/>
          <w:sz w:val="20"/>
          <w:szCs w:val="20"/>
          <w:lang w:val="en-US"/>
        </w:rPr>
        <w:t>hapter</w:t>
      </w:r>
      <w:r w:rsidR="0038400D" w:rsidRPr="00AC57EA">
        <w:rPr>
          <w:rFonts w:cs="Arial"/>
          <w:sz w:val="20"/>
          <w:szCs w:val="20"/>
          <w:lang w:val="en-US"/>
        </w:rPr>
        <w:t xml:space="preserve"> </w:t>
      </w:r>
      <w:r w:rsidR="006E5BF7" w:rsidRPr="00AC57EA">
        <w:rPr>
          <w:rFonts w:cs="Arial"/>
          <w:sz w:val="20"/>
          <w:szCs w:val="20"/>
          <w:lang w:val="en-US"/>
        </w:rPr>
        <w:t>VIII-3</w:t>
      </w:r>
      <w:r w:rsidR="0038400D" w:rsidRPr="00AC57EA">
        <w:rPr>
          <w:rFonts w:cs="Arial"/>
          <w:sz w:val="20"/>
          <w:szCs w:val="20"/>
          <w:lang w:val="en-US"/>
        </w:rPr>
        <w:t>).</w:t>
      </w:r>
      <w:r w:rsidRPr="00AC57EA">
        <w:rPr>
          <w:rFonts w:cs="Arial"/>
          <w:sz w:val="20"/>
          <w:szCs w:val="20"/>
          <w:lang w:val="en-US"/>
        </w:rPr>
        <w:t xml:space="preserve"> As a result of these facts, her mother filed a complaint of rape. During the processing of the criminal proceedings, the State not only failed to adopt special measures </w:t>
      </w:r>
      <w:r w:rsidR="00BA5E75" w:rsidRPr="00AC57EA">
        <w:rPr>
          <w:rFonts w:cs="Arial"/>
          <w:sz w:val="20"/>
          <w:szCs w:val="20"/>
          <w:lang w:val="en-US"/>
        </w:rPr>
        <w:t>to</w:t>
      </w:r>
      <w:r w:rsidRPr="00AC57EA">
        <w:rPr>
          <w:rFonts w:cs="Arial"/>
          <w:sz w:val="20"/>
          <w:szCs w:val="20"/>
          <w:lang w:val="en-US"/>
        </w:rPr>
        <w:t xml:space="preserve"> protect the rights that corresponded to V.R.P., as a child victim of sexual violence, but also failed to comply with its obligation of enhanced due diligence and, through its public officials, committed acts of institutional violence against V.R.P., which </w:t>
      </w:r>
      <w:r w:rsidR="007E3BA7" w:rsidRPr="00AC57EA">
        <w:rPr>
          <w:rFonts w:cs="Arial"/>
          <w:sz w:val="20"/>
          <w:szCs w:val="20"/>
          <w:lang w:val="en-US"/>
        </w:rPr>
        <w:t>resulted in severe revictimization (</w:t>
      </w:r>
      <w:r w:rsidR="007E3BA7" w:rsidRPr="00AC57EA">
        <w:rPr>
          <w:rFonts w:cs="Arial"/>
          <w:i/>
          <w:sz w:val="20"/>
          <w:szCs w:val="20"/>
          <w:lang w:val="en-US"/>
        </w:rPr>
        <w:t xml:space="preserve">supra </w:t>
      </w:r>
      <w:r w:rsidR="007E3BA7" w:rsidRPr="00AC57EA">
        <w:rPr>
          <w:rFonts w:cs="Arial"/>
          <w:sz w:val="20"/>
          <w:szCs w:val="20"/>
          <w:lang w:val="en-US"/>
        </w:rPr>
        <w:t xml:space="preserve">paras. 291 to 299). The acts of institutional violence included forcing V.R.P. to submit to the first forensic medical examination and to take part in the reconstruction of the events, despite her refusal to do so, by threatening that, if she did not, her aggressor would be set free </w:t>
      </w:r>
      <w:r w:rsidR="006457BC" w:rsidRPr="00AC57EA">
        <w:rPr>
          <w:rFonts w:cs="Arial"/>
          <w:sz w:val="20"/>
          <w:szCs w:val="20"/>
          <w:lang w:val="en-US"/>
        </w:rPr>
        <w:t>(</w:t>
      </w:r>
      <w:r w:rsidR="006457BC" w:rsidRPr="00AC57EA">
        <w:rPr>
          <w:rFonts w:cs="Arial"/>
          <w:i/>
          <w:sz w:val="20"/>
          <w:szCs w:val="20"/>
          <w:lang w:val="en-US"/>
        </w:rPr>
        <w:t>supra</w:t>
      </w:r>
      <w:r w:rsidR="006457BC" w:rsidRPr="00AC57EA">
        <w:rPr>
          <w:rFonts w:cs="Arial"/>
          <w:sz w:val="20"/>
          <w:szCs w:val="20"/>
          <w:lang w:val="en-US"/>
        </w:rPr>
        <w:t xml:space="preserve"> </w:t>
      </w:r>
      <w:r w:rsidR="00171E27" w:rsidRPr="00AC57EA">
        <w:rPr>
          <w:rFonts w:cs="Arial"/>
          <w:sz w:val="20"/>
          <w:szCs w:val="20"/>
          <w:lang w:val="en-US"/>
        </w:rPr>
        <w:t>para.</w:t>
      </w:r>
      <w:r w:rsidR="006457BC" w:rsidRPr="00AC57EA">
        <w:rPr>
          <w:rFonts w:cs="Arial"/>
          <w:sz w:val="20"/>
          <w:szCs w:val="20"/>
          <w:lang w:val="en-US"/>
        </w:rPr>
        <w:t xml:space="preserve"> 295)</w:t>
      </w:r>
      <w:r w:rsidR="0038400D" w:rsidRPr="00AC57EA">
        <w:rPr>
          <w:rFonts w:cs="Arial"/>
          <w:sz w:val="20"/>
          <w:szCs w:val="20"/>
          <w:lang w:val="en-US"/>
        </w:rPr>
        <w:t>.</w:t>
      </w:r>
    </w:p>
    <w:p w14:paraId="53F76896" w14:textId="77777777" w:rsidR="0038400D" w:rsidRPr="00AC57EA" w:rsidRDefault="0038400D" w:rsidP="0038400D">
      <w:pPr>
        <w:pStyle w:val="Prrafodelista"/>
        <w:widowControl/>
        <w:adjustRightInd/>
        <w:spacing w:line="240" w:lineRule="auto"/>
        <w:ind w:left="0" w:right="49"/>
        <w:textAlignment w:val="auto"/>
        <w:rPr>
          <w:rFonts w:cs="Arial"/>
          <w:sz w:val="20"/>
          <w:szCs w:val="20"/>
          <w:lang w:val="en-US"/>
        </w:rPr>
      </w:pPr>
    </w:p>
    <w:p w14:paraId="55742612" w14:textId="7AE4A3CE" w:rsidR="0038400D" w:rsidRPr="00AC57EA" w:rsidRDefault="007E3BA7" w:rsidP="00B61370">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 xml:space="preserve">Furthermore, as shown previously, the acts of sexual violence remained unpunished following the decision of a Jury Court </w:t>
      </w:r>
      <w:r w:rsidR="00BA5E75" w:rsidRPr="00AC57EA">
        <w:rPr>
          <w:rFonts w:cs="Arial"/>
          <w:sz w:val="20"/>
          <w:szCs w:val="20"/>
          <w:lang w:val="en-US"/>
        </w:rPr>
        <w:t xml:space="preserve">that was </w:t>
      </w:r>
      <w:r w:rsidRPr="00AC57EA">
        <w:rPr>
          <w:rFonts w:cs="Arial"/>
          <w:sz w:val="20"/>
          <w:szCs w:val="20"/>
          <w:lang w:val="en-US"/>
        </w:rPr>
        <w:t xml:space="preserve">challenged owing to its lack of objective impartiality </w:t>
      </w:r>
      <w:r w:rsidR="0038400D" w:rsidRPr="00AC57EA">
        <w:rPr>
          <w:rFonts w:cs="Arial"/>
          <w:sz w:val="20"/>
          <w:szCs w:val="20"/>
          <w:lang w:val="en-US"/>
        </w:rPr>
        <w:t>(</w:t>
      </w:r>
      <w:r w:rsidR="0038400D" w:rsidRPr="00AC57EA">
        <w:rPr>
          <w:rFonts w:cs="Arial"/>
          <w:i/>
          <w:sz w:val="20"/>
          <w:szCs w:val="20"/>
          <w:lang w:val="en-US"/>
        </w:rPr>
        <w:t xml:space="preserve">supra </w:t>
      </w:r>
      <w:r w:rsidR="00171E27" w:rsidRPr="00AC57EA">
        <w:rPr>
          <w:rFonts w:cs="Arial"/>
          <w:sz w:val="20"/>
          <w:szCs w:val="20"/>
          <w:lang w:val="en-US"/>
        </w:rPr>
        <w:t>para.</w:t>
      </w:r>
      <w:r w:rsidR="00FA687A" w:rsidRPr="00AC57EA">
        <w:rPr>
          <w:rFonts w:cs="Arial"/>
          <w:sz w:val="20"/>
          <w:szCs w:val="20"/>
          <w:lang w:val="en-US"/>
        </w:rPr>
        <w:t xml:space="preserve"> 253</w:t>
      </w:r>
      <w:r w:rsidR="00907F82" w:rsidRPr="00AC57EA">
        <w:rPr>
          <w:rFonts w:cs="Arial"/>
          <w:sz w:val="20"/>
          <w:szCs w:val="20"/>
          <w:lang w:val="en-US"/>
        </w:rPr>
        <w:t>)</w:t>
      </w:r>
      <w:r w:rsidRPr="00AC57EA">
        <w:rPr>
          <w:rFonts w:cs="Arial"/>
          <w:sz w:val="20"/>
          <w:szCs w:val="20"/>
          <w:lang w:val="en-US"/>
        </w:rPr>
        <w:t>; its non-guilty verdict was a</w:t>
      </w:r>
      <w:r w:rsidR="00BA5E75" w:rsidRPr="00AC57EA">
        <w:rPr>
          <w:rFonts w:cs="Arial"/>
          <w:sz w:val="20"/>
          <w:szCs w:val="20"/>
          <w:lang w:val="en-US"/>
        </w:rPr>
        <w:t>n</w:t>
      </w:r>
      <w:r w:rsidRPr="00AC57EA">
        <w:rPr>
          <w:rFonts w:cs="Arial"/>
          <w:sz w:val="20"/>
          <w:szCs w:val="20"/>
          <w:lang w:val="en-US"/>
        </w:rPr>
        <w:t xml:space="preserve"> unpredictable result considering everything that had taken place during the criminal proceedings</w:t>
      </w:r>
      <w:r w:rsidR="0038400D" w:rsidRPr="00AC57EA">
        <w:rPr>
          <w:rFonts w:cs="Arial"/>
          <w:sz w:val="20"/>
          <w:szCs w:val="20"/>
          <w:lang w:val="en-US"/>
        </w:rPr>
        <w:t xml:space="preserve"> (</w:t>
      </w:r>
      <w:r w:rsidR="0038400D" w:rsidRPr="00AC57EA">
        <w:rPr>
          <w:rFonts w:cs="Arial"/>
          <w:i/>
          <w:sz w:val="20"/>
          <w:szCs w:val="20"/>
          <w:lang w:val="en-US"/>
        </w:rPr>
        <w:t xml:space="preserve">supra </w:t>
      </w:r>
      <w:r w:rsidR="00171E27" w:rsidRPr="00AC57EA">
        <w:rPr>
          <w:rFonts w:cs="Arial"/>
          <w:sz w:val="20"/>
          <w:szCs w:val="20"/>
          <w:lang w:val="en-US"/>
        </w:rPr>
        <w:t>para.</w:t>
      </w:r>
      <w:r w:rsidR="0038400D" w:rsidRPr="00AC57EA">
        <w:rPr>
          <w:rFonts w:cs="Arial"/>
          <w:sz w:val="20"/>
          <w:szCs w:val="20"/>
          <w:lang w:val="en-US"/>
        </w:rPr>
        <w:t xml:space="preserve"> </w:t>
      </w:r>
      <w:r w:rsidR="00FA687A" w:rsidRPr="00AC57EA">
        <w:rPr>
          <w:rFonts w:cs="Arial"/>
          <w:sz w:val="20"/>
          <w:szCs w:val="20"/>
          <w:lang w:val="en-US"/>
        </w:rPr>
        <w:t>269</w:t>
      </w:r>
      <w:r w:rsidR="00907F82" w:rsidRPr="00AC57EA">
        <w:rPr>
          <w:rFonts w:cs="Arial"/>
          <w:sz w:val="20"/>
          <w:szCs w:val="20"/>
          <w:lang w:val="en-US"/>
        </w:rPr>
        <w:t>)</w:t>
      </w:r>
      <w:r w:rsidR="0038400D" w:rsidRPr="00AC57EA">
        <w:rPr>
          <w:rFonts w:cs="Arial"/>
          <w:sz w:val="20"/>
          <w:szCs w:val="20"/>
          <w:lang w:val="en-US"/>
        </w:rPr>
        <w:t xml:space="preserve">. </w:t>
      </w:r>
      <w:r w:rsidRPr="00AC57EA">
        <w:rPr>
          <w:rFonts w:cs="Arial"/>
          <w:sz w:val="20"/>
          <w:szCs w:val="20"/>
          <w:lang w:val="en-US"/>
        </w:rPr>
        <w:t>Following this verdict</w:t>
      </w:r>
      <w:r w:rsidR="0038400D" w:rsidRPr="00AC57EA">
        <w:rPr>
          <w:rFonts w:cs="Arial"/>
          <w:sz w:val="20"/>
          <w:szCs w:val="20"/>
          <w:lang w:val="en-US"/>
        </w:rPr>
        <w:t>, V.P.C.</w:t>
      </w:r>
      <w:r w:rsidR="00171E27" w:rsidRPr="00AC57EA">
        <w:rPr>
          <w:rFonts w:cs="Arial"/>
          <w:sz w:val="20"/>
          <w:szCs w:val="20"/>
          <w:lang w:val="en-US"/>
        </w:rPr>
        <w:t xml:space="preserve"> and </w:t>
      </w:r>
      <w:r w:rsidRPr="00AC57EA">
        <w:rPr>
          <w:rFonts w:cs="Arial"/>
          <w:sz w:val="20"/>
          <w:szCs w:val="20"/>
          <w:lang w:val="en-US"/>
        </w:rPr>
        <w:t xml:space="preserve">her sister filed a criminal complaint against </w:t>
      </w:r>
      <w:r w:rsidR="0038400D" w:rsidRPr="00AC57EA">
        <w:rPr>
          <w:rFonts w:cs="Arial"/>
          <w:sz w:val="20"/>
          <w:szCs w:val="20"/>
          <w:lang w:val="en-US"/>
        </w:rPr>
        <w:t xml:space="preserve">H.R.A. </w:t>
      </w:r>
      <w:r w:rsidRPr="00AC57EA">
        <w:rPr>
          <w:rFonts w:cs="Arial"/>
          <w:sz w:val="20"/>
          <w:szCs w:val="20"/>
          <w:lang w:val="en-US"/>
        </w:rPr>
        <w:t xml:space="preserve">for threats against them </w:t>
      </w:r>
      <w:r w:rsidR="00BA5E75" w:rsidRPr="00AC57EA">
        <w:rPr>
          <w:rFonts w:cs="Arial"/>
          <w:sz w:val="20"/>
          <w:szCs w:val="20"/>
          <w:lang w:val="en-US"/>
        </w:rPr>
        <w:t xml:space="preserve">on </w:t>
      </w:r>
      <w:r w:rsidRPr="00AC57EA">
        <w:rPr>
          <w:rFonts w:cs="Arial"/>
          <w:sz w:val="20"/>
          <w:szCs w:val="20"/>
          <w:lang w:val="en-US"/>
        </w:rPr>
        <w:t xml:space="preserve">the evening of the day on which the acquittal </w:t>
      </w:r>
      <w:r w:rsidR="00BA5E75" w:rsidRPr="00AC57EA">
        <w:rPr>
          <w:rFonts w:cs="Arial"/>
          <w:sz w:val="20"/>
          <w:szCs w:val="20"/>
          <w:lang w:val="en-US"/>
        </w:rPr>
        <w:t>was</w:t>
      </w:r>
      <w:r w:rsidRPr="00AC57EA">
        <w:rPr>
          <w:rFonts w:cs="Arial"/>
          <w:sz w:val="20"/>
          <w:szCs w:val="20"/>
          <w:lang w:val="en-US"/>
        </w:rPr>
        <w:t xml:space="preserve"> </w:t>
      </w:r>
      <w:r w:rsidR="00B61370" w:rsidRPr="00AC57EA">
        <w:rPr>
          <w:rFonts w:cs="Arial"/>
          <w:sz w:val="20"/>
          <w:szCs w:val="20"/>
          <w:lang w:val="en-US"/>
        </w:rPr>
        <w:t xml:space="preserve">issued </w:t>
      </w:r>
      <w:r w:rsidR="00110FC4" w:rsidRPr="00AC57EA">
        <w:rPr>
          <w:rFonts w:cs="Arial"/>
          <w:sz w:val="20"/>
          <w:szCs w:val="20"/>
          <w:lang w:val="en-US"/>
        </w:rPr>
        <w:t>(</w:t>
      </w:r>
      <w:r w:rsidR="00110FC4" w:rsidRPr="00AC57EA">
        <w:rPr>
          <w:rFonts w:cs="Arial"/>
          <w:i/>
          <w:sz w:val="20"/>
          <w:szCs w:val="20"/>
          <w:lang w:val="en-US"/>
        </w:rPr>
        <w:t xml:space="preserve">supra </w:t>
      </w:r>
      <w:r w:rsidR="00171E27" w:rsidRPr="00AC57EA">
        <w:rPr>
          <w:rFonts w:cs="Arial"/>
          <w:sz w:val="20"/>
          <w:szCs w:val="20"/>
          <w:lang w:val="en-US"/>
        </w:rPr>
        <w:t>para.</w:t>
      </w:r>
      <w:r w:rsidR="00110FC4" w:rsidRPr="00AC57EA">
        <w:rPr>
          <w:rFonts w:cs="Arial"/>
          <w:sz w:val="20"/>
          <w:szCs w:val="20"/>
          <w:lang w:val="en-US"/>
        </w:rPr>
        <w:t xml:space="preserve"> </w:t>
      </w:r>
      <w:r w:rsidR="00FA687A" w:rsidRPr="00AC57EA">
        <w:rPr>
          <w:rFonts w:cs="Arial"/>
          <w:sz w:val="20"/>
          <w:szCs w:val="20"/>
          <w:lang w:val="en-US"/>
        </w:rPr>
        <w:t>102</w:t>
      </w:r>
      <w:r w:rsidR="00110FC4" w:rsidRPr="00AC57EA">
        <w:rPr>
          <w:rFonts w:cs="Arial"/>
          <w:sz w:val="20"/>
          <w:szCs w:val="20"/>
          <w:lang w:val="en-US"/>
        </w:rPr>
        <w:t>)</w:t>
      </w:r>
      <w:r w:rsidR="0038400D" w:rsidRPr="00AC57EA">
        <w:rPr>
          <w:rFonts w:cs="Arial"/>
          <w:sz w:val="20"/>
          <w:szCs w:val="20"/>
          <w:lang w:val="en-US"/>
        </w:rPr>
        <w:t xml:space="preserve">. </w:t>
      </w:r>
      <w:r w:rsidR="00B61370" w:rsidRPr="00AC57EA">
        <w:rPr>
          <w:rFonts w:cs="Arial"/>
          <w:sz w:val="20"/>
          <w:szCs w:val="20"/>
          <w:lang w:val="en-US"/>
        </w:rPr>
        <w:t>The authorities’ lack of response to the complaints filed by</w:t>
      </w:r>
      <w:r w:rsidR="0038400D" w:rsidRPr="00AC57EA">
        <w:rPr>
          <w:rFonts w:cs="Arial"/>
          <w:sz w:val="20"/>
          <w:szCs w:val="20"/>
          <w:lang w:val="en-US"/>
        </w:rPr>
        <w:t xml:space="preserve"> V.P.C. </w:t>
      </w:r>
      <w:r w:rsidR="00B61370" w:rsidRPr="00AC57EA">
        <w:rPr>
          <w:rFonts w:cs="Arial"/>
          <w:sz w:val="20"/>
          <w:szCs w:val="20"/>
          <w:lang w:val="en-US"/>
        </w:rPr>
        <w:t xml:space="preserve">due to the acts of institutional violence and other irregularities committed during the criminal proceedings for sexual violence </w:t>
      </w:r>
      <w:r w:rsidR="0038400D" w:rsidRPr="00AC57EA">
        <w:rPr>
          <w:rFonts w:cs="Arial"/>
          <w:sz w:val="20"/>
          <w:szCs w:val="20"/>
          <w:lang w:val="en-US"/>
        </w:rPr>
        <w:t>(</w:t>
      </w:r>
      <w:r w:rsidR="0038400D" w:rsidRPr="00AC57EA">
        <w:rPr>
          <w:rFonts w:cs="Arial"/>
          <w:i/>
          <w:sz w:val="20"/>
          <w:szCs w:val="20"/>
          <w:lang w:val="en-US"/>
        </w:rPr>
        <w:t xml:space="preserve">supra </w:t>
      </w:r>
      <w:r w:rsidR="00171E27" w:rsidRPr="00AC57EA">
        <w:rPr>
          <w:rFonts w:cs="Arial"/>
          <w:sz w:val="20"/>
          <w:szCs w:val="20"/>
          <w:lang w:val="en-US"/>
        </w:rPr>
        <w:t>paras.</w:t>
      </w:r>
      <w:r w:rsidR="00FA687A" w:rsidRPr="00AC57EA">
        <w:rPr>
          <w:rFonts w:cs="Arial"/>
          <w:sz w:val="20"/>
          <w:szCs w:val="20"/>
          <w:lang w:val="en-US"/>
        </w:rPr>
        <w:t xml:space="preserve"> 125 </w:t>
      </w:r>
      <w:r w:rsidR="00B61370" w:rsidRPr="00AC57EA">
        <w:rPr>
          <w:rFonts w:cs="Arial"/>
          <w:sz w:val="20"/>
          <w:szCs w:val="20"/>
          <w:lang w:val="en-US"/>
        </w:rPr>
        <w:t>to</w:t>
      </w:r>
      <w:r w:rsidR="00FA687A" w:rsidRPr="00AC57EA">
        <w:rPr>
          <w:rFonts w:cs="Arial"/>
          <w:sz w:val="20"/>
          <w:szCs w:val="20"/>
          <w:lang w:val="en-US"/>
        </w:rPr>
        <w:t xml:space="preserve"> 132</w:t>
      </w:r>
      <w:r w:rsidR="0038400D" w:rsidRPr="00AC57EA">
        <w:rPr>
          <w:rFonts w:cs="Arial"/>
          <w:sz w:val="20"/>
          <w:szCs w:val="20"/>
          <w:lang w:val="en-US"/>
        </w:rPr>
        <w:t xml:space="preserve">), </w:t>
      </w:r>
      <w:r w:rsidR="00B61370" w:rsidRPr="00AC57EA">
        <w:rPr>
          <w:rFonts w:cs="Arial"/>
          <w:sz w:val="20"/>
          <w:szCs w:val="20"/>
          <w:lang w:val="en-US"/>
        </w:rPr>
        <w:t xml:space="preserve">were </w:t>
      </w:r>
      <w:r w:rsidR="00BA5E75" w:rsidRPr="00AC57EA">
        <w:rPr>
          <w:rFonts w:cs="Arial"/>
          <w:sz w:val="20"/>
          <w:szCs w:val="20"/>
          <w:lang w:val="en-US"/>
        </w:rPr>
        <w:t>exacerbated</w:t>
      </w:r>
      <w:r w:rsidR="00B61370" w:rsidRPr="00AC57EA">
        <w:rPr>
          <w:rFonts w:cs="Arial"/>
          <w:sz w:val="20"/>
          <w:szCs w:val="20"/>
          <w:lang w:val="en-US"/>
        </w:rPr>
        <w:t xml:space="preserve"> by the complaints filed </w:t>
      </w:r>
      <w:r w:rsidR="00BA5E75" w:rsidRPr="00AC57EA">
        <w:rPr>
          <w:rFonts w:cs="Arial"/>
          <w:sz w:val="20"/>
          <w:szCs w:val="20"/>
          <w:lang w:val="en-US"/>
        </w:rPr>
        <w:t xml:space="preserve">by public servants and officials who had intervened in the criminal proceedings for rape </w:t>
      </w:r>
      <w:r w:rsidR="00B61370" w:rsidRPr="00AC57EA">
        <w:rPr>
          <w:rFonts w:cs="Arial"/>
          <w:sz w:val="20"/>
          <w:szCs w:val="20"/>
          <w:lang w:val="en-US"/>
        </w:rPr>
        <w:t xml:space="preserve">against </w:t>
      </w:r>
      <w:r w:rsidR="0038400D" w:rsidRPr="00AC57EA">
        <w:rPr>
          <w:rFonts w:cs="Arial"/>
          <w:sz w:val="20"/>
          <w:szCs w:val="20"/>
          <w:lang w:val="en-US"/>
        </w:rPr>
        <w:t>V.P.C.</w:t>
      </w:r>
      <w:r w:rsidR="00171E27" w:rsidRPr="00AC57EA">
        <w:rPr>
          <w:rFonts w:cs="Arial"/>
          <w:sz w:val="20"/>
          <w:szCs w:val="20"/>
          <w:lang w:val="en-US"/>
        </w:rPr>
        <w:t xml:space="preserve"> and</w:t>
      </w:r>
      <w:r w:rsidR="00B61370" w:rsidRPr="00AC57EA">
        <w:rPr>
          <w:rFonts w:cs="Arial"/>
          <w:sz w:val="20"/>
          <w:szCs w:val="20"/>
          <w:lang w:val="en-US"/>
        </w:rPr>
        <w:t xml:space="preserve"> other family members who had become involved in the search for justice</w:t>
      </w:r>
      <w:r w:rsidR="00FA687A" w:rsidRPr="00AC57EA">
        <w:rPr>
          <w:rFonts w:cs="Arial"/>
          <w:sz w:val="20"/>
          <w:szCs w:val="20"/>
          <w:lang w:val="en-US"/>
        </w:rPr>
        <w:t xml:space="preserve"> (</w:t>
      </w:r>
      <w:r w:rsidR="00FA687A" w:rsidRPr="00AC57EA">
        <w:rPr>
          <w:rFonts w:cs="Arial"/>
          <w:i/>
          <w:sz w:val="20"/>
          <w:szCs w:val="20"/>
          <w:lang w:val="en-US"/>
        </w:rPr>
        <w:t xml:space="preserve">supra </w:t>
      </w:r>
      <w:r w:rsidR="00171E27" w:rsidRPr="00AC57EA">
        <w:rPr>
          <w:rFonts w:cs="Arial"/>
          <w:sz w:val="20"/>
          <w:szCs w:val="20"/>
          <w:lang w:val="en-US"/>
        </w:rPr>
        <w:t>para.</w:t>
      </w:r>
      <w:r w:rsidR="00FA687A" w:rsidRPr="00AC57EA">
        <w:rPr>
          <w:rFonts w:cs="Arial"/>
          <w:sz w:val="20"/>
          <w:szCs w:val="20"/>
          <w:lang w:val="en-US"/>
        </w:rPr>
        <w:t xml:space="preserve"> 133)</w:t>
      </w:r>
      <w:r w:rsidR="00BA5E75" w:rsidRPr="00AC57EA">
        <w:rPr>
          <w:rFonts w:cs="Arial"/>
          <w:sz w:val="20"/>
          <w:szCs w:val="20"/>
          <w:lang w:val="en-US"/>
        </w:rPr>
        <w:t>,</w:t>
      </w:r>
      <w:r w:rsidR="0038400D" w:rsidRPr="00AC57EA">
        <w:rPr>
          <w:rFonts w:cs="Arial"/>
          <w:sz w:val="20"/>
          <w:szCs w:val="20"/>
          <w:lang w:val="en-US"/>
        </w:rPr>
        <w:t xml:space="preserve"> </w:t>
      </w:r>
      <w:r w:rsidR="00B61370" w:rsidRPr="00AC57EA">
        <w:rPr>
          <w:rFonts w:cs="Arial"/>
          <w:sz w:val="20"/>
          <w:szCs w:val="20"/>
          <w:lang w:val="en-US"/>
        </w:rPr>
        <w:t>and also the different subpoenas received as a result of the said criminal proceedings to appear before the Local Criminal Court of Jinotega to testify.</w:t>
      </w:r>
      <w:r w:rsidR="0038400D" w:rsidRPr="00AC57EA">
        <w:rPr>
          <w:rFonts w:cs="Arial"/>
          <w:sz w:val="20"/>
          <w:szCs w:val="20"/>
          <w:vertAlign w:val="superscript"/>
          <w:lang w:val="en-US"/>
        </w:rPr>
        <w:footnoteReference w:id="399"/>
      </w:r>
      <w:r w:rsidR="00B61370" w:rsidRPr="00AC57EA">
        <w:rPr>
          <w:rFonts w:cs="Arial"/>
          <w:sz w:val="20"/>
          <w:szCs w:val="20"/>
          <w:lang w:val="en-US"/>
        </w:rPr>
        <w:t xml:space="preserve"> The social stigmatization suffered by V.R.P. and the members of her family as a result of the judicial proceedings has also been verified, and the effects increased following the acquittal verdict </w:t>
      </w:r>
      <w:r w:rsidR="0038400D" w:rsidRPr="00AC57EA">
        <w:rPr>
          <w:rFonts w:cs="Arial"/>
          <w:sz w:val="20"/>
          <w:szCs w:val="20"/>
          <w:lang w:val="en-US"/>
        </w:rPr>
        <w:t>(</w:t>
      </w:r>
      <w:r w:rsidR="0038400D" w:rsidRPr="00AC57EA">
        <w:rPr>
          <w:rFonts w:cs="Arial"/>
          <w:i/>
          <w:sz w:val="20"/>
          <w:szCs w:val="20"/>
          <w:lang w:val="en-US"/>
        </w:rPr>
        <w:t xml:space="preserve">supra </w:t>
      </w:r>
      <w:r w:rsidR="00B61370" w:rsidRPr="00AC57EA">
        <w:rPr>
          <w:rFonts w:cs="Arial"/>
          <w:sz w:val="20"/>
          <w:szCs w:val="20"/>
          <w:lang w:val="en-US"/>
        </w:rPr>
        <w:t>Chapter</w:t>
      </w:r>
      <w:r w:rsidR="0038400D" w:rsidRPr="00AC57EA">
        <w:rPr>
          <w:rFonts w:cs="Arial"/>
          <w:sz w:val="20"/>
          <w:szCs w:val="20"/>
          <w:lang w:val="en-US"/>
        </w:rPr>
        <w:t xml:space="preserve"> </w:t>
      </w:r>
      <w:r w:rsidR="00FA687A" w:rsidRPr="00AC57EA">
        <w:rPr>
          <w:rFonts w:cs="Arial"/>
          <w:sz w:val="20"/>
          <w:szCs w:val="20"/>
          <w:lang w:val="en-US"/>
        </w:rPr>
        <w:t>VIII-3</w:t>
      </w:r>
      <w:r w:rsidR="0038400D" w:rsidRPr="00AC57EA">
        <w:rPr>
          <w:rFonts w:cs="Arial"/>
          <w:sz w:val="20"/>
          <w:szCs w:val="20"/>
          <w:lang w:val="en-US"/>
        </w:rPr>
        <w:t>).</w:t>
      </w:r>
    </w:p>
    <w:p w14:paraId="63E569BD" w14:textId="77777777" w:rsidR="0038400D" w:rsidRPr="00AC57EA" w:rsidRDefault="0038400D" w:rsidP="0038400D">
      <w:pPr>
        <w:pStyle w:val="Prrafodelista"/>
        <w:widowControl/>
        <w:adjustRightInd/>
        <w:spacing w:line="240" w:lineRule="auto"/>
        <w:ind w:left="0" w:right="49"/>
        <w:textAlignment w:val="auto"/>
        <w:rPr>
          <w:rFonts w:cs="Arial"/>
          <w:sz w:val="20"/>
          <w:szCs w:val="20"/>
          <w:lang w:val="en-US"/>
        </w:rPr>
      </w:pPr>
    </w:p>
    <w:p w14:paraId="73165265" w14:textId="41B95977" w:rsidR="0038400D" w:rsidRPr="00AC57EA" w:rsidRDefault="00B61370" w:rsidP="00B61370">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In this context</w:t>
      </w:r>
      <w:r w:rsidR="0038400D" w:rsidRPr="00AC57EA">
        <w:rPr>
          <w:rFonts w:cs="Arial"/>
          <w:sz w:val="20"/>
          <w:szCs w:val="20"/>
          <w:lang w:val="en-US"/>
        </w:rPr>
        <w:t xml:space="preserve">, </w:t>
      </w:r>
      <w:r w:rsidRPr="00AC57EA">
        <w:rPr>
          <w:rFonts w:cs="Arial"/>
          <w:sz w:val="20"/>
          <w:szCs w:val="20"/>
          <w:lang w:val="en-US"/>
        </w:rPr>
        <w:t>V</w:t>
      </w:r>
      <w:r w:rsidR="0038400D" w:rsidRPr="00AC57EA">
        <w:rPr>
          <w:rFonts w:cs="Arial"/>
          <w:sz w:val="20"/>
          <w:szCs w:val="20"/>
          <w:lang w:val="en-US"/>
        </w:rPr>
        <w:t xml:space="preserve">.P.C. </w:t>
      </w:r>
      <w:r w:rsidRPr="00AC57EA">
        <w:rPr>
          <w:rFonts w:cs="Arial"/>
          <w:sz w:val="20"/>
          <w:szCs w:val="20"/>
          <w:lang w:val="en-US"/>
        </w:rPr>
        <w:t>stated during the hearing before this Court that, when they left Nicaragua, they “were afraid as a result of all the criminal accusations that both the forensic physician and the local judge and a member of the jury had filed against [her</w:t>
      </w:r>
      <w:r w:rsidR="00123E0D" w:rsidRPr="00AC57EA">
        <w:rPr>
          <w:rFonts w:cs="Arial"/>
          <w:sz w:val="20"/>
          <w:szCs w:val="20"/>
          <w:lang w:val="en-US"/>
        </w:rPr>
        <w:t xml:space="preserve">], against [her] mother who was 70 years of age, and against [her] sister, merely because she had accompanied [her] in the trials.” She explained that the fear they felt related to “being punished or persecuted for having </w:t>
      </w:r>
      <w:r w:rsidR="00BA5E75" w:rsidRPr="00AC57EA">
        <w:rPr>
          <w:rFonts w:cs="Arial"/>
          <w:sz w:val="20"/>
          <w:szCs w:val="20"/>
          <w:lang w:val="en-US"/>
        </w:rPr>
        <w:t>persevered</w:t>
      </w:r>
      <w:r w:rsidR="00123E0D" w:rsidRPr="00AC57EA">
        <w:rPr>
          <w:rFonts w:cs="Arial"/>
          <w:sz w:val="20"/>
          <w:szCs w:val="20"/>
          <w:lang w:val="en-US"/>
        </w:rPr>
        <w:t xml:space="preserve"> with all the complaints made against the public officials.” She added that she had no “confidence that, in the State of Nicaragua, everything would be done in a way that respect</w:t>
      </w:r>
      <w:r w:rsidR="00BA5E75" w:rsidRPr="00AC57EA">
        <w:rPr>
          <w:rFonts w:cs="Arial"/>
          <w:sz w:val="20"/>
          <w:szCs w:val="20"/>
          <w:lang w:val="en-US"/>
        </w:rPr>
        <w:t>ed</w:t>
      </w:r>
      <w:r w:rsidR="00123E0D" w:rsidRPr="00AC57EA">
        <w:rPr>
          <w:rFonts w:cs="Arial"/>
          <w:sz w:val="20"/>
          <w:szCs w:val="20"/>
          <w:lang w:val="en-US"/>
        </w:rPr>
        <w:t xml:space="preserve"> [their] rights.</w:t>
      </w:r>
      <w:r w:rsidR="0038400D" w:rsidRPr="00AC57EA">
        <w:rPr>
          <w:rFonts w:cs="Arial"/>
          <w:sz w:val="20"/>
          <w:szCs w:val="20"/>
          <w:lang w:val="en-US"/>
        </w:rPr>
        <w:t>”</w:t>
      </w:r>
      <w:r w:rsidR="0038400D" w:rsidRPr="00AC57EA">
        <w:rPr>
          <w:rFonts w:cs="Arial"/>
          <w:sz w:val="20"/>
          <w:szCs w:val="20"/>
          <w:vertAlign w:val="superscript"/>
          <w:lang w:val="en-US"/>
        </w:rPr>
        <w:footnoteReference w:id="400"/>
      </w:r>
      <w:r w:rsidR="0038400D" w:rsidRPr="00AC57EA">
        <w:rPr>
          <w:rFonts w:cs="Arial"/>
          <w:sz w:val="20"/>
          <w:szCs w:val="20"/>
          <w:lang w:val="en-US"/>
        </w:rPr>
        <w:t xml:space="preserve"> </w:t>
      </w:r>
      <w:r w:rsidR="00123E0D" w:rsidRPr="00AC57EA">
        <w:rPr>
          <w:rFonts w:cs="Arial"/>
          <w:sz w:val="20"/>
          <w:szCs w:val="20"/>
          <w:lang w:val="en-US"/>
        </w:rPr>
        <w:t>Her children,</w:t>
      </w:r>
      <w:r w:rsidR="0038400D" w:rsidRPr="00AC57EA">
        <w:rPr>
          <w:rFonts w:cs="Arial"/>
          <w:sz w:val="20"/>
          <w:szCs w:val="20"/>
          <w:lang w:val="en-US"/>
        </w:rPr>
        <w:t xml:space="preserve"> V.R.P.</w:t>
      </w:r>
      <w:r w:rsidR="0038400D" w:rsidRPr="00AC57EA">
        <w:rPr>
          <w:rFonts w:cs="Arial"/>
          <w:sz w:val="20"/>
          <w:szCs w:val="20"/>
          <w:vertAlign w:val="superscript"/>
          <w:lang w:val="en-US"/>
        </w:rPr>
        <w:footnoteReference w:id="401"/>
      </w:r>
      <w:r w:rsidR="00171E27" w:rsidRPr="00AC57EA">
        <w:rPr>
          <w:rFonts w:cs="Arial"/>
          <w:sz w:val="20"/>
          <w:szCs w:val="20"/>
          <w:lang w:val="en-US"/>
        </w:rPr>
        <w:t xml:space="preserve"> and </w:t>
      </w:r>
      <w:r w:rsidR="0038400D" w:rsidRPr="00AC57EA">
        <w:rPr>
          <w:rFonts w:cs="Arial"/>
          <w:sz w:val="20"/>
          <w:szCs w:val="20"/>
          <w:lang w:val="en-US"/>
        </w:rPr>
        <w:t>H.</w:t>
      </w:r>
      <w:r w:rsidR="0036509B" w:rsidRPr="00AC57EA">
        <w:rPr>
          <w:rFonts w:cs="Arial"/>
          <w:sz w:val="20"/>
          <w:szCs w:val="20"/>
          <w:lang w:val="en-US"/>
        </w:rPr>
        <w:t>J.</w:t>
      </w:r>
      <w:r w:rsidR="0038400D" w:rsidRPr="00AC57EA">
        <w:rPr>
          <w:rFonts w:cs="Arial"/>
          <w:sz w:val="20"/>
          <w:szCs w:val="20"/>
          <w:lang w:val="en-US"/>
        </w:rPr>
        <w:t>R.P.</w:t>
      </w:r>
      <w:r w:rsidR="0038400D" w:rsidRPr="00AC57EA">
        <w:rPr>
          <w:rFonts w:cs="Arial"/>
          <w:sz w:val="20"/>
          <w:szCs w:val="20"/>
          <w:vertAlign w:val="superscript"/>
          <w:lang w:val="en-US"/>
        </w:rPr>
        <w:footnoteReference w:id="402"/>
      </w:r>
      <w:r w:rsidR="0038400D" w:rsidRPr="00AC57EA">
        <w:rPr>
          <w:rFonts w:cs="Arial"/>
          <w:sz w:val="20"/>
          <w:szCs w:val="20"/>
          <w:lang w:val="en-US"/>
        </w:rPr>
        <w:t xml:space="preserve"> </w:t>
      </w:r>
      <w:r w:rsidR="00123E0D" w:rsidRPr="00AC57EA">
        <w:rPr>
          <w:rFonts w:cs="Arial"/>
          <w:sz w:val="20"/>
          <w:szCs w:val="20"/>
          <w:lang w:val="en-US"/>
        </w:rPr>
        <w:t xml:space="preserve">expressed similar sentiments in relation to the circumstances of their departure from </w:t>
      </w:r>
      <w:r w:rsidR="0038400D" w:rsidRPr="00AC57EA">
        <w:rPr>
          <w:rFonts w:cs="Arial"/>
          <w:sz w:val="20"/>
          <w:szCs w:val="20"/>
          <w:lang w:val="en-US"/>
        </w:rPr>
        <w:t>Nicaragua.</w:t>
      </w:r>
    </w:p>
    <w:p w14:paraId="3A63EB9F" w14:textId="77777777" w:rsidR="00C67008" w:rsidRPr="00AC57EA" w:rsidRDefault="00C67008" w:rsidP="00C67008">
      <w:pPr>
        <w:pStyle w:val="Prrafodelista"/>
        <w:widowControl/>
        <w:adjustRightInd/>
        <w:spacing w:line="240" w:lineRule="auto"/>
        <w:ind w:left="0" w:right="49"/>
        <w:textAlignment w:val="auto"/>
        <w:rPr>
          <w:rFonts w:cs="Arial"/>
          <w:sz w:val="20"/>
          <w:szCs w:val="20"/>
          <w:lang w:val="en-US"/>
        </w:rPr>
      </w:pPr>
    </w:p>
    <w:p w14:paraId="26530137" w14:textId="2FA25707" w:rsidR="0038400D" w:rsidRPr="00AC57EA" w:rsidRDefault="00683F32" w:rsidP="00683F32">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 xml:space="preserve">Based on an assessment of all the reasons given, the Court finds it proved that it was owing to a combination of many factors that, taken as a whole, reveal that the fear that the State would not protect their rights if they remained in Nicaragua was reasonable and justified. The State, by the actions taken from the time it became aware of the acts of sexual violence and throughout the proceedings, demonstrated that it was incapable of offering adequate protection to the victims’ rights from a gender perspective and observing the standards for the comprehensive protection of </w:t>
      </w:r>
      <w:r w:rsidR="001567A9" w:rsidRPr="00AC57EA">
        <w:rPr>
          <w:rFonts w:cs="Arial"/>
          <w:sz w:val="20"/>
          <w:szCs w:val="20"/>
          <w:lang w:val="en-US"/>
        </w:rPr>
        <w:t>children and adolescents</w:t>
      </w:r>
      <w:r w:rsidR="0038400D" w:rsidRPr="00AC57EA">
        <w:rPr>
          <w:rFonts w:cs="Arial"/>
          <w:sz w:val="20"/>
          <w:szCs w:val="20"/>
          <w:lang w:val="en-US"/>
        </w:rPr>
        <w:t xml:space="preserve">. </w:t>
      </w:r>
      <w:r w:rsidRPr="00AC57EA">
        <w:rPr>
          <w:rFonts w:cs="Arial"/>
          <w:sz w:val="20"/>
          <w:szCs w:val="20"/>
          <w:lang w:val="en-US"/>
        </w:rPr>
        <w:t>The</w:t>
      </w:r>
      <w:r w:rsidR="00EC52D7" w:rsidRPr="00AC57EA">
        <w:rPr>
          <w:rFonts w:cs="Arial"/>
          <w:sz w:val="20"/>
          <w:szCs w:val="20"/>
          <w:lang w:val="en-US"/>
        </w:rPr>
        <w:t xml:space="preserve"> State</w:t>
      </w:r>
      <w:r w:rsidR="0038400D" w:rsidRPr="00AC57EA">
        <w:rPr>
          <w:rFonts w:cs="Arial"/>
          <w:sz w:val="20"/>
          <w:szCs w:val="20"/>
          <w:lang w:val="en-US"/>
        </w:rPr>
        <w:t xml:space="preserve"> </w:t>
      </w:r>
      <w:r w:rsidRPr="00AC57EA">
        <w:rPr>
          <w:rFonts w:cs="Arial"/>
          <w:sz w:val="20"/>
          <w:szCs w:val="20"/>
          <w:lang w:val="en-US"/>
        </w:rPr>
        <w:t>even became an agent with the ability to increase the violence suffered and its effects in situations in which its protection was required.</w:t>
      </w:r>
    </w:p>
    <w:p w14:paraId="59625546" w14:textId="77777777" w:rsidR="008513A5" w:rsidRPr="00AC57EA" w:rsidRDefault="008513A5" w:rsidP="008513A5">
      <w:pPr>
        <w:pStyle w:val="Prrafodelista"/>
        <w:widowControl/>
        <w:adjustRightInd/>
        <w:spacing w:line="240" w:lineRule="auto"/>
        <w:ind w:left="0" w:right="49"/>
        <w:textAlignment w:val="auto"/>
        <w:rPr>
          <w:rFonts w:cs="Arial"/>
          <w:sz w:val="20"/>
          <w:szCs w:val="20"/>
          <w:lang w:val="en-US"/>
        </w:rPr>
      </w:pPr>
    </w:p>
    <w:p w14:paraId="153BF499" w14:textId="65816D6D" w:rsidR="00EE485B" w:rsidRPr="00AC57EA" w:rsidRDefault="00683F32" w:rsidP="00683F32">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 xml:space="preserve">Regarding the complaints filed by </w:t>
      </w:r>
      <w:r w:rsidR="0038400D" w:rsidRPr="00AC57EA">
        <w:rPr>
          <w:rFonts w:cs="Arial"/>
          <w:sz w:val="20"/>
          <w:szCs w:val="20"/>
          <w:lang w:val="en-US"/>
        </w:rPr>
        <w:t xml:space="preserve">V.P.C., </w:t>
      </w:r>
      <w:r w:rsidR="00B7258C" w:rsidRPr="00AC57EA">
        <w:rPr>
          <w:rFonts w:cs="Arial"/>
          <w:sz w:val="20"/>
          <w:szCs w:val="20"/>
          <w:lang w:val="en-US"/>
        </w:rPr>
        <w:t>the Court</w:t>
      </w:r>
      <w:r w:rsidRPr="00AC57EA">
        <w:rPr>
          <w:rFonts w:cs="Arial"/>
          <w:sz w:val="20"/>
          <w:szCs w:val="20"/>
          <w:lang w:val="en-US"/>
        </w:rPr>
        <w:t xml:space="preserve">’s case law has affirmed that it is evident that a State cannot avoid one individual filing a legal action against another. Thus, it is </w:t>
      </w:r>
      <w:r w:rsidR="00EE485B" w:rsidRPr="00AC57EA">
        <w:rPr>
          <w:rFonts w:cs="Arial"/>
          <w:sz w:val="20"/>
          <w:szCs w:val="20"/>
          <w:lang w:val="en-US"/>
        </w:rPr>
        <w:t xml:space="preserve">clear that the State is not responsible for the fact that these persons filed complaints or instituted civil proceedings against </w:t>
      </w:r>
      <w:r w:rsidR="00E01CC2" w:rsidRPr="00AC57EA">
        <w:rPr>
          <w:rFonts w:cs="Arial"/>
          <w:sz w:val="20"/>
          <w:szCs w:val="20"/>
          <w:lang w:val="en-US"/>
        </w:rPr>
        <w:t>V.P.C.</w:t>
      </w:r>
      <w:r w:rsidR="00EE485B" w:rsidRPr="00AC57EA">
        <w:rPr>
          <w:rFonts w:cs="Arial"/>
          <w:sz w:val="20"/>
          <w:szCs w:val="20"/>
          <w:lang w:val="en-US"/>
        </w:rPr>
        <w:t>, or that the judicial authorities opened the respective cases.</w:t>
      </w:r>
      <w:r w:rsidR="0038400D" w:rsidRPr="00AC57EA">
        <w:rPr>
          <w:rFonts w:cs="Arial"/>
          <w:sz w:val="20"/>
          <w:szCs w:val="20"/>
          <w:vertAlign w:val="superscript"/>
          <w:lang w:val="en-US"/>
        </w:rPr>
        <w:footnoteReference w:id="403"/>
      </w:r>
      <w:r w:rsidR="00EE485B" w:rsidRPr="00AC57EA">
        <w:rPr>
          <w:rFonts w:cs="Arial"/>
          <w:sz w:val="20"/>
          <w:szCs w:val="20"/>
          <w:lang w:val="en-US"/>
        </w:rPr>
        <w:t xml:space="preserve"> However, the Court notes that, in the instant case, there is a close relationship between the complaints filed against V.P.C., and the exercise of a powerful function, such as the public office or public service of the complainants. The public servants and officials who intervened in the criminal proceedings took legal action in response to the complaints and accusations that V.P.C. had filed alleging deficiencies and irregularities in the performance of their respective public functions, which were significant enough to constitute institutional and gender-based violence. Consequently, it is reasonable to understand that, for the victims, the accusations against them constituted a form of intimidation that</w:t>
      </w:r>
      <w:r w:rsidR="002D2CC3" w:rsidRPr="00AC57EA">
        <w:rPr>
          <w:rFonts w:cs="Arial"/>
          <w:sz w:val="20"/>
          <w:szCs w:val="20"/>
          <w:lang w:val="en-US"/>
        </w:rPr>
        <w:t>, in their minds, created a justified fear of judicial harassment.</w:t>
      </w:r>
    </w:p>
    <w:p w14:paraId="1D432BCA" w14:textId="77777777" w:rsidR="00EE3F08" w:rsidRPr="00AC57EA" w:rsidRDefault="00EE3F08" w:rsidP="00EE3F08">
      <w:pPr>
        <w:pStyle w:val="Prrafodelista"/>
        <w:widowControl/>
        <w:adjustRightInd/>
        <w:spacing w:line="240" w:lineRule="auto"/>
        <w:ind w:left="0" w:right="49"/>
        <w:textAlignment w:val="auto"/>
        <w:rPr>
          <w:rFonts w:cs="Arial"/>
          <w:sz w:val="20"/>
          <w:szCs w:val="20"/>
          <w:lang w:val="en-US"/>
        </w:rPr>
      </w:pPr>
    </w:p>
    <w:p w14:paraId="34F3AE57" w14:textId="2684ED85" w:rsidR="0038400D" w:rsidRPr="00AC57EA" w:rsidRDefault="002D2CC3" w:rsidP="002D2CC3">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In addition, diverse reports note the possible influence of political power over the judicial system in Nicaragua and its lack of impartiality and independence and, in particular, over the response of the judicial system to cases of sexual violence against children and adolescents, in relation to the impunity of the perpetrators and the obstruction of the victims’ access to justice.</w:t>
      </w:r>
      <w:r w:rsidR="00EE3F08" w:rsidRPr="00AC57EA">
        <w:rPr>
          <w:sz w:val="20"/>
          <w:szCs w:val="20"/>
          <w:vertAlign w:val="superscript"/>
          <w:lang w:val="en-US"/>
        </w:rPr>
        <w:footnoteReference w:id="404"/>
      </w:r>
      <w:r w:rsidR="00EE3F08" w:rsidRPr="00AC57EA">
        <w:rPr>
          <w:rFonts w:cs="Arial"/>
          <w:sz w:val="20"/>
          <w:szCs w:val="20"/>
          <w:lang w:val="en-US"/>
        </w:rPr>
        <w:t xml:space="preserve"> </w:t>
      </w:r>
      <w:r w:rsidRPr="00AC57EA">
        <w:rPr>
          <w:rFonts w:cs="Arial"/>
          <w:sz w:val="20"/>
          <w:szCs w:val="20"/>
          <w:lang w:val="en-US"/>
        </w:rPr>
        <w:t xml:space="preserve">Therefore, it was reasonable that </w:t>
      </w:r>
      <w:r w:rsidR="0038400D" w:rsidRPr="00AC57EA">
        <w:rPr>
          <w:rFonts w:cs="Arial"/>
          <w:sz w:val="20"/>
          <w:szCs w:val="20"/>
          <w:lang w:val="en-US"/>
        </w:rPr>
        <w:t>V.P.C.</w:t>
      </w:r>
      <w:r w:rsidR="00171E27" w:rsidRPr="00AC57EA">
        <w:rPr>
          <w:rFonts w:cs="Arial"/>
          <w:sz w:val="20"/>
          <w:szCs w:val="20"/>
          <w:lang w:val="en-US"/>
        </w:rPr>
        <w:t xml:space="preserve"> and </w:t>
      </w:r>
      <w:r w:rsidRPr="00AC57EA">
        <w:rPr>
          <w:rFonts w:cs="Arial"/>
          <w:sz w:val="20"/>
          <w:szCs w:val="20"/>
          <w:lang w:val="en-US"/>
        </w:rPr>
        <w:t xml:space="preserve">her daughters did not wish to seek the protection of </w:t>
      </w:r>
      <w:r w:rsidR="00E01CC2" w:rsidRPr="00AC57EA">
        <w:rPr>
          <w:rFonts w:cs="Arial"/>
          <w:sz w:val="20"/>
          <w:szCs w:val="20"/>
          <w:lang w:val="en-US"/>
        </w:rPr>
        <w:t xml:space="preserve">their </w:t>
      </w:r>
      <w:r w:rsidRPr="00AC57EA">
        <w:rPr>
          <w:rFonts w:cs="Arial"/>
          <w:sz w:val="20"/>
          <w:szCs w:val="20"/>
          <w:lang w:val="en-US"/>
        </w:rPr>
        <w:t>country o</w:t>
      </w:r>
      <w:r w:rsidR="00E01CC2" w:rsidRPr="00AC57EA">
        <w:rPr>
          <w:rFonts w:cs="Arial"/>
          <w:sz w:val="20"/>
          <w:szCs w:val="20"/>
          <w:lang w:val="en-US"/>
        </w:rPr>
        <w:t>f</w:t>
      </w:r>
      <w:r w:rsidRPr="00AC57EA">
        <w:rPr>
          <w:rFonts w:cs="Arial"/>
          <w:sz w:val="20"/>
          <w:szCs w:val="20"/>
          <w:lang w:val="en-US"/>
        </w:rPr>
        <w:t xml:space="preserve"> orig</w:t>
      </w:r>
      <w:r w:rsidR="004E3C4C" w:rsidRPr="00AC57EA">
        <w:rPr>
          <w:rFonts w:cs="Arial"/>
          <w:sz w:val="20"/>
          <w:szCs w:val="20"/>
          <w:lang w:val="en-US"/>
        </w:rPr>
        <w:t>i</w:t>
      </w:r>
      <w:r w:rsidRPr="00AC57EA">
        <w:rPr>
          <w:rFonts w:cs="Arial"/>
          <w:sz w:val="20"/>
          <w:szCs w:val="20"/>
          <w:lang w:val="en-US"/>
        </w:rPr>
        <w:t>n owing to distrust in the judicial system in relation to this type of crime.</w:t>
      </w:r>
    </w:p>
    <w:p w14:paraId="0373FDCD" w14:textId="77777777" w:rsidR="000D41E0" w:rsidRPr="00AC57EA" w:rsidRDefault="000D41E0" w:rsidP="000D41E0">
      <w:pPr>
        <w:pStyle w:val="Prrafodelista"/>
        <w:widowControl/>
        <w:adjustRightInd/>
        <w:spacing w:line="240" w:lineRule="auto"/>
        <w:ind w:left="0" w:right="49"/>
        <w:textAlignment w:val="auto"/>
        <w:rPr>
          <w:rFonts w:cs="Arial"/>
          <w:i/>
          <w:sz w:val="20"/>
          <w:szCs w:val="20"/>
          <w:lang w:val="en-US"/>
        </w:rPr>
      </w:pPr>
    </w:p>
    <w:p w14:paraId="6DE54EDC" w14:textId="69827586" w:rsidR="004E3C4C" w:rsidRPr="00AC57EA" w:rsidRDefault="00B7258C" w:rsidP="000D41E0">
      <w:pPr>
        <w:pStyle w:val="Prrafodelista"/>
        <w:widowControl/>
        <w:numPr>
          <w:ilvl w:val="0"/>
          <w:numId w:val="2"/>
        </w:numPr>
        <w:adjustRightInd/>
        <w:spacing w:line="240" w:lineRule="auto"/>
        <w:ind w:left="0" w:right="49" w:firstLine="0"/>
        <w:textAlignment w:val="auto"/>
        <w:rPr>
          <w:rFonts w:cs="Arial"/>
          <w:sz w:val="20"/>
          <w:szCs w:val="20"/>
          <w:lang w:val="en-US"/>
        </w:rPr>
      </w:pPr>
      <w:r w:rsidRPr="00AC57EA">
        <w:rPr>
          <w:rFonts w:cs="Arial"/>
          <w:sz w:val="20"/>
          <w:szCs w:val="20"/>
          <w:lang w:val="en-US"/>
        </w:rPr>
        <w:t>The Court</w:t>
      </w:r>
      <w:r w:rsidR="004E3C4C" w:rsidRPr="00AC57EA">
        <w:rPr>
          <w:rFonts w:cs="Arial"/>
          <w:sz w:val="20"/>
          <w:szCs w:val="20"/>
          <w:lang w:val="en-US"/>
        </w:rPr>
        <w:t xml:space="preserve"> considers that the fact of not wanting to resort to the protection of the State owing to distrust in its effectiveness and, consequently, choosing to reside in another </w:t>
      </w:r>
      <w:r w:rsidR="00E01CC2" w:rsidRPr="00AC57EA">
        <w:rPr>
          <w:rFonts w:cs="Arial"/>
          <w:sz w:val="20"/>
          <w:szCs w:val="20"/>
          <w:lang w:val="en-US"/>
        </w:rPr>
        <w:t>country,</w:t>
      </w:r>
      <w:r w:rsidR="004E3C4C" w:rsidRPr="00AC57EA">
        <w:rPr>
          <w:rFonts w:cs="Arial"/>
          <w:sz w:val="20"/>
          <w:szCs w:val="20"/>
          <w:lang w:val="en-US"/>
        </w:rPr>
        <w:t xml:space="preserve"> may be understood as a decision made by the victims. However, following a full assessment of the circumstances of the case, the Court notes that this decision was forced on them owing to the combination of objective factors </w:t>
      </w:r>
      <w:r w:rsidR="00E01CC2" w:rsidRPr="00AC57EA">
        <w:rPr>
          <w:rFonts w:cs="Arial"/>
          <w:sz w:val="20"/>
          <w:szCs w:val="20"/>
          <w:lang w:val="en-US"/>
        </w:rPr>
        <w:t>resulting in the</w:t>
      </w:r>
      <w:r w:rsidR="004E3C4C" w:rsidRPr="00AC57EA">
        <w:rPr>
          <w:rFonts w:cs="Arial"/>
          <w:sz w:val="20"/>
          <w:szCs w:val="20"/>
          <w:lang w:val="en-US"/>
        </w:rPr>
        <w:t xml:space="preserve"> State’s failure to protect the</w:t>
      </w:r>
      <w:r w:rsidR="00E01CC2" w:rsidRPr="00AC57EA">
        <w:rPr>
          <w:rFonts w:cs="Arial"/>
          <w:sz w:val="20"/>
          <w:szCs w:val="20"/>
          <w:lang w:val="en-US"/>
        </w:rPr>
        <w:t xml:space="preserve"> victims’</w:t>
      </w:r>
      <w:r w:rsidR="004E3C4C" w:rsidRPr="00AC57EA">
        <w:rPr>
          <w:rFonts w:cs="Arial"/>
          <w:sz w:val="20"/>
          <w:szCs w:val="20"/>
          <w:lang w:val="en-US"/>
        </w:rPr>
        <w:t xml:space="preserve"> rights and a well-founded fear of judicial harassment and increased vulnerability to possible attacks on their rights. Accordingly, the State is responsible for having created the conditions that forced the presumed victims to leave their country of origin, which also entailed the separation of the family.</w:t>
      </w:r>
    </w:p>
    <w:p w14:paraId="05550FBB" w14:textId="77777777" w:rsidR="000D41E0" w:rsidRPr="00AC57EA" w:rsidRDefault="000D41E0" w:rsidP="000D41E0">
      <w:pPr>
        <w:pStyle w:val="Prrafodelista"/>
        <w:widowControl/>
        <w:adjustRightInd/>
        <w:spacing w:line="240" w:lineRule="auto"/>
        <w:ind w:left="0" w:right="49"/>
        <w:textAlignment w:val="auto"/>
        <w:rPr>
          <w:rFonts w:cs="Arial"/>
          <w:sz w:val="20"/>
          <w:szCs w:val="20"/>
          <w:lang w:val="en-US"/>
        </w:rPr>
      </w:pPr>
    </w:p>
    <w:p w14:paraId="2B493002" w14:textId="6B3DF8A9" w:rsidR="0038400D" w:rsidRPr="00AC57EA" w:rsidRDefault="004E3C4C" w:rsidP="000D41E0">
      <w:pPr>
        <w:pStyle w:val="Prrafodelista"/>
        <w:widowControl/>
        <w:numPr>
          <w:ilvl w:val="0"/>
          <w:numId w:val="2"/>
        </w:numPr>
        <w:adjustRightInd/>
        <w:spacing w:line="240" w:lineRule="auto"/>
        <w:ind w:left="0" w:right="49" w:firstLine="0"/>
        <w:textAlignment w:val="auto"/>
        <w:rPr>
          <w:rFonts w:cs="Arial"/>
          <w:bCs/>
          <w:sz w:val="20"/>
          <w:szCs w:val="20"/>
          <w:lang w:val="en-US"/>
        </w:rPr>
      </w:pPr>
      <w:r w:rsidRPr="00AC57EA">
        <w:rPr>
          <w:rFonts w:cs="Arial"/>
          <w:bCs/>
          <w:sz w:val="20"/>
          <w:szCs w:val="20"/>
          <w:lang w:val="en-US"/>
        </w:rPr>
        <w:t xml:space="preserve">Therefore, although there is no evidence that the State formally restricted freedom of residence, the Court considers that, in this case, this freedom was limited owing to </w:t>
      </w:r>
      <w:r w:rsidR="00E01CC2" w:rsidRPr="00AC57EA">
        <w:rPr>
          <w:rFonts w:cs="Arial"/>
          <w:bCs/>
          <w:sz w:val="20"/>
          <w:szCs w:val="20"/>
          <w:lang w:val="en-US"/>
        </w:rPr>
        <w:t>V.R.P. and V.P.C.’s</w:t>
      </w:r>
      <w:r w:rsidRPr="00AC57EA">
        <w:rPr>
          <w:rFonts w:cs="Arial"/>
          <w:bCs/>
          <w:sz w:val="20"/>
          <w:szCs w:val="20"/>
          <w:lang w:val="en-US"/>
        </w:rPr>
        <w:t xml:space="preserve"> fear of lack of protection of the</w:t>
      </w:r>
      <w:r w:rsidR="00E01CC2" w:rsidRPr="00AC57EA">
        <w:rPr>
          <w:rFonts w:cs="Arial"/>
          <w:bCs/>
          <w:sz w:val="20"/>
          <w:szCs w:val="20"/>
          <w:lang w:val="en-US"/>
        </w:rPr>
        <w:t>ir</w:t>
      </w:r>
      <w:r w:rsidRPr="00AC57EA">
        <w:rPr>
          <w:rFonts w:cs="Arial"/>
          <w:bCs/>
          <w:sz w:val="20"/>
          <w:szCs w:val="20"/>
          <w:lang w:val="en-US"/>
        </w:rPr>
        <w:t xml:space="preserve"> rights</w:t>
      </w:r>
      <w:r w:rsidR="00E01CC2" w:rsidRPr="00AC57EA">
        <w:rPr>
          <w:rFonts w:cs="Arial"/>
          <w:bCs/>
          <w:sz w:val="20"/>
          <w:szCs w:val="20"/>
          <w:lang w:val="en-US"/>
        </w:rPr>
        <w:t>,</w:t>
      </w:r>
      <w:r w:rsidR="007C395D" w:rsidRPr="00AC57EA">
        <w:rPr>
          <w:rFonts w:cs="Arial"/>
          <w:bCs/>
          <w:sz w:val="20"/>
          <w:szCs w:val="20"/>
          <w:lang w:val="en-US"/>
        </w:rPr>
        <w:t xml:space="preserve"> </w:t>
      </w:r>
      <w:r w:rsidR="009E483F" w:rsidRPr="00AC57EA">
        <w:rPr>
          <w:rFonts w:cs="Arial"/>
          <w:bCs/>
          <w:sz w:val="20"/>
          <w:szCs w:val="20"/>
          <w:lang w:val="en-US"/>
        </w:rPr>
        <w:t>founded on</w:t>
      </w:r>
      <w:r w:rsidRPr="00AC57EA">
        <w:rPr>
          <w:rFonts w:cs="Arial"/>
          <w:bCs/>
          <w:sz w:val="20"/>
          <w:szCs w:val="20"/>
          <w:lang w:val="en-US"/>
        </w:rPr>
        <w:t xml:space="preserve"> objective elements that can be attributed to the responsibility </w:t>
      </w:r>
      <w:r w:rsidR="00EC52D7" w:rsidRPr="00AC57EA">
        <w:rPr>
          <w:rFonts w:cs="Arial"/>
          <w:bCs/>
          <w:sz w:val="20"/>
          <w:szCs w:val="20"/>
          <w:lang w:val="en-US"/>
        </w:rPr>
        <w:t>of the State</w:t>
      </w:r>
      <w:r w:rsidR="00C37341" w:rsidRPr="00AC57EA">
        <w:rPr>
          <w:rFonts w:cs="Arial"/>
          <w:bCs/>
          <w:sz w:val="20"/>
          <w:szCs w:val="20"/>
          <w:lang w:val="en-US"/>
        </w:rPr>
        <w:t>.</w:t>
      </w:r>
    </w:p>
    <w:p w14:paraId="31C3839C" w14:textId="77777777" w:rsidR="0038400D" w:rsidRPr="00AC57EA" w:rsidRDefault="0038400D" w:rsidP="0011586B">
      <w:pPr>
        <w:pStyle w:val="Prrafodelista"/>
        <w:spacing w:line="240" w:lineRule="auto"/>
        <w:ind w:left="0"/>
        <w:rPr>
          <w:rFonts w:cs="Arial"/>
          <w:sz w:val="20"/>
          <w:szCs w:val="20"/>
          <w:lang w:val="en-US"/>
        </w:rPr>
      </w:pPr>
    </w:p>
    <w:p w14:paraId="349CCB11" w14:textId="2401261A" w:rsidR="00495E03" w:rsidRPr="00AC57EA" w:rsidRDefault="004E3C4C" w:rsidP="0011586B">
      <w:pPr>
        <w:pStyle w:val="Prrafodelista"/>
        <w:widowControl/>
        <w:numPr>
          <w:ilvl w:val="0"/>
          <w:numId w:val="2"/>
        </w:numPr>
        <w:adjustRightInd/>
        <w:spacing w:line="240" w:lineRule="auto"/>
        <w:ind w:left="0" w:firstLine="0"/>
        <w:textAlignment w:val="auto"/>
        <w:rPr>
          <w:sz w:val="20"/>
          <w:szCs w:val="20"/>
          <w:lang w:val="en-US"/>
        </w:rPr>
      </w:pPr>
      <w:r w:rsidRPr="00AC57EA">
        <w:rPr>
          <w:sz w:val="20"/>
          <w:szCs w:val="20"/>
          <w:lang w:val="en-US"/>
        </w:rPr>
        <w:t>Consequently, the Court considers that the State</w:t>
      </w:r>
      <w:r w:rsidR="00495E03" w:rsidRPr="00AC57EA">
        <w:rPr>
          <w:sz w:val="20"/>
          <w:szCs w:val="20"/>
          <w:lang w:val="en-US"/>
        </w:rPr>
        <w:t xml:space="preserve"> </w:t>
      </w:r>
      <w:r w:rsidR="002A5974" w:rsidRPr="00AC57EA">
        <w:rPr>
          <w:sz w:val="20"/>
          <w:szCs w:val="20"/>
          <w:lang w:val="en-US"/>
        </w:rPr>
        <w:t>is responsible for the violation of</w:t>
      </w:r>
      <w:r w:rsidR="00D61200" w:rsidRPr="00AC57EA">
        <w:rPr>
          <w:sz w:val="20"/>
          <w:szCs w:val="20"/>
          <w:lang w:val="en-US"/>
        </w:rPr>
        <w:t xml:space="preserve"> </w:t>
      </w:r>
      <w:r w:rsidRPr="00AC57EA">
        <w:rPr>
          <w:sz w:val="20"/>
          <w:szCs w:val="20"/>
          <w:lang w:val="en-US"/>
        </w:rPr>
        <w:t>the</w:t>
      </w:r>
      <w:r w:rsidR="00D61200" w:rsidRPr="00AC57EA">
        <w:rPr>
          <w:sz w:val="20"/>
          <w:szCs w:val="20"/>
          <w:lang w:val="en-US"/>
        </w:rPr>
        <w:t xml:space="preserve"> </w:t>
      </w:r>
      <w:r w:rsidR="00474CE5" w:rsidRPr="00AC57EA">
        <w:rPr>
          <w:sz w:val="20"/>
          <w:szCs w:val="20"/>
          <w:lang w:val="en-US"/>
        </w:rPr>
        <w:t>rights to</w:t>
      </w:r>
      <w:r w:rsidR="006A493B" w:rsidRPr="00AC57EA">
        <w:rPr>
          <w:sz w:val="20"/>
          <w:szCs w:val="20"/>
          <w:lang w:val="en-US"/>
        </w:rPr>
        <w:t xml:space="preserve"> freedom of</w:t>
      </w:r>
      <w:r w:rsidR="00474CE5" w:rsidRPr="00AC57EA">
        <w:rPr>
          <w:sz w:val="20"/>
          <w:szCs w:val="20"/>
          <w:lang w:val="en-US"/>
        </w:rPr>
        <w:t xml:space="preserve"> residence </w:t>
      </w:r>
      <w:r w:rsidR="00171E27" w:rsidRPr="00AC57EA">
        <w:rPr>
          <w:sz w:val="20"/>
          <w:szCs w:val="20"/>
          <w:lang w:val="en-US"/>
        </w:rPr>
        <w:t xml:space="preserve">and </w:t>
      </w:r>
      <w:r w:rsidRPr="00AC57EA">
        <w:rPr>
          <w:sz w:val="20"/>
          <w:szCs w:val="20"/>
          <w:lang w:val="en-US"/>
        </w:rPr>
        <w:t xml:space="preserve">to the </w:t>
      </w:r>
      <w:r w:rsidR="00495E03" w:rsidRPr="00AC57EA">
        <w:rPr>
          <w:sz w:val="20"/>
          <w:szCs w:val="20"/>
          <w:lang w:val="en-US"/>
        </w:rPr>
        <w:t>protec</w:t>
      </w:r>
      <w:r w:rsidRPr="00AC57EA">
        <w:rPr>
          <w:sz w:val="20"/>
          <w:szCs w:val="20"/>
          <w:lang w:val="en-US"/>
        </w:rPr>
        <w:t xml:space="preserve">tion of the family recognized in </w:t>
      </w:r>
      <w:r w:rsidR="00B7258C" w:rsidRPr="00AC57EA">
        <w:rPr>
          <w:sz w:val="20"/>
          <w:szCs w:val="20"/>
          <w:lang w:val="en-US"/>
        </w:rPr>
        <w:t>Articles</w:t>
      </w:r>
      <w:r w:rsidR="00D61200" w:rsidRPr="00AC57EA">
        <w:rPr>
          <w:sz w:val="20"/>
          <w:szCs w:val="20"/>
          <w:lang w:val="en-US"/>
        </w:rPr>
        <w:t xml:space="preserve"> 2</w:t>
      </w:r>
      <w:r w:rsidR="00171E27" w:rsidRPr="00AC57EA">
        <w:rPr>
          <w:sz w:val="20"/>
          <w:szCs w:val="20"/>
          <w:lang w:val="en-US"/>
        </w:rPr>
        <w:t>2(1) and 17(1)</w:t>
      </w:r>
      <w:r w:rsidR="00B7258C" w:rsidRPr="00AC57EA">
        <w:rPr>
          <w:sz w:val="20"/>
          <w:szCs w:val="20"/>
          <w:lang w:val="en-US"/>
        </w:rPr>
        <w:t xml:space="preserve"> of the American Convention</w:t>
      </w:r>
      <w:r w:rsidR="00D61200" w:rsidRPr="00AC57EA">
        <w:rPr>
          <w:sz w:val="20"/>
          <w:szCs w:val="20"/>
          <w:lang w:val="en-US"/>
        </w:rPr>
        <w:t xml:space="preserve">, </w:t>
      </w:r>
      <w:r w:rsidR="00171E27" w:rsidRPr="00AC57EA">
        <w:rPr>
          <w:sz w:val="20"/>
          <w:szCs w:val="20"/>
          <w:lang w:val="en-US"/>
        </w:rPr>
        <w:t xml:space="preserve">in relation to Articles 1(1) and </w:t>
      </w:r>
      <w:r w:rsidR="000D7883" w:rsidRPr="00AC57EA">
        <w:rPr>
          <w:sz w:val="20"/>
          <w:szCs w:val="20"/>
          <w:lang w:val="en-US"/>
        </w:rPr>
        <w:t>19</w:t>
      </w:r>
      <w:r w:rsidR="00D61200" w:rsidRPr="00AC57EA">
        <w:rPr>
          <w:sz w:val="20"/>
          <w:szCs w:val="20"/>
          <w:lang w:val="en-US"/>
        </w:rPr>
        <w:t xml:space="preserve"> </w:t>
      </w:r>
      <w:r w:rsidR="002A5974" w:rsidRPr="00AC57EA">
        <w:rPr>
          <w:sz w:val="20"/>
          <w:szCs w:val="20"/>
          <w:lang w:val="en-US"/>
        </w:rPr>
        <w:t>of this instrument</w:t>
      </w:r>
      <w:r w:rsidR="00495E03" w:rsidRPr="00AC57EA">
        <w:rPr>
          <w:sz w:val="20"/>
          <w:szCs w:val="20"/>
          <w:lang w:val="en-US"/>
        </w:rPr>
        <w:t xml:space="preserve">, </w:t>
      </w:r>
      <w:r w:rsidR="002F084B" w:rsidRPr="00AC57EA">
        <w:rPr>
          <w:sz w:val="20"/>
          <w:szCs w:val="20"/>
          <w:lang w:val="en-US"/>
        </w:rPr>
        <w:t>to the detriment of</w:t>
      </w:r>
      <w:r w:rsidR="00495E03" w:rsidRPr="00AC57EA">
        <w:rPr>
          <w:sz w:val="20"/>
          <w:szCs w:val="20"/>
          <w:lang w:val="en-US"/>
        </w:rPr>
        <w:t xml:space="preserve"> V.R.P. </w:t>
      </w:r>
      <w:r w:rsidR="006A493B" w:rsidRPr="00AC57EA">
        <w:rPr>
          <w:sz w:val="20"/>
          <w:szCs w:val="20"/>
          <w:lang w:val="en-US"/>
        </w:rPr>
        <w:t xml:space="preserve">The State is also </w:t>
      </w:r>
      <w:r w:rsidR="002A5974" w:rsidRPr="00AC57EA">
        <w:rPr>
          <w:sz w:val="20"/>
          <w:szCs w:val="20"/>
          <w:lang w:val="en-US"/>
        </w:rPr>
        <w:t>responsible for the violation of</w:t>
      </w:r>
      <w:r w:rsidR="00D61200" w:rsidRPr="00AC57EA">
        <w:rPr>
          <w:sz w:val="20"/>
          <w:szCs w:val="20"/>
          <w:lang w:val="en-US"/>
        </w:rPr>
        <w:t xml:space="preserve"> </w:t>
      </w:r>
      <w:r w:rsidR="006A493B" w:rsidRPr="00AC57EA">
        <w:rPr>
          <w:sz w:val="20"/>
          <w:szCs w:val="20"/>
          <w:lang w:val="en-US"/>
        </w:rPr>
        <w:t>the</w:t>
      </w:r>
      <w:r w:rsidR="00D61200" w:rsidRPr="00AC57EA">
        <w:rPr>
          <w:sz w:val="20"/>
          <w:szCs w:val="20"/>
          <w:lang w:val="en-US"/>
        </w:rPr>
        <w:t xml:space="preserve"> </w:t>
      </w:r>
      <w:r w:rsidR="00474CE5" w:rsidRPr="00AC57EA">
        <w:rPr>
          <w:sz w:val="20"/>
          <w:szCs w:val="20"/>
          <w:lang w:val="en-US"/>
        </w:rPr>
        <w:t>rights to</w:t>
      </w:r>
      <w:r w:rsidR="006A493B" w:rsidRPr="00AC57EA">
        <w:rPr>
          <w:sz w:val="20"/>
          <w:szCs w:val="20"/>
          <w:lang w:val="en-US"/>
        </w:rPr>
        <w:t xml:space="preserve"> freedom of</w:t>
      </w:r>
      <w:r w:rsidR="00474CE5" w:rsidRPr="00AC57EA">
        <w:rPr>
          <w:sz w:val="20"/>
          <w:szCs w:val="20"/>
          <w:lang w:val="en-US"/>
        </w:rPr>
        <w:t xml:space="preserve"> residence </w:t>
      </w:r>
      <w:r w:rsidR="00171E27" w:rsidRPr="00AC57EA">
        <w:rPr>
          <w:sz w:val="20"/>
          <w:szCs w:val="20"/>
          <w:lang w:val="en-US"/>
        </w:rPr>
        <w:t xml:space="preserve">and </w:t>
      </w:r>
      <w:r w:rsidR="006A493B" w:rsidRPr="00AC57EA">
        <w:rPr>
          <w:sz w:val="20"/>
          <w:szCs w:val="20"/>
          <w:lang w:val="en-US"/>
        </w:rPr>
        <w:t xml:space="preserve">to the protection of the family recognized in </w:t>
      </w:r>
      <w:r w:rsidR="00B7258C" w:rsidRPr="00AC57EA">
        <w:rPr>
          <w:sz w:val="20"/>
          <w:szCs w:val="20"/>
          <w:lang w:val="en-US"/>
        </w:rPr>
        <w:t>Articles</w:t>
      </w:r>
      <w:r w:rsidR="00D61200" w:rsidRPr="00AC57EA">
        <w:rPr>
          <w:sz w:val="20"/>
          <w:szCs w:val="20"/>
          <w:lang w:val="en-US"/>
        </w:rPr>
        <w:t xml:space="preserve"> 2</w:t>
      </w:r>
      <w:r w:rsidR="00171E27" w:rsidRPr="00AC57EA">
        <w:rPr>
          <w:sz w:val="20"/>
          <w:szCs w:val="20"/>
          <w:lang w:val="en-US"/>
        </w:rPr>
        <w:t>2(1) and 17(1)</w:t>
      </w:r>
      <w:r w:rsidR="00B7258C" w:rsidRPr="00AC57EA">
        <w:rPr>
          <w:sz w:val="20"/>
          <w:szCs w:val="20"/>
          <w:lang w:val="en-US"/>
        </w:rPr>
        <w:t xml:space="preserve"> of the American Convention</w:t>
      </w:r>
      <w:r w:rsidR="00D61200" w:rsidRPr="00AC57EA">
        <w:rPr>
          <w:sz w:val="20"/>
          <w:szCs w:val="20"/>
          <w:lang w:val="en-US"/>
        </w:rPr>
        <w:t>,</w:t>
      </w:r>
      <w:r w:rsidR="00495E03" w:rsidRPr="00AC57EA">
        <w:rPr>
          <w:sz w:val="20"/>
          <w:szCs w:val="20"/>
          <w:lang w:val="en-US"/>
        </w:rPr>
        <w:t xml:space="preserve"> </w:t>
      </w:r>
      <w:r w:rsidR="00171E27" w:rsidRPr="00AC57EA">
        <w:rPr>
          <w:sz w:val="20"/>
          <w:szCs w:val="20"/>
          <w:lang w:val="en-US"/>
        </w:rPr>
        <w:t>in relation to Article 1(1)</w:t>
      </w:r>
      <w:r w:rsidR="00D61200" w:rsidRPr="00AC57EA">
        <w:rPr>
          <w:sz w:val="20"/>
          <w:szCs w:val="20"/>
          <w:lang w:val="en-US"/>
        </w:rPr>
        <w:t xml:space="preserve"> </w:t>
      </w:r>
      <w:r w:rsidR="002A5974" w:rsidRPr="00AC57EA">
        <w:rPr>
          <w:sz w:val="20"/>
          <w:szCs w:val="20"/>
          <w:lang w:val="en-US"/>
        </w:rPr>
        <w:t>of this instrument</w:t>
      </w:r>
      <w:r w:rsidR="00495E03" w:rsidRPr="00AC57EA">
        <w:rPr>
          <w:sz w:val="20"/>
          <w:szCs w:val="20"/>
          <w:lang w:val="en-US"/>
        </w:rPr>
        <w:t xml:space="preserve">, </w:t>
      </w:r>
      <w:r w:rsidR="002F084B" w:rsidRPr="00AC57EA">
        <w:rPr>
          <w:sz w:val="20"/>
          <w:szCs w:val="20"/>
          <w:lang w:val="en-US"/>
        </w:rPr>
        <w:t>to the detriment of</w:t>
      </w:r>
      <w:r w:rsidR="00495E03" w:rsidRPr="00AC57EA">
        <w:rPr>
          <w:sz w:val="20"/>
          <w:szCs w:val="20"/>
          <w:lang w:val="en-US"/>
        </w:rPr>
        <w:t xml:space="preserve"> V.P.C.</w:t>
      </w:r>
      <w:r w:rsidR="00171E27" w:rsidRPr="00AC57EA">
        <w:rPr>
          <w:sz w:val="20"/>
          <w:szCs w:val="20"/>
          <w:lang w:val="en-US"/>
        </w:rPr>
        <w:t xml:space="preserve"> and </w:t>
      </w:r>
      <w:r w:rsidR="00495E03" w:rsidRPr="00AC57EA">
        <w:rPr>
          <w:sz w:val="20"/>
          <w:szCs w:val="20"/>
          <w:lang w:val="en-US"/>
        </w:rPr>
        <w:t xml:space="preserve">N.R.P. </w:t>
      </w:r>
      <w:r w:rsidR="006A493B" w:rsidRPr="00AC57EA">
        <w:rPr>
          <w:sz w:val="20"/>
          <w:szCs w:val="20"/>
          <w:lang w:val="en-US"/>
        </w:rPr>
        <w:t xml:space="preserve">Similarly, </w:t>
      </w:r>
      <w:r w:rsidR="00EC52D7" w:rsidRPr="00AC57EA">
        <w:rPr>
          <w:sz w:val="20"/>
          <w:szCs w:val="20"/>
          <w:lang w:val="en-US"/>
        </w:rPr>
        <w:t>the State</w:t>
      </w:r>
      <w:r w:rsidR="00495E03" w:rsidRPr="00AC57EA">
        <w:rPr>
          <w:sz w:val="20"/>
          <w:szCs w:val="20"/>
          <w:lang w:val="en-US"/>
        </w:rPr>
        <w:t xml:space="preserve"> </w:t>
      </w:r>
      <w:r w:rsidR="002A5974" w:rsidRPr="00AC57EA">
        <w:rPr>
          <w:sz w:val="20"/>
          <w:szCs w:val="20"/>
          <w:lang w:val="en-US"/>
        </w:rPr>
        <w:t>is responsible for the violation of the right to protection of the family</w:t>
      </w:r>
      <w:r w:rsidR="00D61200" w:rsidRPr="00AC57EA">
        <w:rPr>
          <w:sz w:val="20"/>
          <w:szCs w:val="20"/>
          <w:lang w:val="en-US"/>
        </w:rPr>
        <w:t xml:space="preserve">, </w:t>
      </w:r>
      <w:r w:rsidR="002A5974" w:rsidRPr="00AC57EA">
        <w:rPr>
          <w:sz w:val="20"/>
          <w:szCs w:val="20"/>
          <w:lang w:val="en-US"/>
        </w:rPr>
        <w:t>recognized in</w:t>
      </w:r>
      <w:r w:rsidR="00D61200" w:rsidRPr="00AC57EA">
        <w:rPr>
          <w:sz w:val="20"/>
          <w:szCs w:val="20"/>
          <w:lang w:val="en-US"/>
        </w:rPr>
        <w:t xml:space="preserve"> </w:t>
      </w:r>
      <w:r w:rsidR="00B7258C" w:rsidRPr="00AC57EA">
        <w:rPr>
          <w:sz w:val="20"/>
          <w:szCs w:val="20"/>
          <w:lang w:val="en-US"/>
        </w:rPr>
        <w:t>Article</w:t>
      </w:r>
      <w:r w:rsidR="00D61200" w:rsidRPr="00AC57EA">
        <w:rPr>
          <w:sz w:val="20"/>
          <w:szCs w:val="20"/>
          <w:lang w:val="en-US"/>
        </w:rPr>
        <w:t xml:space="preserve"> </w:t>
      </w:r>
      <w:r w:rsidR="00171E27" w:rsidRPr="00AC57EA">
        <w:rPr>
          <w:sz w:val="20"/>
          <w:szCs w:val="20"/>
          <w:lang w:val="en-US"/>
        </w:rPr>
        <w:t>17(1)</w:t>
      </w:r>
      <w:r w:rsidR="00B7258C" w:rsidRPr="00AC57EA">
        <w:rPr>
          <w:sz w:val="20"/>
          <w:szCs w:val="20"/>
          <w:lang w:val="en-US"/>
        </w:rPr>
        <w:t xml:space="preserve"> of the American Convention</w:t>
      </w:r>
      <w:r w:rsidR="00D61200" w:rsidRPr="00AC57EA">
        <w:rPr>
          <w:sz w:val="20"/>
          <w:szCs w:val="20"/>
          <w:lang w:val="en-US"/>
        </w:rPr>
        <w:t>,</w:t>
      </w:r>
      <w:r w:rsidR="00495E03" w:rsidRPr="00AC57EA">
        <w:rPr>
          <w:sz w:val="20"/>
          <w:szCs w:val="20"/>
          <w:lang w:val="en-US"/>
        </w:rPr>
        <w:t xml:space="preserve"> </w:t>
      </w:r>
      <w:r w:rsidR="00171E27" w:rsidRPr="00AC57EA">
        <w:rPr>
          <w:sz w:val="20"/>
          <w:szCs w:val="20"/>
          <w:lang w:val="en-US"/>
        </w:rPr>
        <w:t>in relation to Article 1(1)</w:t>
      </w:r>
      <w:r w:rsidR="00495E03" w:rsidRPr="00AC57EA">
        <w:rPr>
          <w:sz w:val="20"/>
          <w:szCs w:val="20"/>
          <w:lang w:val="en-US"/>
        </w:rPr>
        <w:t xml:space="preserve">, </w:t>
      </w:r>
      <w:r w:rsidR="002F084B" w:rsidRPr="00AC57EA">
        <w:rPr>
          <w:sz w:val="20"/>
          <w:szCs w:val="20"/>
          <w:lang w:val="en-US"/>
        </w:rPr>
        <w:t>to the detriment of</w:t>
      </w:r>
      <w:r w:rsidR="00495E03" w:rsidRPr="00AC57EA">
        <w:rPr>
          <w:sz w:val="20"/>
          <w:szCs w:val="20"/>
          <w:lang w:val="en-US"/>
        </w:rPr>
        <w:t xml:space="preserve"> H.J.R.P.</w:t>
      </w:r>
      <w:r w:rsidR="00171E27" w:rsidRPr="00AC57EA">
        <w:rPr>
          <w:sz w:val="20"/>
          <w:szCs w:val="20"/>
          <w:lang w:val="en-US"/>
        </w:rPr>
        <w:t xml:space="preserve"> and </w:t>
      </w:r>
      <w:r w:rsidR="00495E03" w:rsidRPr="00AC57EA">
        <w:rPr>
          <w:sz w:val="20"/>
          <w:szCs w:val="20"/>
          <w:lang w:val="en-US"/>
        </w:rPr>
        <w:t>V.A.R.P.</w:t>
      </w:r>
    </w:p>
    <w:p w14:paraId="7E272B61" w14:textId="77777777" w:rsidR="00B5625C" w:rsidRPr="00AC57EA" w:rsidRDefault="00B5625C" w:rsidP="0011586B">
      <w:pPr>
        <w:tabs>
          <w:tab w:val="left" w:pos="567"/>
        </w:tabs>
        <w:spacing w:line="240" w:lineRule="auto"/>
        <w:rPr>
          <w:rFonts w:eastAsiaTheme="minorHAnsi" w:cstheme="minorBidi"/>
          <w:sz w:val="20"/>
          <w:szCs w:val="20"/>
          <w:lang w:val="en-US" w:eastAsia="en-US"/>
        </w:rPr>
      </w:pPr>
    </w:p>
    <w:p w14:paraId="3FB83122" w14:textId="0257BBBB" w:rsidR="003D24D2" w:rsidRPr="00AC57EA" w:rsidRDefault="006A493B" w:rsidP="006A493B">
      <w:pPr>
        <w:pStyle w:val="Prrafodelista"/>
        <w:widowControl/>
        <w:numPr>
          <w:ilvl w:val="0"/>
          <w:numId w:val="2"/>
        </w:numPr>
        <w:adjustRightInd/>
        <w:spacing w:line="240" w:lineRule="auto"/>
        <w:ind w:left="0" w:firstLine="0"/>
        <w:textAlignment w:val="auto"/>
        <w:rPr>
          <w:rFonts w:eastAsiaTheme="minorHAnsi" w:cstheme="minorBidi"/>
          <w:sz w:val="20"/>
          <w:szCs w:val="20"/>
          <w:lang w:val="en-US" w:eastAsia="en-US"/>
        </w:rPr>
      </w:pPr>
      <w:r w:rsidRPr="00AC57EA">
        <w:rPr>
          <w:rFonts w:eastAsiaTheme="minorHAnsi" w:cstheme="minorBidi"/>
          <w:sz w:val="20"/>
          <w:szCs w:val="20"/>
          <w:lang w:val="en-US" w:eastAsia="en-US"/>
        </w:rPr>
        <w:t>With regard to the</w:t>
      </w:r>
      <w:r w:rsidR="003D24D2" w:rsidRPr="00AC57EA">
        <w:rPr>
          <w:rFonts w:eastAsiaTheme="minorHAnsi" w:cstheme="minorBidi"/>
          <w:sz w:val="20"/>
          <w:szCs w:val="20"/>
          <w:lang w:val="en-US" w:eastAsia="en-US"/>
        </w:rPr>
        <w:t xml:space="preserve"> </w:t>
      </w:r>
      <w:r w:rsidR="009E569E" w:rsidRPr="00AC57EA">
        <w:rPr>
          <w:rFonts w:eastAsiaTheme="minorHAnsi" w:cstheme="minorBidi"/>
          <w:sz w:val="20"/>
          <w:szCs w:val="20"/>
          <w:lang w:val="en-US" w:eastAsia="en-US"/>
        </w:rPr>
        <w:t>arguments</w:t>
      </w:r>
      <w:r w:rsidR="00171E27" w:rsidRPr="00AC57EA">
        <w:rPr>
          <w:rFonts w:eastAsiaTheme="minorHAnsi" w:cstheme="minorBidi"/>
          <w:sz w:val="20"/>
          <w:szCs w:val="20"/>
          <w:lang w:val="en-US" w:eastAsia="en-US"/>
        </w:rPr>
        <w:t xml:space="preserve"> of the representatives</w:t>
      </w:r>
      <w:r w:rsidR="003D24D2"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 xml:space="preserve">that the departure from Nicaragua was due to a supposed religious persecution that violated the principle of non-discrimination and the right to religious freedom, the Court notes that these assertions have not been proved and that there is no evidence that would objectively indicate that the human rights violations </w:t>
      </w:r>
      <w:r w:rsidR="009E483F" w:rsidRPr="00AC57EA">
        <w:rPr>
          <w:rFonts w:eastAsiaTheme="minorHAnsi" w:cstheme="minorBidi"/>
          <w:sz w:val="20"/>
          <w:szCs w:val="20"/>
          <w:lang w:val="en-US" w:eastAsia="en-US"/>
        </w:rPr>
        <w:t xml:space="preserve">declared </w:t>
      </w:r>
      <w:r w:rsidRPr="00AC57EA">
        <w:rPr>
          <w:rFonts w:eastAsiaTheme="minorHAnsi" w:cstheme="minorBidi"/>
          <w:sz w:val="20"/>
          <w:szCs w:val="20"/>
          <w:lang w:val="en-US" w:eastAsia="en-US"/>
        </w:rPr>
        <w:t>in this judgement resulted from the victims’ religion. Therefore, the Court considers that the State</w:t>
      </w:r>
      <w:r w:rsidR="009E483F" w:rsidRPr="00AC57EA">
        <w:rPr>
          <w:rFonts w:eastAsiaTheme="minorHAnsi" w:cstheme="minorBidi"/>
          <w:sz w:val="20"/>
          <w:szCs w:val="20"/>
          <w:lang w:val="en-US" w:eastAsia="en-US"/>
        </w:rPr>
        <w:t xml:space="preserve"> is not responsible</w:t>
      </w:r>
      <w:r w:rsidRPr="00AC57EA">
        <w:rPr>
          <w:rFonts w:eastAsiaTheme="minorHAnsi" w:cstheme="minorBidi"/>
          <w:sz w:val="20"/>
          <w:szCs w:val="20"/>
          <w:lang w:val="en-US" w:eastAsia="en-US"/>
        </w:rPr>
        <w:t xml:space="preserve"> for the alleged violation of the principle of non-discrimination for reasons of religion protected in </w:t>
      </w:r>
      <w:r w:rsidR="00171E27" w:rsidRPr="00AC57EA">
        <w:rPr>
          <w:rFonts w:eastAsiaTheme="minorHAnsi" w:cstheme="minorBidi"/>
          <w:sz w:val="20"/>
          <w:szCs w:val="20"/>
          <w:lang w:val="en-US" w:eastAsia="en-US"/>
        </w:rPr>
        <w:t>Article 1(1)</w:t>
      </w:r>
      <w:r w:rsidR="00B7258C" w:rsidRPr="00AC57EA">
        <w:rPr>
          <w:rFonts w:eastAsiaTheme="minorHAnsi" w:cstheme="minorBidi"/>
          <w:sz w:val="20"/>
          <w:szCs w:val="20"/>
          <w:lang w:val="en-US" w:eastAsia="en-US"/>
        </w:rPr>
        <w:t xml:space="preserve"> of the American Convention</w:t>
      </w:r>
      <w:r w:rsidR="003D24D2"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 xml:space="preserve">or for the alleged violation of the right to religious freedom </w:t>
      </w:r>
      <w:r w:rsidR="002A5974" w:rsidRPr="00AC57EA">
        <w:rPr>
          <w:rFonts w:eastAsiaTheme="minorHAnsi" w:cstheme="minorBidi"/>
          <w:sz w:val="20"/>
          <w:szCs w:val="20"/>
          <w:lang w:val="en-US" w:eastAsia="en-US"/>
        </w:rPr>
        <w:t>recognized in</w:t>
      </w:r>
      <w:r w:rsidR="003D24D2" w:rsidRPr="00AC57EA">
        <w:rPr>
          <w:rFonts w:eastAsiaTheme="minorHAnsi" w:cstheme="minorBidi"/>
          <w:sz w:val="20"/>
          <w:szCs w:val="20"/>
          <w:lang w:val="en-US" w:eastAsia="en-US"/>
        </w:rPr>
        <w:t xml:space="preserve"> </w:t>
      </w:r>
      <w:r w:rsidR="00B7258C" w:rsidRPr="00AC57EA">
        <w:rPr>
          <w:rFonts w:eastAsiaTheme="minorHAnsi" w:cstheme="minorBidi"/>
          <w:sz w:val="20"/>
          <w:szCs w:val="20"/>
          <w:lang w:val="en-US" w:eastAsia="en-US"/>
        </w:rPr>
        <w:t>Article</w:t>
      </w:r>
      <w:r w:rsidR="003D24D2" w:rsidRPr="00AC57EA">
        <w:rPr>
          <w:rFonts w:eastAsiaTheme="minorHAnsi" w:cstheme="minorBidi"/>
          <w:sz w:val="20"/>
          <w:szCs w:val="20"/>
          <w:lang w:val="en-US" w:eastAsia="en-US"/>
        </w:rPr>
        <w:t xml:space="preserve"> 1</w:t>
      </w:r>
      <w:r w:rsidR="00171E27" w:rsidRPr="00AC57EA">
        <w:rPr>
          <w:rFonts w:eastAsiaTheme="minorHAnsi" w:cstheme="minorBidi"/>
          <w:sz w:val="20"/>
          <w:szCs w:val="20"/>
          <w:lang w:val="en-US" w:eastAsia="en-US"/>
        </w:rPr>
        <w:t>2(1)</w:t>
      </w:r>
      <w:r w:rsidR="00B7258C" w:rsidRPr="00AC57EA">
        <w:rPr>
          <w:rFonts w:eastAsiaTheme="minorHAnsi" w:cstheme="minorBidi"/>
          <w:sz w:val="20"/>
          <w:szCs w:val="20"/>
          <w:lang w:val="en-US" w:eastAsia="en-US"/>
        </w:rPr>
        <w:t xml:space="preserve"> of the American Convention</w:t>
      </w:r>
      <w:r w:rsidR="003D24D2" w:rsidRPr="00AC57EA">
        <w:rPr>
          <w:rFonts w:eastAsiaTheme="minorHAnsi" w:cstheme="minorBidi"/>
          <w:sz w:val="20"/>
          <w:szCs w:val="20"/>
          <w:lang w:val="en-US" w:eastAsia="en-US"/>
        </w:rPr>
        <w:t>.</w:t>
      </w:r>
    </w:p>
    <w:p w14:paraId="1841B9CC" w14:textId="77777777" w:rsidR="003D24D2" w:rsidRPr="00AC57EA" w:rsidRDefault="003D24D2" w:rsidP="0011586B">
      <w:pPr>
        <w:tabs>
          <w:tab w:val="left" w:pos="567"/>
        </w:tabs>
        <w:spacing w:line="240" w:lineRule="auto"/>
        <w:rPr>
          <w:rFonts w:eastAsiaTheme="minorHAnsi" w:cstheme="minorBidi"/>
          <w:sz w:val="20"/>
          <w:szCs w:val="20"/>
          <w:lang w:val="en-US" w:eastAsia="en-US"/>
        </w:rPr>
      </w:pPr>
    </w:p>
    <w:p w14:paraId="2C8195C9" w14:textId="522BE69A" w:rsidR="00B5625C" w:rsidRPr="00AC57EA" w:rsidRDefault="00B5625C" w:rsidP="00B5625C">
      <w:pPr>
        <w:keepNext/>
        <w:keepLines/>
        <w:widowControl/>
        <w:tabs>
          <w:tab w:val="left" w:pos="851"/>
        </w:tabs>
        <w:autoSpaceDE w:val="0"/>
        <w:autoSpaceDN w:val="0"/>
        <w:spacing w:line="240" w:lineRule="auto"/>
        <w:jc w:val="center"/>
        <w:textAlignment w:val="auto"/>
        <w:outlineLvl w:val="0"/>
        <w:rPr>
          <w:rFonts w:cs="Arial"/>
          <w:b/>
          <w:bCs/>
          <w:caps/>
          <w:sz w:val="20"/>
          <w:szCs w:val="20"/>
          <w:lang w:val="en-US" w:eastAsia="en-US"/>
        </w:rPr>
      </w:pPr>
      <w:bookmarkStart w:id="144" w:name="_Toc495658690"/>
      <w:bookmarkStart w:id="145" w:name="_Toc514172658"/>
      <w:r w:rsidRPr="00AC57EA">
        <w:rPr>
          <w:rFonts w:cs="Arial"/>
          <w:b/>
          <w:bCs/>
          <w:caps/>
          <w:sz w:val="20"/>
          <w:szCs w:val="20"/>
          <w:lang w:val="en-US" w:eastAsia="en-US"/>
        </w:rPr>
        <w:t>VIII-</w:t>
      </w:r>
      <w:r w:rsidR="0049359E" w:rsidRPr="00AC57EA">
        <w:rPr>
          <w:rFonts w:cs="Arial"/>
          <w:b/>
          <w:bCs/>
          <w:caps/>
          <w:sz w:val="20"/>
          <w:szCs w:val="20"/>
          <w:lang w:val="en-US" w:eastAsia="en-US"/>
        </w:rPr>
        <w:t>3</w:t>
      </w:r>
      <w:r w:rsidRPr="00AC57EA">
        <w:rPr>
          <w:rFonts w:cs="Arial"/>
          <w:b/>
          <w:bCs/>
          <w:caps/>
          <w:sz w:val="20"/>
          <w:szCs w:val="20"/>
          <w:lang w:val="en-US" w:eastAsia="en-US"/>
        </w:rPr>
        <w:br/>
      </w:r>
      <w:r w:rsidR="002A5974" w:rsidRPr="00AC57EA">
        <w:rPr>
          <w:rFonts w:cs="Arial"/>
          <w:b/>
          <w:bCs/>
          <w:caps/>
          <w:sz w:val="20"/>
          <w:szCs w:val="20"/>
          <w:lang w:val="en-US" w:eastAsia="en-US"/>
        </w:rPr>
        <w:t>right to personal integrity</w:t>
      </w:r>
      <w:r w:rsidRPr="00AC57EA">
        <w:rPr>
          <w:rFonts w:eastAsiaTheme="majorEastAsia" w:cs="Arial"/>
          <w:bCs/>
          <w:caps/>
          <w:sz w:val="20"/>
          <w:szCs w:val="20"/>
          <w:vertAlign w:val="superscript"/>
          <w:lang w:val="en-US" w:eastAsia="en-US"/>
        </w:rPr>
        <w:footnoteReference w:id="405"/>
      </w:r>
      <w:r w:rsidRPr="00AC57EA">
        <w:rPr>
          <w:rFonts w:cs="Arial"/>
          <w:b/>
          <w:bCs/>
          <w:caps/>
          <w:sz w:val="20"/>
          <w:szCs w:val="20"/>
          <w:lang w:val="en-US" w:eastAsia="en-US"/>
        </w:rPr>
        <w:t xml:space="preserve"> </w:t>
      </w:r>
      <w:r w:rsidR="00474CE5" w:rsidRPr="00AC57EA">
        <w:rPr>
          <w:rFonts w:cs="Arial"/>
          <w:b/>
          <w:bCs/>
          <w:caps/>
          <w:sz w:val="20"/>
          <w:szCs w:val="20"/>
          <w:lang w:val="en-US" w:eastAsia="en-US"/>
        </w:rPr>
        <w:t>OF THE FAMILY MEMBERS IN RELATION TO THE OBLIGATION TO RESPECT RIGHTS</w:t>
      </w:r>
      <w:bookmarkEnd w:id="144"/>
      <w:bookmarkEnd w:id="145"/>
    </w:p>
    <w:p w14:paraId="025C0F39" w14:textId="77777777" w:rsidR="00B5625C" w:rsidRPr="00AC57EA" w:rsidRDefault="00B5625C" w:rsidP="00B5625C">
      <w:pPr>
        <w:tabs>
          <w:tab w:val="left" w:pos="720"/>
          <w:tab w:val="num" w:pos="1569"/>
        </w:tabs>
        <w:spacing w:line="240" w:lineRule="auto"/>
        <w:ind w:right="-90"/>
        <w:rPr>
          <w:rFonts w:cs="Verdana"/>
          <w:caps/>
          <w:snapToGrid w:val="0"/>
          <w:sz w:val="20"/>
          <w:szCs w:val="20"/>
          <w:lang w:val="en-US"/>
        </w:rPr>
      </w:pPr>
    </w:p>
    <w:p w14:paraId="20C0B0F6" w14:textId="5EA0C8D6" w:rsidR="00B5625C" w:rsidRPr="00AC57EA" w:rsidRDefault="00B5625C" w:rsidP="00B5625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146" w:name="_Toc495658691"/>
      <w:bookmarkStart w:id="147" w:name="_Toc514172659"/>
      <w:r w:rsidRPr="00AC57EA">
        <w:rPr>
          <w:rFonts w:eastAsia="MS Mincho" w:cs="Arial"/>
          <w:b/>
          <w:bCs/>
          <w:i/>
          <w:sz w:val="20"/>
          <w:szCs w:val="20"/>
          <w:lang w:val="en-US" w:eastAsia="en-US"/>
        </w:rPr>
        <w:t>A.</w:t>
      </w:r>
      <w:r w:rsidRPr="00AC57EA">
        <w:rPr>
          <w:rFonts w:eastAsia="MS Mincho" w:cs="Arial"/>
          <w:b/>
          <w:bCs/>
          <w:i/>
          <w:sz w:val="20"/>
          <w:szCs w:val="20"/>
          <w:lang w:val="en-US" w:eastAsia="en-US"/>
        </w:rPr>
        <w:tab/>
      </w:r>
      <w:r w:rsidR="001120B6" w:rsidRPr="00AC57EA">
        <w:rPr>
          <w:rFonts w:eastAsia="MS Mincho" w:cs="Arial"/>
          <w:b/>
          <w:bCs/>
          <w:i/>
          <w:sz w:val="20"/>
          <w:szCs w:val="20"/>
          <w:lang w:val="en-US" w:eastAsia="en-US"/>
        </w:rPr>
        <w:t>Arguments of the parties</w:t>
      </w:r>
      <w:r w:rsidR="00171E27" w:rsidRPr="00AC57EA">
        <w:rPr>
          <w:rFonts w:eastAsia="MS Mincho" w:cs="Arial"/>
          <w:b/>
          <w:bCs/>
          <w:i/>
          <w:sz w:val="20"/>
          <w:szCs w:val="20"/>
          <w:lang w:val="en-US" w:eastAsia="en-US"/>
        </w:rPr>
        <w:t xml:space="preserve"> and </w:t>
      </w:r>
      <w:r w:rsidR="00B7258C" w:rsidRPr="00AC57EA">
        <w:rPr>
          <w:rFonts w:eastAsia="MS Mincho" w:cs="Arial"/>
          <w:b/>
          <w:bCs/>
          <w:i/>
          <w:sz w:val="20"/>
          <w:szCs w:val="20"/>
          <w:lang w:val="en-US" w:eastAsia="en-US"/>
        </w:rPr>
        <w:t>of the Commission</w:t>
      </w:r>
      <w:bookmarkEnd w:id="146"/>
      <w:bookmarkEnd w:id="147"/>
    </w:p>
    <w:p w14:paraId="1B518A24" w14:textId="77777777" w:rsidR="00B5625C" w:rsidRPr="00AC57EA" w:rsidRDefault="00B5625C" w:rsidP="00B5625C">
      <w:pPr>
        <w:tabs>
          <w:tab w:val="left" w:pos="720"/>
          <w:tab w:val="num" w:pos="1569"/>
        </w:tabs>
        <w:spacing w:line="240" w:lineRule="auto"/>
        <w:ind w:right="-90"/>
        <w:rPr>
          <w:rFonts w:cs="Verdana"/>
          <w:caps/>
          <w:snapToGrid w:val="0"/>
          <w:sz w:val="20"/>
          <w:szCs w:val="20"/>
          <w:lang w:val="en-US"/>
        </w:rPr>
      </w:pPr>
    </w:p>
    <w:p w14:paraId="222D371C" w14:textId="141705F0" w:rsidR="00B5625C" w:rsidRPr="00AC57EA" w:rsidRDefault="00B7258C" w:rsidP="006A493B">
      <w:pPr>
        <w:pStyle w:val="Prrafodelista"/>
        <w:widowControl/>
        <w:numPr>
          <w:ilvl w:val="0"/>
          <w:numId w:val="2"/>
        </w:numPr>
        <w:adjustRightInd/>
        <w:spacing w:line="240" w:lineRule="auto"/>
        <w:ind w:left="0" w:firstLine="0"/>
        <w:textAlignment w:val="auto"/>
        <w:rPr>
          <w:rFonts w:eastAsiaTheme="minorHAnsi" w:cstheme="minorBidi"/>
          <w:sz w:val="20"/>
          <w:szCs w:val="20"/>
          <w:lang w:val="en-US" w:eastAsia="en-US"/>
        </w:rPr>
      </w:pPr>
      <w:r w:rsidRPr="00AC57EA">
        <w:rPr>
          <w:rFonts w:eastAsiaTheme="minorHAnsi" w:cstheme="minorBidi"/>
          <w:sz w:val="20"/>
          <w:szCs w:val="20"/>
          <w:lang w:val="en-US" w:eastAsia="en-US"/>
        </w:rPr>
        <w:t xml:space="preserve">The </w:t>
      </w:r>
      <w:r w:rsidRPr="00AC57EA">
        <w:rPr>
          <w:rFonts w:eastAsiaTheme="minorHAnsi" w:cstheme="minorBidi"/>
          <w:b/>
          <w:bCs/>
          <w:i/>
          <w:iCs/>
          <w:sz w:val="20"/>
          <w:szCs w:val="20"/>
          <w:lang w:val="en-US" w:eastAsia="en-US"/>
        </w:rPr>
        <w:t>Commissio</w:t>
      </w:r>
      <w:r w:rsidRPr="00AC57EA">
        <w:rPr>
          <w:rFonts w:eastAsiaTheme="minorHAnsi" w:cstheme="minorBidi"/>
          <w:sz w:val="20"/>
          <w:szCs w:val="20"/>
          <w:lang w:val="en-US" w:eastAsia="en-US"/>
        </w:rPr>
        <w:t>n</w:t>
      </w:r>
      <w:r w:rsidR="00B5625C" w:rsidRPr="00AC57EA">
        <w:rPr>
          <w:rFonts w:eastAsiaTheme="minorHAnsi" w:cstheme="minorBidi"/>
          <w:sz w:val="20"/>
          <w:szCs w:val="20"/>
          <w:lang w:val="en-US" w:eastAsia="en-US"/>
        </w:rPr>
        <w:t xml:space="preserve"> obser</w:t>
      </w:r>
      <w:r w:rsidR="006A493B" w:rsidRPr="00AC57EA">
        <w:rPr>
          <w:rFonts w:eastAsiaTheme="minorHAnsi" w:cstheme="minorBidi"/>
          <w:sz w:val="20"/>
          <w:szCs w:val="20"/>
          <w:lang w:val="en-US" w:eastAsia="en-US"/>
        </w:rPr>
        <w:t>ved</w:t>
      </w:r>
      <w:r w:rsidR="00B5625C" w:rsidRPr="00AC57EA">
        <w:rPr>
          <w:rFonts w:eastAsiaTheme="minorHAnsi" w:cstheme="minorBidi"/>
          <w:sz w:val="20"/>
          <w:szCs w:val="20"/>
          <w:lang w:val="en-US" w:eastAsia="en-US"/>
        </w:rPr>
        <w:t xml:space="preserve"> </w:t>
      </w:r>
      <w:r w:rsidR="006A493B" w:rsidRPr="00AC57EA">
        <w:rPr>
          <w:rFonts w:eastAsiaTheme="minorHAnsi" w:cstheme="minorBidi"/>
          <w:sz w:val="20"/>
          <w:szCs w:val="20"/>
          <w:lang w:val="en-US" w:eastAsia="en-US"/>
        </w:rPr>
        <w:t xml:space="preserve">that the statement made by V.P.C. revealed that her personal integrity and that of her children had been </w:t>
      </w:r>
      <w:r w:rsidR="00B8399D" w:rsidRPr="00AC57EA">
        <w:rPr>
          <w:rFonts w:eastAsiaTheme="minorHAnsi" w:cstheme="minorBidi"/>
          <w:sz w:val="20"/>
          <w:szCs w:val="20"/>
          <w:lang w:val="en-US" w:eastAsia="en-US"/>
        </w:rPr>
        <w:t>harmed</w:t>
      </w:r>
      <w:r w:rsidR="006A493B" w:rsidRPr="00AC57EA">
        <w:rPr>
          <w:rFonts w:eastAsiaTheme="minorHAnsi" w:cstheme="minorBidi"/>
          <w:sz w:val="20"/>
          <w:szCs w:val="20"/>
          <w:lang w:val="en-US" w:eastAsia="en-US"/>
        </w:rPr>
        <w:t xml:space="preserve">. The Commission also stressed </w:t>
      </w:r>
      <w:r w:rsidR="00E5126A" w:rsidRPr="00AC57EA">
        <w:rPr>
          <w:rFonts w:eastAsiaTheme="minorHAnsi" w:cstheme="minorBidi"/>
          <w:sz w:val="20"/>
          <w:szCs w:val="20"/>
          <w:lang w:val="en-US" w:eastAsia="en-US"/>
        </w:rPr>
        <w:t xml:space="preserve">the many obstacles that V.P.C. had faced in her pursuit of justice, and the fact that complaints had been filed against her by two members of the jury that </w:t>
      </w:r>
      <w:r w:rsidR="00B8399D" w:rsidRPr="00AC57EA">
        <w:rPr>
          <w:rFonts w:eastAsiaTheme="minorHAnsi" w:cstheme="minorBidi"/>
          <w:sz w:val="20"/>
          <w:szCs w:val="20"/>
          <w:lang w:val="en-US" w:eastAsia="en-US"/>
        </w:rPr>
        <w:t>had acquitted</w:t>
      </w:r>
      <w:r w:rsidR="00E5126A" w:rsidRPr="00AC57EA">
        <w:rPr>
          <w:rFonts w:eastAsiaTheme="minorHAnsi" w:cstheme="minorBidi"/>
          <w:sz w:val="20"/>
          <w:szCs w:val="20"/>
          <w:lang w:val="en-US" w:eastAsia="en-US"/>
        </w:rPr>
        <w:t xml:space="preserve"> the accused, and by the forensic physician who took part in the first medical examination. The Commission emphasized that, even though th</w:t>
      </w:r>
      <w:r w:rsidR="00B8399D" w:rsidRPr="00AC57EA">
        <w:rPr>
          <w:rFonts w:eastAsiaTheme="minorHAnsi" w:cstheme="minorBidi"/>
          <w:sz w:val="20"/>
          <w:szCs w:val="20"/>
          <w:lang w:val="en-US" w:eastAsia="en-US"/>
        </w:rPr>
        <w:t>o</w:t>
      </w:r>
      <w:r w:rsidR="00E5126A" w:rsidRPr="00AC57EA">
        <w:rPr>
          <w:rFonts w:eastAsiaTheme="minorHAnsi" w:cstheme="minorBidi"/>
          <w:sz w:val="20"/>
          <w:szCs w:val="20"/>
          <w:lang w:val="en-US" w:eastAsia="en-US"/>
        </w:rPr>
        <w:t>se complaints were subsequently closed, they had severe effects on V.P.C. and her family. Also, it noted that, owing to the situation of impunity, V.P.C. and her two daughters decided to leave Nicaragua and request</w:t>
      </w:r>
      <w:r w:rsidR="00B8399D" w:rsidRPr="00AC57EA">
        <w:rPr>
          <w:rFonts w:eastAsiaTheme="minorHAnsi" w:cstheme="minorBidi"/>
          <w:sz w:val="20"/>
          <w:szCs w:val="20"/>
          <w:lang w:val="en-US" w:eastAsia="en-US"/>
        </w:rPr>
        <w:t>ed</w:t>
      </w:r>
      <w:r w:rsidR="00E5126A" w:rsidRPr="00AC57EA">
        <w:rPr>
          <w:rFonts w:eastAsiaTheme="minorHAnsi" w:cstheme="minorBidi"/>
          <w:sz w:val="20"/>
          <w:szCs w:val="20"/>
          <w:lang w:val="en-US" w:eastAsia="en-US"/>
        </w:rPr>
        <w:t xml:space="preserve"> asylum in another country where they currently reside. Based on the foregoing, the Commission considered that there was sufficient evidence to conclude that the rape suffered by V.R.P., its consequences, and the impunity – attributable to the State – in which the case remains, caused emotional suffering to V.P.C. and her daughter and sons, </w:t>
      </w:r>
      <w:r w:rsidR="00AD49AB" w:rsidRPr="00AC57EA">
        <w:rPr>
          <w:rFonts w:eastAsiaTheme="minorHAnsi" w:cstheme="minorBidi"/>
          <w:sz w:val="20"/>
          <w:szCs w:val="20"/>
          <w:lang w:val="en-US" w:eastAsia="en-US"/>
        </w:rPr>
        <w:t xml:space="preserve">N.R.P., </w:t>
      </w:r>
      <w:r w:rsidR="00B5625C" w:rsidRPr="00AC57EA">
        <w:rPr>
          <w:rFonts w:eastAsiaTheme="minorHAnsi" w:cstheme="minorBidi"/>
          <w:sz w:val="20"/>
          <w:szCs w:val="20"/>
          <w:lang w:val="en-US" w:eastAsia="en-US"/>
        </w:rPr>
        <w:t>H.J.R.P.</w:t>
      </w:r>
      <w:r w:rsidR="00171E27" w:rsidRPr="00AC57EA">
        <w:rPr>
          <w:rFonts w:eastAsiaTheme="minorHAnsi" w:cstheme="minorBidi"/>
          <w:sz w:val="20"/>
          <w:szCs w:val="20"/>
          <w:lang w:val="en-US" w:eastAsia="en-US"/>
        </w:rPr>
        <w:t xml:space="preserve"> and </w:t>
      </w:r>
      <w:r w:rsidR="00B5625C" w:rsidRPr="00AC57EA">
        <w:rPr>
          <w:rFonts w:eastAsiaTheme="minorHAnsi" w:cstheme="minorBidi"/>
          <w:sz w:val="20"/>
          <w:szCs w:val="20"/>
          <w:lang w:val="en-US" w:eastAsia="en-US"/>
        </w:rPr>
        <w:t xml:space="preserve">V.A.R.P., </w:t>
      </w:r>
      <w:r w:rsidR="00E5126A" w:rsidRPr="00AC57EA">
        <w:rPr>
          <w:rFonts w:eastAsiaTheme="minorHAnsi" w:cstheme="minorBidi"/>
          <w:sz w:val="20"/>
          <w:szCs w:val="20"/>
          <w:lang w:val="en-US" w:eastAsia="en-US"/>
        </w:rPr>
        <w:t>in violation of the right</w:t>
      </w:r>
      <w:r w:rsidR="00B5625C" w:rsidRPr="00AC57EA">
        <w:rPr>
          <w:rFonts w:eastAsiaTheme="minorHAnsi" w:cstheme="minorBidi"/>
          <w:sz w:val="20"/>
          <w:szCs w:val="20"/>
          <w:lang w:val="en-US" w:eastAsia="en-US"/>
        </w:rPr>
        <w:t xml:space="preserve"> </w:t>
      </w:r>
      <w:r w:rsidR="002A5974" w:rsidRPr="00AC57EA">
        <w:rPr>
          <w:rFonts w:eastAsiaTheme="minorHAnsi" w:cstheme="minorBidi"/>
          <w:sz w:val="20"/>
          <w:szCs w:val="20"/>
          <w:lang w:val="en-US" w:eastAsia="en-US"/>
        </w:rPr>
        <w:t>recognized in</w:t>
      </w:r>
      <w:r w:rsidR="00B5625C"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Article</w:t>
      </w:r>
      <w:r w:rsidR="00B5625C" w:rsidRPr="00AC57EA">
        <w:rPr>
          <w:rFonts w:eastAsiaTheme="minorHAnsi" w:cstheme="minorBidi"/>
          <w:sz w:val="20"/>
          <w:szCs w:val="20"/>
          <w:lang w:val="en-US" w:eastAsia="en-US"/>
        </w:rPr>
        <w:t xml:space="preserve"> </w:t>
      </w:r>
      <w:r w:rsidR="00171E27" w:rsidRPr="00AC57EA">
        <w:rPr>
          <w:rFonts w:eastAsiaTheme="minorHAnsi" w:cstheme="minorBidi"/>
          <w:sz w:val="20"/>
          <w:szCs w:val="20"/>
          <w:lang w:val="en-US" w:eastAsia="en-US"/>
        </w:rPr>
        <w:t>5(1)</w:t>
      </w:r>
      <w:r w:rsidRPr="00AC57EA">
        <w:rPr>
          <w:rFonts w:eastAsiaTheme="minorHAnsi" w:cstheme="minorBidi"/>
          <w:sz w:val="20"/>
          <w:szCs w:val="20"/>
          <w:lang w:val="en-US" w:eastAsia="en-US"/>
        </w:rPr>
        <w:t xml:space="preserve"> of the American Convention</w:t>
      </w:r>
      <w:r w:rsidR="00B5625C" w:rsidRPr="00AC57EA">
        <w:rPr>
          <w:rFonts w:eastAsiaTheme="minorHAnsi" w:cstheme="minorBidi"/>
          <w:sz w:val="20"/>
          <w:szCs w:val="20"/>
          <w:lang w:val="en-US" w:eastAsia="en-US"/>
        </w:rPr>
        <w:t xml:space="preserve">, </w:t>
      </w:r>
      <w:r w:rsidR="00171E27" w:rsidRPr="00AC57EA">
        <w:rPr>
          <w:rFonts w:eastAsiaTheme="minorHAnsi" w:cstheme="minorBidi"/>
          <w:sz w:val="20"/>
          <w:szCs w:val="20"/>
          <w:lang w:val="en-US" w:eastAsia="en-US"/>
        </w:rPr>
        <w:t>in relation to Article 1(1)</w:t>
      </w:r>
      <w:r w:rsidR="00B5625C" w:rsidRPr="00AC57EA">
        <w:rPr>
          <w:rFonts w:eastAsiaTheme="minorHAnsi" w:cstheme="minorBidi"/>
          <w:sz w:val="20"/>
          <w:szCs w:val="20"/>
          <w:lang w:val="en-US" w:eastAsia="en-US"/>
        </w:rPr>
        <w:t xml:space="preserve"> </w:t>
      </w:r>
      <w:r w:rsidR="00171E27" w:rsidRPr="00AC57EA">
        <w:rPr>
          <w:rFonts w:eastAsiaTheme="minorHAnsi" w:cstheme="minorBidi"/>
          <w:sz w:val="20"/>
          <w:szCs w:val="20"/>
          <w:lang w:val="en-US" w:eastAsia="en-US"/>
        </w:rPr>
        <w:t>of this instrument</w:t>
      </w:r>
      <w:r w:rsidR="00B5625C" w:rsidRPr="00AC57EA">
        <w:rPr>
          <w:rFonts w:eastAsiaTheme="minorHAnsi" w:cstheme="minorBidi"/>
          <w:sz w:val="20"/>
          <w:szCs w:val="20"/>
          <w:lang w:val="en-US" w:eastAsia="en-US"/>
        </w:rPr>
        <w:t>.</w:t>
      </w:r>
    </w:p>
    <w:p w14:paraId="3BA7F135" w14:textId="77777777" w:rsidR="00B5625C" w:rsidRPr="00AC57EA" w:rsidRDefault="00B5625C" w:rsidP="00B5625C">
      <w:pPr>
        <w:tabs>
          <w:tab w:val="left" w:pos="567"/>
        </w:tabs>
        <w:spacing w:line="240" w:lineRule="auto"/>
        <w:ind w:left="708"/>
        <w:rPr>
          <w:rFonts w:eastAsiaTheme="minorHAnsi" w:cstheme="minorBidi"/>
          <w:sz w:val="20"/>
          <w:szCs w:val="20"/>
          <w:lang w:val="en-US" w:eastAsia="en-US"/>
        </w:rPr>
      </w:pPr>
    </w:p>
    <w:p w14:paraId="34DD5566" w14:textId="6F82BD34" w:rsidR="00B5625C" w:rsidRPr="00AC57EA" w:rsidRDefault="00171E27" w:rsidP="00E5126A">
      <w:pPr>
        <w:pStyle w:val="Prrafodelista"/>
        <w:widowControl/>
        <w:numPr>
          <w:ilvl w:val="0"/>
          <w:numId w:val="2"/>
        </w:numPr>
        <w:adjustRightInd/>
        <w:spacing w:line="240" w:lineRule="auto"/>
        <w:ind w:left="0" w:firstLine="0"/>
        <w:textAlignment w:val="auto"/>
        <w:rPr>
          <w:rFonts w:eastAsiaTheme="minorHAnsi" w:cstheme="minorBidi"/>
          <w:sz w:val="20"/>
          <w:szCs w:val="20"/>
          <w:lang w:val="en-US" w:eastAsia="en-US"/>
        </w:rPr>
      </w:pPr>
      <w:r w:rsidRPr="00AC57EA">
        <w:rPr>
          <w:rFonts w:eastAsiaTheme="minorHAnsi" w:cstheme="minorBidi"/>
          <w:sz w:val="20"/>
          <w:szCs w:val="20"/>
          <w:lang w:val="en-US" w:eastAsia="en-US"/>
        </w:rPr>
        <w:t xml:space="preserve">The </w:t>
      </w:r>
      <w:r w:rsidRPr="00AC57EA">
        <w:rPr>
          <w:rFonts w:eastAsiaTheme="minorHAnsi" w:cstheme="minorBidi"/>
          <w:b/>
          <w:bCs/>
          <w:i/>
          <w:iCs/>
          <w:sz w:val="20"/>
          <w:szCs w:val="20"/>
          <w:lang w:val="en-US" w:eastAsia="en-US"/>
        </w:rPr>
        <w:t>representatives</w:t>
      </w:r>
      <w:r w:rsidR="00B5625C" w:rsidRPr="00AC57EA">
        <w:rPr>
          <w:rFonts w:eastAsiaTheme="minorHAnsi" w:cstheme="minorBidi"/>
          <w:sz w:val="20"/>
          <w:szCs w:val="20"/>
          <w:lang w:val="en-US" w:eastAsia="en-US"/>
        </w:rPr>
        <w:t xml:space="preserve"> </w:t>
      </w:r>
      <w:r w:rsidR="00E5126A" w:rsidRPr="00AC57EA">
        <w:rPr>
          <w:rFonts w:eastAsiaTheme="minorHAnsi" w:cstheme="minorBidi"/>
          <w:sz w:val="20"/>
          <w:szCs w:val="20"/>
          <w:lang w:val="en-US" w:eastAsia="en-US"/>
        </w:rPr>
        <w:t xml:space="preserve">indicated that, according to V.P.C., </w:t>
      </w:r>
      <w:r w:rsidR="00FC61A4" w:rsidRPr="00AC57EA">
        <w:rPr>
          <w:rFonts w:eastAsiaTheme="minorHAnsi" w:cstheme="minorBidi"/>
          <w:sz w:val="20"/>
          <w:szCs w:val="20"/>
          <w:lang w:val="en-US" w:eastAsia="en-US"/>
        </w:rPr>
        <w:t>on December 6,</w:t>
      </w:r>
      <w:r w:rsidR="00B5625C" w:rsidRPr="00AC57EA">
        <w:rPr>
          <w:rFonts w:eastAsiaTheme="minorHAnsi" w:cstheme="minorBidi"/>
          <w:sz w:val="20"/>
          <w:szCs w:val="20"/>
          <w:lang w:val="en-US" w:eastAsia="en-US"/>
        </w:rPr>
        <w:t xml:space="preserve"> 2002</w:t>
      </w:r>
      <w:r w:rsidR="00E5126A" w:rsidRPr="00AC57EA">
        <w:rPr>
          <w:rFonts w:eastAsiaTheme="minorHAnsi" w:cstheme="minorBidi"/>
          <w:sz w:val="20"/>
          <w:szCs w:val="20"/>
          <w:lang w:val="en-US" w:eastAsia="en-US"/>
        </w:rPr>
        <w:t xml:space="preserve">, she had to leave and flee Nicaragua with her two daughters “owing to the persecution of the judiciary </w:t>
      </w:r>
      <w:r w:rsidR="00E5126A" w:rsidRPr="00AC57EA">
        <w:rPr>
          <w:rFonts w:eastAsia="MS Mincho" w:cs="Arial"/>
          <w:sz w:val="20"/>
          <w:szCs w:val="20"/>
          <w:lang w:val="en-US"/>
        </w:rPr>
        <w:t xml:space="preserve">politicized against her, </w:t>
      </w:r>
      <w:r w:rsidR="00B8399D" w:rsidRPr="00AC57EA">
        <w:rPr>
          <w:rFonts w:eastAsia="MS Mincho" w:cs="Arial"/>
          <w:sz w:val="20"/>
          <w:szCs w:val="20"/>
          <w:lang w:val="en-US"/>
        </w:rPr>
        <w:t xml:space="preserve">and </w:t>
      </w:r>
      <w:r w:rsidR="00E5126A" w:rsidRPr="00AC57EA">
        <w:rPr>
          <w:rFonts w:eastAsia="MS Mincho" w:cs="Arial"/>
          <w:sz w:val="20"/>
          <w:szCs w:val="20"/>
          <w:lang w:val="en-US"/>
        </w:rPr>
        <w:t>religious persecution because she was a Mormon.”</w:t>
      </w:r>
      <w:r w:rsidR="005F5071" w:rsidRPr="00AC57EA">
        <w:rPr>
          <w:rFonts w:eastAsia="MS Mincho" w:cs="Arial"/>
          <w:sz w:val="20"/>
          <w:szCs w:val="20"/>
          <w:lang w:val="en-US"/>
        </w:rPr>
        <w:t xml:space="preserve"> They noted that the V.R.P.’s mother and siblings experienced mental and moral suffering due to the anguish, pain, helplessness, stigmatization and fear resulting from th</w:t>
      </w:r>
      <w:r w:rsidR="00B8399D" w:rsidRPr="00AC57EA">
        <w:rPr>
          <w:rFonts w:eastAsia="MS Mincho" w:cs="Arial"/>
          <w:sz w:val="20"/>
          <w:szCs w:val="20"/>
          <w:lang w:val="en-US"/>
        </w:rPr>
        <w:t>is</w:t>
      </w:r>
      <w:r w:rsidR="005F5071" w:rsidRPr="00AC57EA">
        <w:rPr>
          <w:rFonts w:eastAsia="MS Mincho" w:cs="Arial"/>
          <w:sz w:val="20"/>
          <w:szCs w:val="20"/>
          <w:lang w:val="en-US"/>
        </w:rPr>
        <w:t xml:space="preserve"> persecution of V.P.C., the break-up of the family, and</w:t>
      </w:r>
      <w:r w:rsidR="00B8399D" w:rsidRPr="00AC57EA">
        <w:rPr>
          <w:rFonts w:eastAsia="MS Mincho" w:cs="Arial"/>
          <w:sz w:val="20"/>
          <w:szCs w:val="20"/>
          <w:lang w:val="en-US"/>
        </w:rPr>
        <w:t xml:space="preserve"> </w:t>
      </w:r>
      <w:r w:rsidR="005F5071" w:rsidRPr="00AC57EA">
        <w:rPr>
          <w:rFonts w:eastAsia="MS Mincho" w:cs="Arial"/>
          <w:sz w:val="20"/>
          <w:szCs w:val="20"/>
          <w:lang w:val="en-US"/>
        </w:rPr>
        <w:t xml:space="preserve">the distance between the members of the family. </w:t>
      </w:r>
      <w:r w:rsidR="00B8399D" w:rsidRPr="00AC57EA">
        <w:rPr>
          <w:rFonts w:eastAsia="MS Mincho" w:cs="Arial"/>
          <w:sz w:val="20"/>
          <w:szCs w:val="20"/>
          <w:lang w:val="en-US"/>
        </w:rPr>
        <w:t>Accordingly</w:t>
      </w:r>
      <w:r w:rsidR="005F5071" w:rsidRPr="00AC57EA">
        <w:rPr>
          <w:rFonts w:eastAsia="MS Mincho" w:cs="Arial"/>
          <w:sz w:val="20"/>
          <w:szCs w:val="20"/>
          <w:lang w:val="en-US"/>
        </w:rPr>
        <w:t xml:space="preserve">, the representatives concluded that </w:t>
      </w:r>
      <w:r w:rsidR="00EC52D7" w:rsidRPr="00AC57EA">
        <w:rPr>
          <w:rFonts w:eastAsiaTheme="minorHAnsi" w:cstheme="minorBidi"/>
          <w:sz w:val="20"/>
          <w:szCs w:val="20"/>
          <w:lang w:val="en-US" w:eastAsia="en-US"/>
        </w:rPr>
        <w:t>the State</w:t>
      </w:r>
      <w:r w:rsidR="00B5625C" w:rsidRPr="00AC57EA">
        <w:rPr>
          <w:rFonts w:eastAsiaTheme="minorHAnsi" w:cstheme="minorBidi"/>
          <w:sz w:val="20"/>
          <w:szCs w:val="20"/>
          <w:lang w:val="en-US" w:eastAsia="en-US"/>
        </w:rPr>
        <w:t xml:space="preserve"> </w:t>
      </w:r>
      <w:r w:rsidR="005F5071" w:rsidRPr="00AC57EA">
        <w:rPr>
          <w:rFonts w:eastAsiaTheme="minorHAnsi" w:cstheme="minorBidi"/>
          <w:sz w:val="20"/>
          <w:szCs w:val="20"/>
          <w:lang w:val="en-US" w:eastAsia="en-US"/>
        </w:rPr>
        <w:t>was</w:t>
      </w:r>
      <w:r w:rsidR="002A5974" w:rsidRPr="00AC57EA">
        <w:rPr>
          <w:rFonts w:eastAsiaTheme="minorHAnsi" w:cstheme="minorBidi"/>
          <w:sz w:val="20"/>
          <w:szCs w:val="20"/>
          <w:lang w:val="en-US" w:eastAsia="en-US"/>
        </w:rPr>
        <w:t xml:space="preserve"> responsible for the violation of</w:t>
      </w:r>
      <w:r w:rsidR="00B5625C"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Articles 1(1)</w:t>
      </w:r>
      <w:r w:rsidR="00EB3E59"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5(1)</w:t>
      </w:r>
      <w:r w:rsidR="00EB3E59" w:rsidRPr="00AC57EA">
        <w:rPr>
          <w:rFonts w:eastAsiaTheme="minorHAnsi" w:cstheme="minorBidi"/>
          <w:sz w:val="20"/>
          <w:szCs w:val="20"/>
          <w:lang w:val="en-US" w:eastAsia="en-US"/>
        </w:rPr>
        <w:t>, 11</w:t>
      </w:r>
      <w:r w:rsidRPr="00AC57EA">
        <w:rPr>
          <w:rFonts w:eastAsiaTheme="minorHAnsi" w:cstheme="minorBidi"/>
          <w:sz w:val="20"/>
          <w:szCs w:val="20"/>
          <w:lang w:val="en-US" w:eastAsia="en-US"/>
        </w:rPr>
        <w:t xml:space="preserve"> and </w:t>
      </w:r>
      <w:r w:rsidR="00EB3E59" w:rsidRPr="00AC57EA">
        <w:rPr>
          <w:rFonts w:eastAsiaTheme="minorHAnsi" w:cstheme="minorBidi"/>
          <w:sz w:val="20"/>
          <w:szCs w:val="20"/>
          <w:lang w:val="en-US" w:eastAsia="en-US"/>
        </w:rPr>
        <w:t>24</w:t>
      </w:r>
      <w:r w:rsidR="00B7258C" w:rsidRPr="00AC57EA">
        <w:rPr>
          <w:rFonts w:eastAsiaTheme="minorHAnsi" w:cstheme="minorBidi"/>
          <w:sz w:val="20"/>
          <w:szCs w:val="20"/>
          <w:lang w:val="en-US" w:eastAsia="en-US"/>
        </w:rPr>
        <w:t xml:space="preserve"> of the American Convention</w:t>
      </w:r>
      <w:r w:rsidR="00EB3E59" w:rsidRPr="00AC57EA">
        <w:rPr>
          <w:rFonts w:eastAsiaTheme="minorHAnsi" w:cstheme="minorBidi"/>
          <w:sz w:val="20"/>
          <w:szCs w:val="20"/>
          <w:lang w:val="en-US" w:eastAsia="en-US"/>
        </w:rPr>
        <w:t xml:space="preserve">, </w:t>
      </w:r>
      <w:r w:rsidR="005F5071" w:rsidRPr="00AC57EA">
        <w:rPr>
          <w:rFonts w:eastAsiaTheme="minorHAnsi" w:cstheme="minorBidi"/>
          <w:sz w:val="20"/>
          <w:szCs w:val="20"/>
          <w:lang w:val="en-US" w:eastAsia="en-US"/>
        </w:rPr>
        <w:t>in relation to</w:t>
      </w:r>
      <w:r w:rsidR="00EB3E59" w:rsidRPr="00AC57EA">
        <w:rPr>
          <w:rFonts w:eastAsiaTheme="minorHAnsi" w:cstheme="minorBidi"/>
          <w:sz w:val="20"/>
          <w:szCs w:val="20"/>
          <w:lang w:val="en-US" w:eastAsia="en-US"/>
        </w:rPr>
        <w:t xml:space="preserve"> </w:t>
      </w:r>
      <w:r w:rsidR="00EC52D7" w:rsidRPr="00AC57EA">
        <w:rPr>
          <w:rFonts w:eastAsiaTheme="minorHAnsi" w:cstheme="minorBidi"/>
          <w:sz w:val="20"/>
          <w:szCs w:val="20"/>
          <w:lang w:val="en-US" w:eastAsia="en-US"/>
        </w:rPr>
        <w:t>the petitioner</w:t>
      </w:r>
      <w:r w:rsidR="00EB3E59" w:rsidRPr="00AC57EA">
        <w:rPr>
          <w:rFonts w:eastAsiaTheme="minorHAnsi" w:cstheme="minorBidi"/>
          <w:sz w:val="20"/>
          <w:szCs w:val="20"/>
          <w:lang w:val="en-US" w:eastAsia="en-US"/>
        </w:rPr>
        <w:t xml:space="preserve">, </w:t>
      </w:r>
      <w:r w:rsidR="005F5071" w:rsidRPr="00AC57EA">
        <w:rPr>
          <w:rFonts w:eastAsiaTheme="minorHAnsi" w:cstheme="minorBidi"/>
          <w:sz w:val="20"/>
          <w:szCs w:val="20"/>
          <w:lang w:val="en-US" w:eastAsia="en-US"/>
        </w:rPr>
        <w:t>and</w:t>
      </w:r>
      <w:r w:rsidR="00EB3E59"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Articles 1(1)</w:t>
      </w:r>
      <w:r w:rsidR="00B5625C"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 xml:space="preserve">5(1) and </w:t>
      </w:r>
      <w:r w:rsidR="00B5625C" w:rsidRPr="00AC57EA">
        <w:rPr>
          <w:rFonts w:eastAsiaTheme="minorHAnsi" w:cstheme="minorBidi"/>
          <w:sz w:val="20"/>
          <w:szCs w:val="20"/>
          <w:lang w:val="en-US" w:eastAsia="en-US"/>
        </w:rPr>
        <w:t>11</w:t>
      </w:r>
      <w:r w:rsidR="00EB3E59"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of this instrument</w:t>
      </w:r>
      <w:r w:rsidR="00B5625C" w:rsidRPr="00AC57EA">
        <w:rPr>
          <w:rFonts w:eastAsiaTheme="minorHAnsi" w:cstheme="minorBidi"/>
          <w:sz w:val="20"/>
          <w:szCs w:val="20"/>
          <w:lang w:val="en-US" w:eastAsia="en-US"/>
        </w:rPr>
        <w:t xml:space="preserve">, </w:t>
      </w:r>
      <w:r w:rsidR="005F5071" w:rsidRPr="00AC57EA">
        <w:rPr>
          <w:rFonts w:eastAsiaTheme="minorHAnsi" w:cstheme="minorBidi"/>
          <w:sz w:val="20"/>
          <w:szCs w:val="20"/>
          <w:lang w:val="en-US" w:eastAsia="en-US"/>
        </w:rPr>
        <w:t>in relation to</w:t>
      </w:r>
      <w:r w:rsidR="00A32FB4" w:rsidRPr="00AC57EA">
        <w:rPr>
          <w:rFonts w:eastAsiaTheme="minorHAnsi" w:cstheme="minorBidi"/>
          <w:sz w:val="20"/>
          <w:szCs w:val="20"/>
          <w:lang w:val="en-US" w:eastAsia="en-US"/>
        </w:rPr>
        <w:t xml:space="preserve"> V.R.P.</w:t>
      </w:r>
      <w:r w:rsidR="005F5071" w:rsidRPr="00AC57EA">
        <w:rPr>
          <w:rFonts w:eastAsiaTheme="minorHAnsi" w:cstheme="minorBidi"/>
          <w:sz w:val="20"/>
          <w:szCs w:val="20"/>
          <w:lang w:val="en-US" w:eastAsia="en-US"/>
        </w:rPr>
        <w:t>’s siblings.</w:t>
      </w:r>
    </w:p>
    <w:p w14:paraId="2A21E70C" w14:textId="77777777" w:rsidR="00B5625C" w:rsidRPr="00AC57EA" w:rsidRDefault="00B5625C" w:rsidP="00B5625C">
      <w:pPr>
        <w:tabs>
          <w:tab w:val="left" w:pos="567"/>
        </w:tabs>
        <w:spacing w:line="240" w:lineRule="auto"/>
        <w:ind w:left="708"/>
        <w:rPr>
          <w:rFonts w:eastAsiaTheme="minorHAnsi" w:cstheme="minorBidi"/>
          <w:sz w:val="20"/>
          <w:szCs w:val="20"/>
          <w:lang w:val="en-US" w:eastAsia="en-US"/>
        </w:rPr>
      </w:pPr>
    </w:p>
    <w:p w14:paraId="71A98BA7" w14:textId="6A5B168E" w:rsidR="00B5625C" w:rsidRPr="00AC57EA" w:rsidRDefault="00EC52D7" w:rsidP="009167FE">
      <w:pPr>
        <w:pStyle w:val="Prrafodelista"/>
        <w:widowControl/>
        <w:numPr>
          <w:ilvl w:val="0"/>
          <w:numId w:val="2"/>
        </w:numPr>
        <w:adjustRightInd/>
        <w:spacing w:line="240" w:lineRule="auto"/>
        <w:ind w:left="0" w:firstLine="0"/>
        <w:textAlignment w:val="auto"/>
        <w:rPr>
          <w:rFonts w:eastAsiaTheme="minorHAnsi" w:cstheme="minorBidi"/>
          <w:sz w:val="20"/>
          <w:szCs w:val="20"/>
          <w:lang w:val="en-US" w:eastAsia="en-US"/>
        </w:rPr>
      </w:pPr>
      <w:r w:rsidRPr="00AC57EA">
        <w:rPr>
          <w:rFonts w:eastAsiaTheme="minorHAnsi" w:cstheme="minorBidi"/>
          <w:sz w:val="20"/>
          <w:szCs w:val="20"/>
          <w:lang w:val="en-US" w:eastAsia="en-US"/>
        </w:rPr>
        <w:t xml:space="preserve">The </w:t>
      </w:r>
      <w:r w:rsidRPr="00AC57EA">
        <w:rPr>
          <w:rFonts w:eastAsiaTheme="minorHAnsi" w:cstheme="minorBidi"/>
          <w:b/>
          <w:bCs/>
          <w:i/>
          <w:iCs/>
          <w:sz w:val="20"/>
          <w:szCs w:val="20"/>
          <w:lang w:val="en-US" w:eastAsia="en-US"/>
        </w:rPr>
        <w:t>State</w:t>
      </w:r>
      <w:r w:rsidR="00EB3E59" w:rsidRPr="00AC57EA">
        <w:rPr>
          <w:rFonts w:eastAsiaTheme="minorHAnsi" w:cstheme="minorBidi"/>
          <w:sz w:val="20"/>
          <w:szCs w:val="20"/>
          <w:lang w:val="en-US" w:eastAsia="en-US"/>
        </w:rPr>
        <w:t>,</w:t>
      </w:r>
      <w:r w:rsidR="00B5625C" w:rsidRPr="00AC57EA">
        <w:rPr>
          <w:rFonts w:eastAsiaTheme="minorHAnsi" w:cstheme="minorBidi"/>
          <w:sz w:val="20"/>
          <w:szCs w:val="20"/>
          <w:lang w:val="en-US" w:eastAsia="en-US"/>
        </w:rPr>
        <w:t xml:space="preserve"> </w:t>
      </w:r>
      <w:r w:rsidR="005F5071" w:rsidRPr="00AC57EA">
        <w:rPr>
          <w:rFonts w:eastAsiaTheme="minorHAnsi" w:cstheme="minorBidi"/>
          <w:sz w:val="20"/>
          <w:szCs w:val="20"/>
          <w:lang w:val="en-US" w:eastAsia="en-US"/>
        </w:rPr>
        <w:t xml:space="preserve">as indicated in the </w:t>
      </w:r>
      <w:r w:rsidR="00474CE5" w:rsidRPr="00AC57EA">
        <w:rPr>
          <w:rFonts w:eastAsiaTheme="minorHAnsi" w:cstheme="minorBidi"/>
          <w:sz w:val="20"/>
          <w:szCs w:val="20"/>
          <w:lang w:val="en-US" w:eastAsia="en-US"/>
        </w:rPr>
        <w:t xml:space="preserve">preliminary considerations </w:t>
      </w:r>
      <w:r w:rsidR="00EB3E59" w:rsidRPr="00AC57EA">
        <w:rPr>
          <w:rFonts w:eastAsiaTheme="minorHAnsi" w:cstheme="minorBidi"/>
          <w:sz w:val="20"/>
          <w:szCs w:val="20"/>
          <w:lang w:val="en-US" w:eastAsia="en-US"/>
        </w:rPr>
        <w:t>(</w:t>
      </w:r>
      <w:r w:rsidR="00EB3E59" w:rsidRPr="00AC57EA">
        <w:rPr>
          <w:rFonts w:eastAsiaTheme="minorHAnsi" w:cstheme="minorBidi"/>
          <w:i/>
          <w:sz w:val="20"/>
          <w:szCs w:val="20"/>
          <w:lang w:val="en-US" w:eastAsia="en-US"/>
        </w:rPr>
        <w:t xml:space="preserve">supra </w:t>
      </w:r>
      <w:r w:rsidR="00B61370" w:rsidRPr="00AC57EA">
        <w:rPr>
          <w:rFonts w:eastAsiaTheme="minorHAnsi" w:cstheme="minorBidi"/>
          <w:sz w:val="20"/>
          <w:szCs w:val="20"/>
          <w:lang w:val="en-US" w:eastAsia="en-US"/>
        </w:rPr>
        <w:t>Chapter</w:t>
      </w:r>
      <w:r w:rsidR="00EB3E59" w:rsidRPr="00AC57EA">
        <w:rPr>
          <w:rFonts w:eastAsiaTheme="minorHAnsi" w:cstheme="minorBidi"/>
          <w:sz w:val="20"/>
          <w:szCs w:val="20"/>
          <w:lang w:val="en-US" w:eastAsia="en-US"/>
        </w:rPr>
        <w:t xml:space="preserve"> V)</w:t>
      </w:r>
      <w:r w:rsidR="00B5625C" w:rsidRPr="00AC57EA">
        <w:rPr>
          <w:rFonts w:eastAsiaTheme="minorHAnsi" w:cstheme="minorBidi"/>
          <w:sz w:val="20"/>
          <w:szCs w:val="20"/>
          <w:lang w:val="en-US" w:eastAsia="en-US"/>
        </w:rPr>
        <w:t xml:space="preserve">, </w:t>
      </w:r>
      <w:r w:rsidR="005F5071" w:rsidRPr="00AC57EA">
        <w:rPr>
          <w:rFonts w:eastAsiaTheme="minorHAnsi" w:cstheme="minorBidi"/>
          <w:sz w:val="20"/>
          <w:szCs w:val="20"/>
          <w:lang w:val="en-US" w:eastAsia="en-US"/>
        </w:rPr>
        <w:t>did not recognize V.R.P.’s brothers as presumed victims</w:t>
      </w:r>
      <w:r w:rsidR="00B8399D" w:rsidRPr="00AC57EA">
        <w:rPr>
          <w:rFonts w:eastAsiaTheme="minorHAnsi" w:cstheme="minorBidi"/>
          <w:sz w:val="20"/>
          <w:szCs w:val="20"/>
          <w:lang w:val="en-US" w:eastAsia="en-US"/>
        </w:rPr>
        <w:t xml:space="preserve"> because</w:t>
      </w:r>
      <w:r w:rsidR="005F5071" w:rsidRPr="00AC57EA">
        <w:rPr>
          <w:rFonts w:eastAsiaTheme="minorHAnsi" w:cstheme="minorBidi"/>
          <w:sz w:val="20"/>
          <w:szCs w:val="20"/>
          <w:lang w:val="en-US" w:eastAsia="en-US"/>
        </w:rPr>
        <w:t xml:space="preserve"> they had not been identified as such by the Commission in its</w:t>
      </w:r>
      <w:r w:rsidR="00B5625C" w:rsidRPr="00AC57EA">
        <w:rPr>
          <w:rFonts w:eastAsiaTheme="minorHAnsi" w:cstheme="minorBidi"/>
          <w:sz w:val="20"/>
          <w:szCs w:val="20"/>
          <w:lang w:val="en-US" w:eastAsia="en-US"/>
        </w:rPr>
        <w:t xml:space="preserve"> </w:t>
      </w:r>
      <w:r w:rsidRPr="00AC57EA">
        <w:rPr>
          <w:rFonts w:eastAsiaTheme="minorHAnsi" w:cstheme="minorBidi"/>
          <w:sz w:val="20"/>
          <w:szCs w:val="20"/>
          <w:lang w:val="en-US" w:eastAsia="en-US"/>
        </w:rPr>
        <w:t>Merits Report</w:t>
      </w:r>
      <w:r w:rsidR="00B5625C" w:rsidRPr="00AC57EA">
        <w:rPr>
          <w:rFonts w:eastAsiaTheme="minorHAnsi" w:cstheme="minorBidi"/>
          <w:sz w:val="20"/>
          <w:szCs w:val="20"/>
          <w:lang w:val="en-US" w:eastAsia="en-US"/>
        </w:rPr>
        <w:t>.</w:t>
      </w:r>
    </w:p>
    <w:p w14:paraId="105F6CC6" w14:textId="77777777" w:rsidR="00B5625C" w:rsidRPr="00AC57EA" w:rsidRDefault="00B5625C" w:rsidP="00B5625C">
      <w:pPr>
        <w:tabs>
          <w:tab w:val="left" w:pos="567"/>
        </w:tabs>
        <w:spacing w:line="240" w:lineRule="auto"/>
        <w:rPr>
          <w:rFonts w:eastAsiaTheme="minorHAnsi" w:cstheme="minorBidi"/>
          <w:sz w:val="20"/>
          <w:szCs w:val="20"/>
          <w:lang w:val="en-US" w:eastAsia="en-US"/>
        </w:rPr>
      </w:pPr>
    </w:p>
    <w:p w14:paraId="37DC9902" w14:textId="0798CD88" w:rsidR="00B5625C" w:rsidRPr="00AC57EA" w:rsidRDefault="00B5625C" w:rsidP="00B5625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148" w:name="_Toc495658692"/>
      <w:bookmarkStart w:id="149" w:name="_Toc514172660"/>
      <w:r w:rsidRPr="00AC57EA">
        <w:rPr>
          <w:rFonts w:eastAsia="MS Mincho" w:cs="Arial"/>
          <w:b/>
          <w:bCs/>
          <w:i/>
          <w:sz w:val="20"/>
          <w:szCs w:val="20"/>
          <w:lang w:val="en-US" w:eastAsia="en-US"/>
        </w:rPr>
        <w:t>B.</w:t>
      </w:r>
      <w:r w:rsidRPr="00AC57EA">
        <w:rPr>
          <w:rFonts w:eastAsia="MS Mincho" w:cs="Arial"/>
          <w:b/>
          <w:bCs/>
          <w:i/>
          <w:sz w:val="20"/>
          <w:szCs w:val="20"/>
          <w:lang w:val="en-US" w:eastAsia="en-US"/>
        </w:rPr>
        <w:tab/>
      </w:r>
      <w:r w:rsidR="002223C8" w:rsidRPr="00AC57EA">
        <w:rPr>
          <w:rFonts w:eastAsia="MS Mincho" w:cs="Arial"/>
          <w:b/>
          <w:bCs/>
          <w:i/>
          <w:sz w:val="20"/>
          <w:szCs w:val="20"/>
          <w:lang w:val="en-US" w:eastAsia="en-US"/>
        </w:rPr>
        <w:t>Considerations</w:t>
      </w:r>
      <w:r w:rsidR="00B7258C" w:rsidRPr="00AC57EA">
        <w:rPr>
          <w:rFonts w:eastAsia="MS Mincho" w:cs="Arial"/>
          <w:b/>
          <w:bCs/>
          <w:i/>
          <w:sz w:val="20"/>
          <w:szCs w:val="20"/>
          <w:lang w:val="en-US" w:eastAsia="en-US"/>
        </w:rPr>
        <w:t xml:space="preserve"> of the Court</w:t>
      </w:r>
      <w:bookmarkEnd w:id="148"/>
      <w:bookmarkEnd w:id="149"/>
    </w:p>
    <w:p w14:paraId="24E6BA98" w14:textId="77777777" w:rsidR="00B5625C" w:rsidRPr="00AC57EA" w:rsidRDefault="00B5625C" w:rsidP="00B5625C">
      <w:pPr>
        <w:spacing w:line="240" w:lineRule="auto"/>
        <w:rPr>
          <w:rFonts w:eastAsia="MS Mincho" w:cs="Arial"/>
          <w:b/>
          <w:bCs/>
          <w:sz w:val="20"/>
          <w:szCs w:val="20"/>
          <w:lang w:val="en-US" w:eastAsia="en-US"/>
        </w:rPr>
      </w:pPr>
    </w:p>
    <w:p w14:paraId="42911D07" w14:textId="0E5FD773" w:rsidR="00B5625C" w:rsidRPr="00AC57EA" w:rsidRDefault="00B7258C" w:rsidP="00C403BA">
      <w:pPr>
        <w:pStyle w:val="Prrafodelista"/>
        <w:widowControl/>
        <w:numPr>
          <w:ilvl w:val="0"/>
          <w:numId w:val="2"/>
        </w:numPr>
        <w:adjustRightInd/>
        <w:spacing w:line="240" w:lineRule="auto"/>
        <w:ind w:left="0" w:firstLine="0"/>
        <w:textAlignment w:val="auto"/>
        <w:rPr>
          <w:rFonts w:eastAsiaTheme="minorHAnsi" w:cstheme="minorBidi"/>
          <w:sz w:val="20"/>
          <w:szCs w:val="20"/>
          <w:lang w:val="en-US" w:eastAsia="en-US"/>
        </w:rPr>
      </w:pPr>
      <w:bookmarkStart w:id="150" w:name="_Ref462932771"/>
      <w:r w:rsidRPr="00AC57EA">
        <w:rPr>
          <w:rFonts w:eastAsiaTheme="minorHAnsi" w:cstheme="minorBidi"/>
          <w:sz w:val="20"/>
          <w:szCs w:val="20"/>
          <w:lang w:val="en-US" w:eastAsia="en-US"/>
        </w:rPr>
        <w:t>The Court</w:t>
      </w:r>
      <w:r w:rsidR="00B5625C" w:rsidRPr="00AC57EA">
        <w:rPr>
          <w:rFonts w:eastAsiaTheme="minorHAnsi" w:cstheme="minorBidi"/>
          <w:sz w:val="20"/>
          <w:szCs w:val="20"/>
          <w:lang w:val="en-US" w:eastAsia="en-US"/>
        </w:rPr>
        <w:t xml:space="preserve"> ha</w:t>
      </w:r>
      <w:r w:rsidR="00C403BA" w:rsidRPr="00AC57EA">
        <w:rPr>
          <w:rFonts w:eastAsiaTheme="minorHAnsi" w:cstheme="minorBidi"/>
          <w:sz w:val="20"/>
          <w:szCs w:val="20"/>
          <w:lang w:val="en-US" w:eastAsia="en-US"/>
        </w:rPr>
        <w:t>s indicated on numerous occasions that the next of kin of the victims of human rights violations may also, in turn, be victims.</w:t>
      </w:r>
      <w:r w:rsidR="00B5625C" w:rsidRPr="00AC57EA">
        <w:rPr>
          <w:rFonts w:eastAsiaTheme="minorHAnsi" w:cstheme="minorBidi"/>
          <w:sz w:val="20"/>
          <w:szCs w:val="20"/>
          <w:vertAlign w:val="superscript"/>
          <w:lang w:val="en-US" w:eastAsia="en-US"/>
        </w:rPr>
        <w:footnoteReference w:id="406"/>
      </w:r>
      <w:r w:rsidR="00C403BA" w:rsidRPr="00AC57EA">
        <w:rPr>
          <w:rFonts w:eastAsiaTheme="minorHAnsi" w:cstheme="minorBidi"/>
          <w:sz w:val="20"/>
          <w:szCs w:val="20"/>
          <w:lang w:val="en-US" w:eastAsia="en-US"/>
        </w:rPr>
        <w:t xml:space="preserve"> The Court has considered that it can be declared that the right to mental and moral integrity of “direct family members” or other individuals with close ties to the victims has been violated based on the additional suffering that they have endured as a result of the particular circumstances of the violations perpetrated against their loved ones, and due to the subsequent acts or omissions of the state authorities in relation to those facts,</w:t>
      </w:r>
      <w:r w:rsidR="00B5625C" w:rsidRPr="00AC57EA">
        <w:rPr>
          <w:rFonts w:eastAsiaTheme="minorHAnsi" w:cstheme="minorBidi"/>
          <w:sz w:val="20"/>
          <w:szCs w:val="20"/>
          <w:vertAlign w:val="superscript"/>
          <w:lang w:val="en-US" w:eastAsia="en-US"/>
        </w:rPr>
        <w:footnoteReference w:id="407"/>
      </w:r>
      <w:r w:rsidR="00B5625C" w:rsidRPr="00AC57EA">
        <w:rPr>
          <w:rFonts w:eastAsiaTheme="minorHAnsi" w:cstheme="minorBidi"/>
          <w:sz w:val="20"/>
          <w:szCs w:val="20"/>
          <w:lang w:val="en-US" w:eastAsia="en-US"/>
        </w:rPr>
        <w:t xml:space="preserve"> t</w:t>
      </w:r>
      <w:r w:rsidR="00C403BA" w:rsidRPr="00AC57EA">
        <w:rPr>
          <w:rFonts w:eastAsiaTheme="minorHAnsi" w:cstheme="minorBidi"/>
          <w:sz w:val="20"/>
          <w:szCs w:val="20"/>
          <w:lang w:val="en-US" w:eastAsia="en-US"/>
        </w:rPr>
        <w:t>aking into account, among other factors, the steps taken to obtain justice and the existence of close family ties.</w:t>
      </w:r>
      <w:r w:rsidR="00B5625C" w:rsidRPr="00AC57EA">
        <w:rPr>
          <w:rFonts w:eastAsiaTheme="minorHAnsi" w:cstheme="minorBidi"/>
          <w:sz w:val="20"/>
          <w:szCs w:val="20"/>
          <w:vertAlign w:val="superscript"/>
          <w:lang w:val="en-US" w:eastAsia="en-US"/>
        </w:rPr>
        <w:footnoteReference w:id="408"/>
      </w:r>
    </w:p>
    <w:p w14:paraId="54137E24" w14:textId="77777777" w:rsidR="00B5625C" w:rsidRPr="00AC57EA" w:rsidRDefault="00B5625C" w:rsidP="00B5625C">
      <w:pPr>
        <w:widowControl/>
        <w:tabs>
          <w:tab w:val="left" w:pos="567"/>
        </w:tabs>
        <w:adjustRightInd/>
        <w:spacing w:line="240" w:lineRule="auto"/>
        <w:textAlignment w:val="auto"/>
        <w:rPr>
          <w:rFonts w:eastAsia="Calibri" w:cs="Calibri"/>
          <w:sz w:val="20"/>
          <w:szCs w:val="22"/>
          <w:lang w:val="en-US" w:eastAsia="en-US"/>
        </w:rPr>
      </w:pPr>
    </w:p>
    <w:bookmarkEnd w:id="150"/>
    <w:p w14:paraId="0ADB1ACD" w14:textId="035650E1" w:rsidR="00B5625C" w:rsidRPr="00AC57EA" w:rsidRDefault="00B7258C" w:rsidP="007A0A58">
      <w:pPr>
        <w:pStyle w:val="Prrafodelista"/>
        <w:widowControl/>
        <w:numPr>
          <w:ilvl w:val="0"/>
          <w:numId w:val="2"/>
        </w:numPr>
        <w:adjustRightInd/>
        <w:spacing w:line="240" w:lineRule="auto"/>
        <w:ind w:left="0" w:firstLine="0"/>
        <w:textAlignment w:val="auto"/>
        <w:rPr>
          <w:rFonts w:eastAsiaTheme="minorHAnsi" w:cstheme="minorBidi"/>
          <w:sz w:val="20"/>
          <w:szCs w:val="20"/>
          <w:lang w:val="en-US" w:eastAsia="en-US"/>
        </w:rPr>
      </w:pPr>
      <w:r w:rsidRPr="00AC57EA">
        <w:rPr>
          <w:rFonts w:eastAsia="MS Mincho"/>
          <w:spacing w:val="-2"/>
          <w:sz w:val="20"/>
          <w:szCs w:val="20"/>
          <w:lang w:val="en-US"/>
        </w:rPr>
        <w:t>The Court</w:t>
      </w:r>
      <w:r w:rsidR="00456B78" w:rsidRPr="00AC57EA">
        <w:rPr>
          <w:rFonts w:eastAsia="MS Mincho"/>
          <w:spacing w:val="-2"/>
          <w:sz w:val="20"/>
          <w:szCs w:val="20"/>
          <w:lang w:val="en-US"/>
        </w:rPr>
        <w:t xml:space="preserve"> ha</w:t>
      </w:r>
      <w:r w:rsidR="00C403BA" w:rsidRPr="00AC57EA">
        <w:rPr>
          <w:rFonts w:eastAsia="MS Mincho"/>
          <w:spacing w:val="-2"/>
          <w:sz w:val="20"/>
          <w:szCs w:val="20"/>
          <w:lang w:val="en-US"/>
        </w:rPr>
        <w:t xml:space="preserve">s indicated that </w:t>
      </w:r>
      <w:r w:rsidR="007A0A58" w:rsidRPr="00AC57EA">
        <w:rPr>
          <w:rFonts w:eastAsia="MS Mincho"/>
          <w:spacing w:val="-2"/>
          <w:sz w:val="20"/>
          <w:szCs w:val="20"/>
          <w:lang w:val="en-US"/>
        </w:rPr>
        <w:t xml:space="preserve">it is possible to declare the violation of the mental and moral integrity of the next of kin of victims of certain human rights violations applying a </w:t>
      </w:r>
      <w:r w:rsidR="007A0A58" w:rsidRPr="00AC57EA">
        <w:rPr>
          <w:rFonts w:eastAsia="MS Mincho"/>
          <w:i/>
          <w:spacing w:val="-2"/>
          <w:sz w:val="20"/>
          <w:szCs w:val="20"/>
          <w:lang w:val="en-US"/>
        </w:rPr>
        <w:t>iuris tantum</w:t>
      </w:r>
      <w:r w:rsidR="009939AB" w:rsidRPr="00AC57EA">
        <w:rPr>
          <w:rFonts w:eastAsia="MS Mincho"/>
          <w:i/>
          <w:spacing w:val="-2"/>
          <w:sz w:val="20"/>
          <w:szCs w:val="20"/>
          <w:lang w:val="en-US"/>
        </w:rPr>
        <w:t xml:space="preserve"> </w:t>
      </w:r>
      <w:r w:rsidR="009939AB" w:rsidRPr="00AC57EA">
        <w:rPr>
          <w:rFonts w:eastAsia="MS Mincho"/>
          <w:spacing w:val="-2"/>
          <w:sz w:val="20"/>
          <w:szCs w:val="20"/>
          <w:lang w:val="en-US"/>
        </w:rPr>
        <w:t>presumption</w:t>
      </w:r>
      <w:r w:rsidR="007A0A58" w:rsidRPr="00AC57EA">
        <w:rPr>
          <w:rFonts w:eastAsia="MS Mincho"/>
          <w:spacing w:val="-2"/>
          <w:sz w:val="20"/>
          <w:szCs w:val="20"/>
          <w:lang w:val="en-US"/>
        </w:rPr>
        <w:t>, provided this responds to the particular circumstances of the case.</w:t>
      </w:r>
      <w:r w:rsidR="007A0A58" w:rsidRPr="00AC57EA">
        <w:rPr>
          <w:rStyle w:val="Refdenotaalpie"/>
          <w:rFonts w:eastAsiaTheme="minorHAnsi" w:cstheme="minorBidi"/>
          <w:sz w:val="20"/>
          <w:szCs w:val="20"/>
          <w:lang w:val="en-US" w:eastAsia="en-US"/>
        </w:rPr>
        <w:footnoteReference w:id="409"/>
      </w:r>
      <w:r w:rsidR="007A0A58" w:rsidRPr="00AC57EA">
        <w:rPr>
          <w:rFonts w:eastAsia="MS Mincho"/>
          <w:spacing w:val="-2"/>
          <w:sz w:val="20"/>
          <w:szCs w:val="20"/>
          <w:lang w:val="en-US"/>
        </w:rPr>
        <w:t xml:space="preserve"> In other situations, the Court must evaluate, on the one hand, the existence of particularly close ties between the family members and the presumed victim in the case that allows it to establish that their personal integrity has been harmed and, on the other hand, whether the evidence in the case file proves a violation of the </w:t>
      </w:r>
      <w:r w:rsidR="002A5974" w:rsidRPr="00AC57EA">
        <w:rPr>
          <w:rFonts w:eastAsiaTheme="minorHAnsi" w:cstheme="minorBidi"/>
          <w:sz w:val="20"/>
          <w:szCs w:val="20"/>
          <w:lang w:val="en-US" w:eastAsia="en-US"/>
        </w:rPr>
        <w:t>right to personal integrity</w:t>
      </w:r>
      <w:r w:rsidR="007A0A58" w:rsidRPr="00AC57EA">
        <w:rPr>
          <w:rFonts w:eastAsiaTheme="minorHAnsi" w:cstheme="minorBidi"/>
          <w:sz w:val="20"/>
          <w:szCs w:val="20"/>
          <w:lang w:val="en-US" w:eastAsia="en-US"/>
        </w:rPr>
        <w:t>.</w:t>
      </w:r>
      <w:r w:rsidR="00B5625C" w:rsidRPr="00AC57EA">
        <w:rPr>
          <w:rFonts w:eastAsiaTheme="minorHAnsi" w:cstheme="minorBidi"/>
          <w:sz w:val="20"/>
          <w:szCs w:val="20"/>
          <w:vertAlign w:val="superscript"/>
          <w:lang w:val="en-US" w:eastAsia="en-US"/>
        </w:rPr>
        <w:footnoteReference w:id="410"/>
      </w:r>
    </w:p>
    <w:p w14:paraId="129FD748" w14:textId="77777777" w:rsidR="00B5625C" w:rsidRPr="00AC57EA" w:rsidRDefault="00B5625C" w:rsidP="00B5625C">
      <w:pPr>
        <w:tabs>
          <w:tab w:val="left" w:pos="567"/>
        </w:tabs>
        <w:spacing w:line="240" w:lineRule="auto"/>
        <w:rPr>
          <w:rFonts w:cs="Calibri"/>
          <w:sz w:val="20"/>
          <w:lang w:val="en-US"/>
        </w:rPr>
      </w:pPr>
    </w:p>
    <w:p w14:paraId="1912B076" w14:textId="212E3BC6" w:rsidR="00B5625C" w:rsidRPr="00AC57EA" w:rsidRDefault="007A0A58" w:rsidP="009167FE">
      <w:pPr>
        <w:pStyle w:val="Prrafodelista"/>
        <w:widowControl/>
        <w:numPr>
          <w:ilvl w:val="0"/>
          <w:numId w:val="2"/>
        </w:numPr>
        <w:adjustRightInd/>
        <w:spacing w:line="240" w:lineRule="auto"/>
        <w:ind w:left="0" w:firstLine="0"/>
        <w:textAlignment w:val="auto"/>
        <w:rPr>
          <w:rFonts w:cs="Calibri"/>
          <w:sz w:val="20"/>
          <w:lang w:val="en-US"/>
        </w:rPr>
      </w:pPr>
      <w:r w:rsidRPr="00AC57EA">
        <w:rPr>
          <w:rFonts w:cs="Calibri"/>
          <w:sz w:val="20"/>
          <w:lang w:val="en-US"/>
        </w:rPr>
        <w:t>In this regard, during the</w:t>
      </w:r>
      <w:r w:rsidR="00B5625C" w:rsidRPr="00AC57EA">
        <w:rPr>
          <w:rFonts w:cs="Calibri"/>
          <w:sz w:val="20"/>
          <w:lang w:val="en-US"/>
        </w:rPr>
        <w:t xml:space="preserve"> </w:t>
      </w:r>
      <w:r w:rsidR="00517CF7" w:rsidRPr="00AC57EA">
        <w:rPr>
          <w:rFonts w:cs="Calibri"/>
          <w:sz w:val="20"/>
          <w:lang w:val="en-US"/>
        </w:rPr>
        <w:t>public hearing</w:t>
      </w:r>
      <w:r w:rsidR="00303C29" w:rsidRPr="00AC57EA">
        <w:rPr>
          <w:rFonts w:cs="Calibri"/>
          <w:sz w:val="20"/>
          <w:lang w:val="en-US"/>
        </w:rPr>
        <w:t>,</w:t>
      </w:r>
      <w:r w:rsidR="00B5625C" w:rsidRPr="00AC57EA">
        <w:rPr>
          <w:rFonts w:cs="Calibri"/>
          <w:sz w:val="20"/>
          <w:lang w:val="en-US"/>
        </w:rPr>
        <w:t xml:space="preserve"> V.P.C. </w:t>
      </w:r>
      <w:r w:rsidRPr="00AC57EA">
        <w:rPr>
          <w:rFonts w:cs="Calibri"/>
          <w:sz w:val="20"/>
          <w:lang w:val="en-US"/>
        </w:rPr>
        <w:t>referred to the serious consequences that her daughter’s rape had for her family, as well as the institutional violence, and the revictimization to which they were subjected during the domestic judicial proceedings</w:t>
      </w:r>
      <w:r w:rsidR="00B5625C" w:rsidRPr="00AC57EA">
        <w:rPr>
          <w:rFonts w:cs="Calibri"/>
          <w:sz w:val="20"/>
          <w:lang w:val="en-US"/>
        </w:rPr>
        <w:t>. S</w:t>
      </w:r>
      <w:r w:rsidRPr="00AC57EA">
        <w:rPr>
          <w:rFonts w:cs="Calibri"/>
          <w:sz w:val="20"/>
          <w:lang w:val="en-US"/>
        </w:rPr>
        <w:t>he indicated that “the painful acts of coercion and intimidation that the authorities used” against them led to the disintegration of her family and stated that:</w:t>
      </w:r>
    </w:p>
    <w:p w14:paraId="7D086765" w14:textId="77777777" w:rsidR="00B5625C" w:rsidRPr="00AC57EA" w:rsidRDefault="00B5625C" w:rsidP="00B5625C">
      <w:pPr>
        <w:tabs>
          <w:tab w:val="left" w:pos="567"/>
        </w:tabs>
        <w:spacing w:line="240" w:lineRule="auto"/>
        <w:rPr>
          <w:rFonts w:cs="Calibri"/>
          <w:sz w:val="20"/>
          <w:lang w:val="en-US"/>
        </w:rPr>
      </w:pPr>
    </w:p>
    <w:p w14:paraId="4673874D" w14:textId="2B929E76" w:rsidR="00B5625C" w:rsidRPr="00AC57EA" w:rsidRDefault="007A0A58" w:rsidP="009939AB">
      <w:pPr>
        <w:tabs>
          <w:tab w:val="left" w:pos="567"/>
        </w:tabs>
        <w:spacing w:line="240" w:lineRule="auto"/>
        <w:ind w:left="567" w:right="582"/>
        <w:rPr>
          <w:rFonts w:cs="Calibri"/>
          <w:sz w:val="16"/>
          <w:szCs w:val="16"/>
          <w:lang w:val="en-US"/>
        </w:rPr>
      </w:pPr>
      <w:r w:rsidRPr="00AC57EA">
        <w:rPr>
          <w:rFonts w:cs="Calibri"/>
          <w:sz w:val="16"/>
          <w:szCs w:val="16"/>
          <w:lang w:val="en-US"/>
        </w:rPr>
        <w:t>My sons had to stay in</w:t>
      </w:r>
      <w:r w:rsidR="00B5625C" w:rsidRPr="00AC57EA">
        <w:rPr>
          <w:rFonts w:cs="Calibri"/>
          <w:sz w:val="16"/>
          <w:szCs w:val="16"/>
          <w:lang w:val="en-US"/>
        </w:rPr>
        <w:t xml:space="preserve"> Nicaragua</w:t>
      </w:r>
      <w:r w:rsidR="00171E27" w:rsidRPr="00AC57EA">
        <w:rPr>
          <w:rFonts w:cs="Calibri"/>
          <w:sz w:val="16"/>
          <w:szCs w:val="16"/>
          <w:lang w:val="en-US"/>
        </w:rPr>
        <w:t xml:space="preserve"> and </w:t>
      </w:r>
      <w:r w:rsidRPr="00AC57EA">
        <w:rPr>
          <w:rFonts w:cs="Calibri"/>
          <w:sz w:val="16"/>
          <w:szCs w:val="16"/>
          <w:lang w:val="en-US"/>
        </w:rPr>
        <w:t xml:space="preserve">I had to abandon the country in order to help my daughter so that she did not have to stay in that place where, basically, instead of giving us justice, what they did was inflict more pain on us than we already had. We were fearful when we left, due to all the criminal accusation that the </w:t>
      </w:r>
      <w:r w:rsidR="00246365" w:rsidRPr="00AC57EA">
        <w:rPr>
          <w:rFonts w:cs="Calibri"/>
          <w:sz w:val="16"/>
          <w:szCs w:val="16"/>
          <w:lang w:val="en-US"/>
        </w:rPr>
        <w:t>forensic physician</w:t>
      </w:r>
      <w:r w:rsidR="00B5625C" w:rsidRPr="00AC57EA">
        <w:rPr>
          <w:rFonts w:cs="Calibri"/>
          <w:sz w:val="16"/>
          <w:szCs w:val="16"/>
          <w:lang w:val="en-US"/>
        </w:rPr>
        <w:t xml:space="preserve"> </w:t>
      </w:r>
      <w:r w:rsidRPr="00AC57EA">
        <w:rPr>
          <w:rFonts w:cs="Calibri"/>
          <w:sz w:val="16"/>
          <w:szCs w:val="16"/>
          <w:lang w:val="en-US"/>
        </w:rPr>
        <w:t>and the loca</w:t>
      </w:r>
      <w:r w:rsidR="009939AB" w:rsidRPr="00AC57EA">
        <w:rPr>
          <w:rFonts w:cs="Calibri"/>
          <w:sz w:val="16"/>
          <w:szCs w:val="16"/>
          <w:lang w:val="en-US"/>
        </w:rPr>
        <w:t>l</w:t>
      </w:r>
      <w:r w:rsidR="00B5625C" w:rsidRPr="00AC57EA">
        <w:rPr>
          <w:rFonts w:cs="Calibri"/>
          <w:sz w:val="16"/>
          <w:szCs w:val="16"/>
          <w:lang w:val="en-US"/>
        </w:rPr>
        <w:t xml:space="preserve"> </w:t>
      </w:r>
      <w:r w:rsidR="00B7258C" w:rsidRPr="00AC57EA">
        <w:rPr>
          <w:rFonts w:cs="Calibri"/>
          <w:sz w:val="16"/>
          <w:szCs w:val="16"/>
          <w:lang w:val="en-US"/>
        </w:rPr>
        <w:t>judge</w:t>
      </w:r>
      <w:r w:rsidR="00B5625C" w:rsidRPr="00AC57EA">
        <w:rPr>
          <w:rFonts w:cs="Calibri"/>
          <w:sz w:val="16"/>
          <w:szCs w:val="16"/>
          <w:lang w:val="en-US"/>
        </w:rPr>
        <w:t xml:space="preserve"> </w:t>
      </w:r>
      <w:r w:rsidRPr="00AC57EA">
        <w:rPr>
          <w:rFonts w:cs="Calibri"/>
          <w:sz w:val="16"/>
          <w:szCs w:val="16"/>
          <w:lang w:val="en-US"/>
        </w:rPr>
        <w:t>and the member of the jury had filed against me</w:t>
      </w:r>
      <w:r w:rsidR="009939AB" w:rsidRPr="00AC57EA">
        <w:rPr>
          <w:rFonts w:cs="Calibri"/>
          <w:sz w:val="16"/>
          <w:szCs w:val="16"/>
          <w:lang w:val="en-US"/>
        </w:rPr>
        <w:t xml:space="preserve">, against my mother, who was 70 years old, and against my sister merely because they accompanied me in the proceedings. </w:t>
      </w:r>
      <w:r w:rsidR="00B8399D" w:rsidRPr="00AC57EA">
        <w:rPr>
          <w:rFonts w:cs="Calibri"/>
          <w:sz w:val="16"/>
          <w:szCs w:val="16"/>
          <w:lang w:val="en-US"/>
        </w:rPr>
        <w:t>At the time</w:t>
      </w:r>
      <w:r w:rsidR="009939AB" w:rsidRPr="00AC57EA">
        <w:rPr>
          <w:rFonts w:cs="Calibri"/>
          <w:sz w:val="16"/>
          <w:szCs w:val="16"/>
          <w:lang w:val="en-US"/>
        </w:rPr>
        <w:t xml:space="preserve"> all this happened, I could support my children, in the sense that I was paying for a private university for my older daughter. My other children were also attending a private school; in other words, they had clothes, food, medicines, </w:t>
      </w:r>
      <w:r w:rsidR="004C65C5" w:rsidRPr="00AC57EA">
        <w:rPr>
          <w:rFonts w:cs="Calibri"/>
          <w:sz w:val="16"/>
          <w:szCs w:val="16"/>
          <w:lang w:val="en-US"/>
        </w:rPr>
        <w:t>[…]</w:t>
      </w:r>
      <w:r w:rsidR="009939AB" w:rsidRPr="00AC57EA">
        <w:rPr>
          <w:rFonts w:cs="Calibri"/>
          <w:sz w:val="16"/>
          <w:szCs w:val="16"/>
          <w:lang w:val="en-US"/>
        </w:rPr>
        <w:t xml:space="preserve">, I even paid a maid to do the housework, </w:t>
      </w:r>
      <w:r w:rsidR="004C65C5" w:rsidRPr="00AC57EA">
        <w:rPr>
          <w:rFonts w:cs="Calibri"/>
          <w:sz w:val="16"/>
          <w:szCs w:val="16"/>
          <w:lang w:val="en-US"/>
        </w:rPr>
        <w:t>[…]</w:t>
      </w:r>
      <w:r w:rsidR="009939AB" w:rsidRPr="00AC57EA">
        <w:rPr>
          <w:rFonts w:cs="Calibri"/>
          <w:sz w:val="16"/>
          <w:szCs w:val="16"/>
          <w:lang w:val="en-US"/>
        </w:rPr>
        <w:t xml:space="preserve"> they were well looked after, not in the situation they are now.</w:t>
      </w:r>
      <w:r w:rsidR="00B5625C" w:rsidRPr="00AC57EA">
        <w:rPr>
          <w:rFonts w:cs="Calibri"/>
          <w:sz w:val="16"/>
          <w:szCs w:val="16"/>
          <w:vertAlign w:val="superscript"/>
          <w:lang w:val="en-US"/>
        </w:rPr>
        <w:footnoteReference w:id="411"/>
      </w:r>
    </w:p>
    <w:p w14:paraId="591A6751" w14:textId="77777777" w:rsidR="00B5625C" w:rsidRPr="00AC57EA" w:rsidRDefault="00B5625C" w:rsidP="00B5625C">
      <w:pPr>
        <w:tabs>
          <w:tab w:val="left" w:pos="567"/>
        </w:tabs>
        <w:spacing w:line="240" w:lineRule="auto"/>
        <w:rPr>
          <w:rFonts w:cs="Calibri"/>
          <w:sz w:val="16"/>
          <w:szCs w:val="16"/>
          <w:lang w:val="en-US"/>
        </w:rPr>
      </w:pPr>
    </w:p>
    <w:p w14:paraId="64FA802A" w14:textId="1F341528" w:rsidR="00B53418" w:rsidRPr="00AC57EA" w:rsidRDefault="00B53418" w:rsidP="009939AB">
      <w:pPr>
        <w:pStyle w:val="Prrafodelista"/>
        <w:widowControl/>
        <w:numPr>
          <w:ilvl w:val="0"/>
          <w:numId w:val="2"/>
        </w:numPr>
        <w:adjustRightInd/>
        <w:spacing w:line="240" w:lineRule="auto"/>
        <w:ind w:left="0" w:firstLine="0"/>
        <w:textAlignment w:val="auto"/>
        <w:rPr>
          <w:sz w:val="20"/>
          <w:szCs w:val="20"/>
          <w:lang w:val="en-US"/>
        </w:rPr>
      </w:pPr>
      <w:r w:rsidRPr="00AC57EA">
        <w:rPr>
          <w:sz w:val="20"/>
          <w:szCs w:val="20"/>
          <w:lang w:val="en-US"/>
        </w:rPr>
        <w:t>Re</w:t>
      </w:r>
      <w:r w:rsidR="009939AB" w:rsidRPr="00AC57EA">
        <w:rPr>
          <w:sz w:val="20"/>
          <w:szCs w:val="20"/>
          <w:lang w:val="en-US"/>
        </w:rPr>
        <w:t xml:space="preserve">garding the harm and revictimization suffered by </w:t>
      </w:r>
      <w:r w:rsidRPr="00AC57EA">
        <w:rPr>
          <w:sz w:val="20"/>
          <w:szCs w:val="20"/>
          <w:lang w:val="en-US"/>
        </w:rPr>
        <w:t>V.P.C.</w:t>
      </w:r>
      <w:r w:rsidR="00A03CDB" w:rsidRPr="00AC57EA">
        <w:rPr>
          <w:sz w:val="20"/>
          <w:szCs w:val="20"/>
          <w:lang w:val="en-US"/>
        </w:rPr>
        <w:t xml:space="preserve"> </w:t>
      </w:r>
      <w:r w:rsidR="009939AB" w:rsidRPr="00AC57EA">
        <w:rPr>
          <w:sz w:val="20"/>
          <w:szCs w:val="20"/>
          <w:lang w:val="en-US"/>
        </w:rPr>
        <w:t xml:space="preserve">when she had recourse to the courts, </w:t>
      </w:r>
      <w:r w:rsidR="009935FA" w:rsidRPr="00AC57EA">
        <w:rPr>
          <w:sz w:val="20"/>
          <w:szCs w:val="20"/>
          <w:lang w:val="en-US"/>
        </w:rPr>
        <w:t>expert witness</w:t>
      </w:r>
      <w:r w:rsidRPr="00AC57EA">
        <w:rPr>
          <w:sz w:val="20"/>
          <w:szCs w:val="20"/>
          <w:lang w:val="en-US"/>
        </w:rPr>
        <w:t xml:space="preserve"> Enrique Oscar Stola </w:t>
      </w:r>
      <w:r w:rsidR="009939AB" w:rsidRPr="00AC57EA">
        <w:rPr>
          <w:sz w:val="20"/>
          <w:szCs w:val="20"/>
          <w:lang w:val="en-US"/>
        </w:rPr>
        <w:t>indicated that</w:t>
      </w:r>
      <w:r w:rsidRPr="00AC57EA">
        <w:rPr>
          <w:sz w:val="20"/>
          <w:szCs w:val="20"/>
          <w:lang w:val="en-US"/>
        </w:rPr>
        <w:t xml:space="preserve"> “</w:t>
      </w:r>
      <w:r w:rsidR="009939AB" w:rsidRPr="00AC57EA">
        <w:rPr>
          <w:sz w:val="20"/>
          <w:szCs w:val="20"/>
          <w:lang w:val="en-US"/>
        </w:rPr>
        <w:t xml:space="preserve">the mother, who is a protective mother, is also a victim and when we analyze the conduct of the </w:t>
      </w:r>
      <w:r w:rsidR="00B8399D" w:rsidRPr="00AC57EA">
        <w:rPr>
          <w:sz w:val="20"/>
          <w:szCs w:val="20"/>
          <w:lang w:val="en-US"/>
        </w:rPr>
        <w:t>j</w:t>
      </w:r>
      <w:r w:rsidR="009939AB" w:rsidRPr="00AC57EA">
        <w:rPr>
          <w:sz w:val="20"/>
          <w:szCs w:val="20"/>
          <w:lang w:val="en-US"/>
        </w:rPr>
        <w:t>udiciary</w:t>
      </w:r>
      <w:r w:rsidR="00055EE2" w:rsidRPr="00AC57EA">
        <w:rPr>
          <w:sz w:val="20"/>
          <w:szCs w:val="20"/>
          <w:lang w:val="en-US"/>
        </w:rPr>
        <w:t xml:space="preserve">, in principle it had considered her a secondary victim, but I also think that the protective mother received such a level of abuse by the </w:t>
      </w:r>
      <w:r w:rsidR="00B8399D" w:rsidRPr="00AC57EA">
        <w:rPr>
          <w:sz w:val="20"/>
          <w:szCs w:val="20"/>
          <w:lang w:val="en-US"/>
        </w:rPr>
        <w:t>j</w:t>
      </w:r>
      <w:r w:rsidR="00055EE2" w:rsidRPr="00AC57EA">
        <w:rPr>
          <w:sz w:val="20"/>
          <w:szCs w:val="20"/>
          <w:lang w:val="en-US"/>
        </w:rPr>
        <w:t xml:space="preserve">udiciary that she may be a primary victim, together with the child. Lastly, the fact that she was made to constantly repeat what happened to different professional, the only thing this does is increase the trauma, and the prolongation of the trial, the legal proceedings, </w:t>
      </w:r>
      <w:r w:rsidR="004C65C5" w:rsidRPr="00AC57EA">
        <w:rPr>
          <w:sz w:val="20"/>
          <w:szCs w:val="20"/>
          <w:lang w:val="en-US"/>
        </w:rPr>
        <w:t>[…]</w:t>
      </w:r>
      <w:r w:rsidR="00055EE2" w:rsidRPr="00AC57EA">
        <w:rPr>
          <w:sz w:val="20"/>
          <w:szCs w:val="20"/>
          <w:lang w:val="en-US"/>
        </w:rPr>
        <w:t xml:space="preserve"> what this does is maintain the post-traumatic stress active and increase some symptoms.</w:t>
      </w:r>
      <w:r w:rsidRPr="00AC57EA">
        <w:rPr>
          <w:sz w:val="20"/>
          <w:szCs w:val="20"/>
          <w:lang w:val="en-US"/>
        </w:rPr>
        <w:t>”</w:t>
      </w:r>
      <w:r w:rsidRPr="00AC57EA">
        <w:rPr>
          <w:rStyle w:val="Refdenotaalpie"/>
          <w:sz w:val="20"/>
          <w:szCs w:val="20"/>
          <w:lang w:val="en-US"/>
        </w:rPr>
        <w:footnoteReference w:id="412"/>
      </w:r>
    </w:p>
    <w:p w14:paraId="7913C11E" w14:textId="77777777" w:rsidR="00B53418" w:rsidRPr="00AC57EA" w:rsidRDefault="00B53418" w:rsidP="00B5625C">
      <w:pPr>
        <w:tabs>
          <w:tab w:val="left" w:pos="567"/>
        </w:tabs>
        <w:spacing w:line="240" w:lineRule="auto"/>
        <w:rPr>
          <w:rFonts w:cs="Calibri"/>
          <w:sz w:val="20"/>
          <w:szCs w:val="20"/>
          <w:lang w:val="en-US"/>
        </w:rPr>
      </w:pPr>
    </w:p>
    <w:p w14:paraId="05E49164" w14:textId="0F4862D5" w:rsidR="00B5625C" w:rsidRPr="00AC57EA" w:rsidRDefault="00055EE2" w:rsidP="00055EE2">
      <w:pPr>
        <w:pStyle w:val="Prrafodelista"/>
        <w:widowControl/>
        <w:numPr>
          <w:ilvl w:val="0"/>
          <w:numId w:val="2"/>
        </w:numPr>
        <w:adjustRightInd/>
        <w:spacing w:line="240" w:lineRule="auto"/>
        <w:ind w:left="0" w:firstLine="0"/>
        <w:textAlignment w:val="auto"/>
        <w:rPr>
          <w:rFonts w:cs="Calibri"/>
          <w:sz w:val="20"/>
          <w:lang w:val="en-US"/>
        </w:rPr>
      </w:pPr>
      <w:r w:rsidRPr="00AC57EA">
        <w:rPr>
          <w:rFonts w:cs="Calibri"/>
          <w:sz w:val="20"/>
          <w:lang w:val="en-US"/>
        </w:rPr>
        <w:t>R</w:t>
      </w:r>
      <w:r w:rsidR="008474CF" w:rsidRPr="00AC57EA">
        <w:rPr>
          <w:rFonts w:cs="Calibri"/>
          <w:sz w:val="20"/>
          <w:lang w:val="en-US"/>
        </w:rPr>
        <w:t>e</w:t>
      </w:r>
      <w:r w:rsidRPr="00AC57EA">
        <w:rPr>
          <w:rFonts w:cs="Calibri"/>
          <w:sz w:val="20"/>
          <w:lang w:val="en-US"/>
        </w:rPr>
        <w:t>garding the harm to the</w:t>
      </w:r>
      <w:r w:rsidR="00B5625C" w:rsidRPr="00AC57EA">
        <w:rPr>
          <w:rFonts w:cs="Calibri"/>
          <w:sz w:val="20"/>
          <w:lang w:val="en-US"/>
        </w:rPr>
        <w:t xml:space="preserve"> </w:t>
      </w:r>
      <w:r w:rsidR="002A5974" w:rsidRPr="00AC57EA">
        <w:rPr>
          <w:rFonts w:cs="Calibri"/>
          <w:sz w:val="20"/>
          <w:lang w:val="en-US"/>
        </w:rPr>
        <w:t>personal integrity</w:t>
      </w:r>
      <w:r w:rsidR="00B5625C" w:rsidRPr="00AC57EA">
        <w:rPr>
          <w:rFonts w:cs="Calibri"/>
          <w:sz w:val="20"/>
          <w:lang w:val="en-US"/>
        </w:rPr>
        <w:t xml:space="preserve"> </w:t>
      </w:r>
      <w:r w:rsidRPr="00AC57EA">
        <w:rPr>
          <w:rFonts w:cs="Calibri"/>
          <w:sz w:val="20"/>
          <w:lang w:val="en-US"/>
        </w:rPr>
        <w:t>of V.R.P.’s sister and brothers, V.P.C. stated during the hearing that her “older daughter who came with us [to the United States], she really assumed a role, together with me, because between the two of us we tried to help my daughter [V.R.P.] recover because,</w:t>
      </w:r>
      <w:r w:rsidR="00EF136F" w:rsidRPr="00AC57EA">
        <w:rPr>
          <w:rFonts w:cs="Calibri"/>
          <w:sz w:val="20"/>
          <w:lang w:val="en-US"/>
        </w:rPr>
        <w:t xml:space="preserve"> </w:t>
      </w:r>
      <w:r w:rsidRPr="00AC57EA">
        <w:rPr>
          <w:rFonts w:cs="Calibri"/>
          <w:sz w:val="20"/>
          <w:lang w:val="en-US"/>
        </w:rPr>
        <w:t xml:space="preserve">I </w:t>
      </w:r>
      <w:r w:rsidR="00EF136F" w:rsidRPr="00AC57EA">
        <w:rPr>
          <w:rFonts w:cs="Calibri"/>
          <w:sz w:val="20"/>
          <w:lang w:val="en-US"/>
        </w:rPr>
        <w:t xml:space="preserve">often </w:t>
      </w:r>
      <w:r w:rsidRPr="00AC57EA">
        <w:rPr>
          <w:rFonts w:cs="Calibri"/>
          <w:sz w:val="20"/>
          <w:lang w:val="en-US"/>
        </w:rPr>
        <w:t xml:space="preserve">stayed with my daughter and she went to work. She even had a very strong reaction because she was confined in a psychiatric ward for about 10 days. </w:t>
      </w:r>
      <w:r w:rsidR="008474CF" w:rsidRPr="00AC57EA">
        <w:rPr>
          <w:rFonts w:cs="Calibri"/>
          <w:sz w:val="20"/>
          <w:lang w:val="en-US"/>
        </w:rPr>
        <w:t xml:space="preserve">This was not so long ago. When I left Nicaragua, in the case of my son H </w:t>
      </w:r>
      <w:r w:rsidR="004C65C5" w:rsidRPr="00AC57EA">
        <w:rPr>
          <w:rFonts w:cs="Calibri"/>
          <w:sz w:val="20"/>
          <w:lang w:val="en-US"/>
        </w:rPr>
        <w:t>[…]</w:t>
      </w:r>
      <w:r w:rsidR="008474CF" w:rsidRPr="00AC57EA">
        <w:rPr>
          <w:rFonts w:cs="Calibri"/>
          <w:sz w:val="20"/>
          <w:lang w:val="en-US"/>
        </w:rPr>
        <w:t xml:space="preserve">, </w:t>
      </w:r>
      <w:r w:rsidR="00EF136F" w:rsidRPr="00AC57EA">
        <w:rPr>
          <w:rFonts w:cs="Calibri"/>
          <w:sz w:val="20"/>
          <w:lang w:val="en-US"/>
        </w:rPr>
        <w:t>he had to be monitored</w:t>
      </w:r>
      <w:r w:rsidR="008474CF" w:rsidRPr="00AC57EA">
        <w:rPr>
          <w:rFonts w:cs="Calibri"/>
          <w:sz w:val="20"/>
          <w:lang w:val="en-US"/>
        </w:rPr>
        <w:t xml:space="preserve"> constantly because he was operated on for a brain tumor and I had to provide him with the necessary </w:t>
      </w:r>
      <w:r w:rsidR="00EF136F" w:rsidRPr="00AC57EA">
        <w:rPr>
          <w:rFonts w:cs="Calibri"/>
          <w:sz w:val="20"/>
          <w:lang w:val="en-US"/>
        </w:rPr>
        <w:t>monitoring</w:t>
      </w:r>
      <w:r w:rsidR="008474CF" w:rsidRPr="00AC57EA">
        <w:rPr>
          <w:rFonts w:cs="Calibri"/>
          <w:sz w:val="20"/>
          <w:lang w:val="en-US"/>
        </w:rPr>
        <w:t xml:space="preserve"> because he still has a drainage valve in his head and was almost abandoned because I haven’t been able to help with his health.</w:t>
      </w:r>
      <w:r w:rsidR="00F6290A" w:rsidRPr="00AC57EA">
        <w:rPr>
          <w:rFonts w:cs="Calibri"/>
          <w:sz w:val="20"/>
          <w:lang w:val="en-US"/>
        </w:rPr>
        <w:t>”</w:t>
      </w:r>
      <w:r w:rsidR="00F6290A" w:rsidRPr="00AC57EA">
        <w:rPr>
          <w:rFonts w:cs="Calibri"/>
          <w:sz w:val="20"/>
          <w:vertAlign w:val="superscript"/>
          <w:lang w:val="en-US"/>
        </w:rPr>
        <w:footnoteReference w:id="413"/>
      </w:r>
      <w:r w:rsidR="008474CF" w:rsidRPr="00AC57EA">
        <w:rPr>
          <w:rFonts w:cs="Calibri"/>
          <w:sz w:val="20"/>
          <w:lang w:val="en-US"/>
        </w:rPr>
        <w:t xml:space="preserve"> She also stated that</w:t>
      </w:r>
      <w:r w:rsidR="00F6290A" w:rsidRPr="00AC57EA">
        <w:rPr>
          <w:rFonts w:cs="Calibri"/>
          <w:sz w:val="20"/>
          <w:lang w:val="en-US"/>
        </w:rPr>
        <w:t xml:space="preserve"> H.J.R.P.</w:t>
      </w:r>
      <w:r w:rsidR="00B5625C" w:rsidRPr="00AC57EA">
        <w:rPr>
          <w:rFonts w:cs="Calibri"/>
          <w:sz w:val="20"/>
          <w:lang w:val="en-US"/>
        </w:rPr>
        <w:t xml:space="preserve"> </w:t>
      </w:r>
      <w:r w:rsidR="008474CF" w:rsidRPr="00AC57EA">
        <w:rPr>
          <w:rFonts w:cs="Calibri"/>
          <w:sz w:val="20"/>
          <w:lang w:val="en-US"/>
        </w:rPr>
        <w:t>had been dismissed from his job owing to international petition</w:t>
      </w:r>
      <w:r w:rsidR="00EF136F" w:rsidRPr="00AC57EA">
        <w:rPr>
          <w:rFonts w:cs="Calibri"/>
          <w:sz w:val="20"/>
          <w:lang w:val="en-US"/>
        </w:rPr>
        <w:t xml:space="preserve"> filed</w:t>
      </w:r>
      <w:r w:rsidR="008474CF" w:rsidRPr="00AC57EA">
        <w:rPr>
          <w:rFonts w:cs="Calibri"/>
          <w:sz w:val="20"/>
          <w:lang w:val="en-US"/>
        </w:rPr>
        <w:t xml:space="preserve"> in this case. Regarding </w:t>
      </w:r>
      <w:r w:rsidR="00F6290A" w:rsidRPr="00AC57EA">
        <w:rPr>
          <w:rFonts w:cs="Calibri"/>
          <w:sz w:val="20"/>
          <w:lang w:val="en-US"/>
        </w:rPr>
        <w:t>V.</w:t>
      </w:r>
      <w:r w:rsidR="00D858CB" w:rsidRPr="00AC57EA">
        <w:rPr>
          <w:rFonts w:cs="Calibri"/>
          <w:sz w:val="20"/>
          <w:lang w:val="en-US"/>
        </w:rPr>
        <w:t>A.</w:t>
      </w:r>
      <w:r w:rsidR="00F6290A" w:rsidRPr="00AC57EA">
        <w:rPr>
          <w:rFonts w:cs="Calibri"/>
          <w:sz w:val="20"/>
          <w:lang w:val="en-US"/>
        </w:rPr>
        <w:t xml:space="preserve">R.P., </w:t>
      </w:r>
      <w:r w:rsidR="008474CF" w:rsidRPr="00AC57EA">
        <w:rPr>
          <w:rFonts w:cs="Calibri"/>
          <w:sz w:val="20"/>
          <w:lang w:val="en-US"/>
        </w:rPr>
        <w:t>she stated that she has been unable to pay for the medicines required for h</w:t>
      </w:r>
      <w:r w:rsidR="00D858CB" w:rsidRPr="00AC57EA">
        <w:rPr>
          <w:rFonts w:cs="Calibri"/>
          <w:sz w:val="20"/>
          <w:lang w:val="en-US"/>
        </w:rPr>
        <w:t>is</w:t>
      </w:r>
      <w:r w:rsidR="008474CF" w:rsidRPr="00AC57EA">
        <w:rPr>
          <w:rFonts w:cs="Calibri"/>
          <w:sz w:val="20"/>
          <w:lang w:val="en-US"/>
        </w:rPr>
        <w:t xml:space="preserve"> health problems.</w:t>
      </w:r>
      <w:r w:rsidR="00B5625C" w:rsidRPr="00AC57EA">
        <w:rPr>
          <w:rFonts w:cs="Calibri"/>
          <w:sz w:val="20"/>
          <w:vertAlign w:val="superscript"/>
          <w:lang w:val="en-US"/>
        </w:rPr>
        <w:footnoteReference w:id="414"/>
      </w:r>
    </w:p>
    <w:p w14:paraId="2CAA559D" w14:textId="77777777" w:rsidR="00B5625C" w:rsidRPr="00AC57EA" w:rsidRDefault="00B5625C" w:rsidP="00B5625C">
      <w:pPr>
        <w:tabs>
          <w:tab w:val="left" w:pos="567"/>
        </w:tabs>
        <w:spacing w:line="240" w:lineRule="auto"/>
        <w:rPr>
          <w:rFonts w:cs="Calibri"/>
          <w:sz w:val="20"/>
          <w:lang w:val="en-US"/>
        </w:rPr>
      </w:pPr>
    </w:p>
    <w:p w14:paraId="1DA328ED" w14:textId="4D3A60C6" w:rsidR="00B5625C" w:rsidRPr="00AC57EA" w:rsidRDefault="00AB0171" w:rsidP="00D858CB">
      <w:pPr>
        <w:pStyle w:val="Prrafodelista"/>
        <w:widowControl/>
        <w:numPr>
          <w:ilvl w:val="0"/>
          <w:numId w:val="2"/>
        </w:numPr>
        <w:adjustRightInd/>
        <w:spacing w:line="240" w:lineRule="auto"/>
        <w:ind w:left="0" w:firstLine="0"/>
        <w:textAlignment w:val="auto"/>
        <w:rPr>
          <w:rFonts w:cs="Calibri"/>
          <w:sz w:val="20"/>
          <w:lang w:val="en-US"/>
        </w:rPr>
      </w:pPr>
      <w:r w:rsidRPr="00AC57EA">
        <w:rPr>
          <w:sz w:val="20"/>
          <w:szCs w:val="20"/>
          <w:lang w:val="en-US"/>
        </w:rPr>
        <w:t>In the case of</w:t>
      </w:r>
      <w:r w:rsidR="00B536DB" w:rsidRPr="00AC57EA">
        <w:rPr>
          <w:sz w:val="20"/>
          <w:szCs w:val="20"/>
          <w:lang w:val="en-US"/>
        </w:rPr>
        <w:t xml:space="preserve"> H.J.R.P., </w:t>
      </w:r>
      <w:r w:rsidRPr="00AC57EA">
        <w:rPr>
          <w:sz w:val="20"/>
          <w:szCs w:val="20"/>
          <w:lang w:val="en-US"/>
        </w:rPr>
        <w:t>according to h</w:t>
      </w:r>
      <w:r w:rsidR="00D858CB" w:rsidRPr="00AC57EA">
        <w:rPr>
          <w:sz w:val="20"/>
          <w:szCs w:val="20"/>
          <w:lang w:val="en-US"/>
        </w:rPr>
        <w:t>is</w:t>
      </w:r>
      <w:r w:rsidRPr="00AC57EA">
        <w:rPr>
          <w:sz w:val="20"/>
          <w:szCs w:val="20"/>
          <w:lang w:val="en-US"/>
        </w:rPr>
        <w:t xml:space="preserve"> affidavit, </w:t>
      </w:r>
      <w:r w:rsidR="007F6051" w:rsidRPr="00AC57EA">
        <w:rPr>
          <w:sz w:val="20"/>
          <w:szCs w:val="20"/>
          <w:lang w:val="en-US"/>
        </w:rPr>
        <w:t xml:space="preserve">the departure from Nicaragua of his mother and sisters </w:t>
      </w:r>
      <w:r w:rsidR="00D858CB" w:rsidRPr="00AC57EA">
        <w:rPr>
          <w:sz w:val="20"/>
          <w:szCs w:val="20"/>
          <w:lang w:val="en-US"/>
        </w:rPr>
        <w:t xml:space="preserve">destroyed his life, because his mother was his “emotional, moral and financial support” and since she left Nicaragua he has not been able to undergo periodic magnetic resonance imaging (MRI) tests to monitor the valve implanted in his cerebellum owing to a surgical procedure he underwent for a brain tumor. He also indicated that, owing to the petition that V.P.C. lodged with </w:t>
      </w:r>
      <w:r w:rsidR="00B7258C" w:rsidRPr="00AC57EA">
        <w:rPr>
          <w:sz w:val="20"/>
          <w:szCs w:val="20"/>
          <w:lang w:val="en-US"/>
        </w:rPr>
        <w:t>the Inter-American Commission</w:t>
      </w:r>
      <w:r w:rsidR="00B536DB" w:rsidRPr="00AC57EA">
        <w:rPr>
          <w:sz w:val="20"/>
          <w:szCs w:val="20"/>
          <w:lang w:val="en-US"/>
        </w:rPr>
        <w:t>, “</w:t>
      </w:r>
      <w:r w:rsidR="00D858CB" w:rsidRPr="00AC57EA">
        <w:rPr>
          <w:sz w:val="20"/>
          <w:szCs w:val="20"/>
          <w:lang w:val="en-US"/>
        </w:rPr>
        <w:t>many of the judges and court secretaries created a climate of rejection and unease [around him].” This “prejudiced [him] professionally because [he was] unable to find stable employment.” He also asserted that “[a]ll this had had repercussions on [his] daily life, harming [his] bad health even more with gastritis, migraines and episodes of depression increased by his financial situation.</w:t>
      </w:r>
      <w:r w:rsidR="00B536DB" w:rsidRPr="00AC57EA">
        <w:rPr>
          <w:sz w:val="20"/>
          <w:szCs w:val="20"/>
          <w:lang w:val="en-US"/>
        </w:rPr>
        <w:t>”</w:t>
      </w:r>
      <w:r w:rsidR="00B536DB" w:rsidRPr="00AC57EA">
        <w:rPr>
          <w:rStyle w:val="Refdenotaalpie"/>
          <w:sz w:val="20"/>
          <w:szCs w:val="20"/>
          <w:lang w:val="en-US"/>
        </w:rPr>
        <w:footnoteReference w:id="415"/>
      </w:r>
      <w:r w:rsidR="00B5625C" w:rsidRPr="00AC57EA">
        <w:rPr>
          <w:rFonts w:cs="Calibri"/>
          <w:sz w:val="20"/>
          <w:lang w:val="en-US"/>
        </w:rPr>
        <w:t xml:space="preserve"> V.A.R.P.</w:t>
      </w:r>
      <w:r w:rsidR="00E40CD7" w:rsidRPr="00AC57EA">
        <w:rPr>
          <w:rFonts w:cs="Calibri"/>
          <w:sz w:val="20"/>
          <w:lang w:val="en-US"/>
        </w:rPr>
        <w:t xml:space="preserve"> indic</w:t>
      </w:r>
      <w:r w:rsidR="00D858CB" w:rsidRPr="00AC57EA">
        <w:rPr>
          <w:rFonts w:cs="Calibri"/>
          <w:sz w:val="20"/>
          <w:lang w:val="en-US"/>
        </w:rPr>
        <w:t xml:space="preserve">ated in his affidavit that, apart from the severe emotional effects </w:t>
      </w:r>
      <w:r w:rsidR="00EF136F" w:rsidRPr="00AC57EA">
        <w:rPr>
          <w:rFonts w:cs="Calibri"/>
          <w:sz w:val="20"/>
          <w:lang w:val="en-US"/>
        </w:rPr>
        <w:t>of</w:t>
      </w:r>
      <w:r w:rsidR="00D858CB" w:rsidRPr="00AC57EA">
        <w:rPr>
          <w:rFonts w:cs="Calibri"/>
          <w:sz w:val="20"/>
          <w:lang w:val="en-US"/>
        </w:rPr>
        <w:t xml:space="preserve"> the stigm</w:t>
      </w:r>
      <w:r w:rsidR="0091608B" w:rsidRPr="00AC57EA">
        <w:rPr>
          <w:rFonts w:cs="Calibri"/>
          <w:sz w:val="20"/>
          <w:lang w:val="en-US"/>
        </w:rPr>
        <w:t xml:space="preserve">atization and revictimization experienced owing to the domestic proceedings and the </w:t>
      </w:r>
      <w:r w:rsidR="00EF136F" w:rsidRPr="00AC57EA">
        <w:rPr>
          <w:rFonts w:cs="Calibri"/>
          <w:sz w:val="20"/>
          <w:lang w:val="en-US"/>
        </w:rPr>
        <w:t xml:space="preserve">break-up </w:t>
      </w:r>
      <w:r w:rsidR="0091608B" w:rsidRPr="00AC57EA">
        <w:rPr>
          <w:rFonts w:cs="Calibri"/>
          <w:sz w:val="20"/>
          <w:lang w:val="en-US"/>
        </w:rPr>
        <w:t>of his family, he was unable to study and his dreams were curtailed because he could not complete his university education.</w:t>
      </w:r>
      <w:r w:rsidR="00B5625C" w:rsidRPr="00AC57EA">
        <w:rPr>
          <w:rFonts w:cs="Calibri"/>
          <w:sz w:val="20"/>
          <w:vertAlign w:val="superscript"/>
          <w:lang w:val="en-US"/>
        </w:rPr>
        <w:footnoteReference w:id="416"/>
      </w:r>
      <w:r w:rsidR="00B5625C" w:rsidRPr="00AC57EA">
        <w:rPr>
          <w:rFonts w:cs="Calibri"/>
          <w:sz w:val="20"/>
          <w:lang w:val="en-US"/>
        </w:rPr>
        <w:t xml:space="preserve"> </w:t>
      </w:r>
      <w:r w:rsidR="0091608B" w:rsidRPr="00AC57EA">
        <w:rPr>
          <w:rFonts w:eastAsiaTheme="minorHAnsi" w:cstheme="minorBidi"/>
          <w:sz w:val="20"/>
          <w:szCs w:val="20"/>
          <w:lang w:val="en-US" w:eastAsia="en-US"/>
        </w:rPr>
        <w:t>Meanwhile</w:t>
      </w:r>
      <w:r w:rsidR="001B2DEA" w:rsidRPr="00AC57EA">
        <w:rPr>
          <w:rFonts w:eastAsiaTheme="minorHAnsi" w:cstheme="minorBidi"/>
          <w:sz w:val="20"/>
          <w:szCs w:val="20"/>
          <w:lang w:val="en-US" w:eastAsia="en-US"/>
        </w:rPr>
        <w:t xml:space="preserve">, N.R.P. </w:t>
      </w:r>
      <w:r w:rsidR="0091608B" w:rsidRPr="00AC57EA">
        <w:rPr>
          <w:rFonts w:eastAsiaTheme="minorHAnsi" w:cstheme="minorBidi"/>
          <w:sz w:val="20"/>
          <w:szCs w:val="20"/>
          <w:lang w:val="en-US" w:eastAsia="en-US"/>
        </w:rPr>
        <w:t>recounted that the situation experienced as a result of the legal proceedings undertaken “was exhausting, frightening, and denigrating for the all the members of the family.</w:t>
      </w:r>
      <w:r w:rsidR="003A7F24" w:rsidRPr="00AC57EA">
        <w:rPr>
          <w:rFonts w:eastAsiaTheme="minorHAnsi" w:cstheme="minorBidi"/>
          <w:sz w:val="20"/>
          <w:szCs w:val="20"/>
          <w:lang w:val="en-US" w:eastAsia="en-US"/>
        </w:rPr>
        <w:t>”</w:t>
      </w:r>
      <w:r w:rsidR="0091608B" w:rsidRPr="00AC57EA">
        <w:rPr>
          <w:rFonts w:eastAsiaTheme="minorHAnsi" w:cstheme="minorBidi"/>
          <w:sz w:val="20"/>
          <w:szCs w:val="20"/>
          <w:lang w:val="en-US" w:eastAsia="en-US"/>
        </w:rPr>
        <w:t xml:space="preserve"> She also indicated that “the deterioration in [her] emotional, physical and mental health [caused by the events of this case] have thwarted </w:t>
      </w:r>
      <w:r w:rsidR="00EF136F" w:rsidRPr="00AC57EA">
        <w:rPr>
          <w:rFonts w:eastAsiaTheme="minorHAnsi" w:cstheme="minorBidi"/>
          <w:sz w:val="20"/>
          <w:szCs w:val="20"/>
          <w:lang w:val="en-US" w:eastAsia="en-US"/>
        </w:rPr>
        <w:t>[</w:t>
      </w:r>
      <w:r w:rsidR="0091608B" w:rsidRPr="00AC57EA">
        <w:rPr>
          <w:rFonts w:eastAsiaTheme="minorHAnsi" w:cstheme="minorBidi"/>
          <w:sz w:val="20"/>
          <w:szCs w:val="20"/>
          <w:lang w:val="en-US" w:eastAsia="en-US"/>
        </w:rPr>
        <w:t>her</w:t>
      </w:r>
      <w:r w:rsidR="00EF136F" w:rsidRPr="00AC57EA">
        <w:rPr>
          <w:rFonts w:eastAsiaTheme="minorHAnsi" w:cstheme="minorBidi"/>
          <w:sz w:val="20"/>
          <w:szCs w:val="20"/>
          <w:lang w:val="en-US" w:eastAsia="en-US"/>
        </w:rPr>
        <w:t>]</w:t>
      </w:r>
      <w:r w:rsidR="0091608B" w:rsidRPr="00AC57EA">
        <w:rPr>
          <w:rFonts w:eastAsiaTheme="minorHAnsi" w:cstheme="minorBidi"/>
          <w:sz w:val="20"/>
          <w:szCs w:val="20"/>
          <w:lang w:val="en-US" w:eastAsia="en-US"/>
        </w:rPr>
        <w:t xml:space="preserve"> professional development owing to the impact on [her] life of the</w:t>
      </w:r>
      <w:r w:rsidR="00EF136F" w:rsidRPr="00AC57EA">
        <w:rPr>
          <w:rFonts w:eastAsiaTheme="minorHAnsi" w:cstheme="minorBidi"/>
          <w:sz w:val="20"/>
          <w:szCs w:val="20"/>
          <w:lang w:val="en-US" w:eastAsia="en-US"/>
        </w:rPr>
        <w:t xml:space="preserve"> family’s</w:t>
      </w:r>
      <w:r w:rsidR="0091608B" w:rsidRPr="00AC57EA">
        <w:rPr>
          <w:rFonts w:eastAsiaTheme="minorHAnsi" w:cstheme="minorBidi"/>
          <w:sz w:val="20"/>
          <w:szCs w:val="20"/>
          <w:lang w:val="en-US" w:eastAsia="en-US"/>
        </w:rPr>
        <w:t xml:space="preserve"> disintegration.</w:t>
      </w:r>
      <w:r w:rsidR="001B2DEA" w:rsidRPr="00AC57EA">
        <w:rPr>
          <w:rFonts w:eastAsiaTheme="minorHAnsi" w:cstheme="minorBidi"/>
          <w:sz w:val="20"/>
          <w:szCs w:val="20"/>
          <w:lang w:val="en-US" w:eastAsia="en-US"/>
        </w:rPr>
        <w:t>”</w:t>
      </w:r>
      <w:r w:rsidR="001B2DEA" w:rsidRPr="00AC57EA">
        <w:rPr>
          <w:rFonts w:eastAsiaTheme="minorHAnsi" w:cstheme="minorBidi"/>
          <w:sz w:val="20"/>
          <w:szCs w:val="20"/>
          <w:vertAlign w:val="superscript"/>
          <w:lang w:val="en-US" w:eastAsia="en-US"/>
        </w:rPr>
        <w:footnoteReference w:id="417"/>
      </w:r>
    </w:p>
    <w:p w14:paraId="1765CB1D" w14:textId="77777777" w:rsidR="00B5625C" w:rsidRPr="00AC57EA" w:rsidRDefault="00B5625C" w:rsidP="00B5625C">
      <w:pPr>
        <w:tabs>
          <w:tab w:val="left" w:pos="567"/>
        </w:tabs>
        <w:spacing w:line="240" w:lineRule="auto"/>
        <w:rPr>
          <w:rFonts w:cs="Calibri"/>
          <w:sz w:val="20"/>
          <w:lang w:val="en-US"/>
        </w:rPr>
      </w:pPr>
    </w:p>
    <w:p w14:paraId="372DE829" w14:textId="1011EBF4" w:rsidR="00B5625C" w:rsidRPr="00AC57EA" w:rsidRDefault="00B7258C" w:rsidP="0091608B">
      <w:pPr>
        <w:pStyle w:val="Prrafodelista"/>
        <w:widowControl/>
        <w:numPr>
          <w:ilvl w:val="0"/>
          <w:numId w:val="2"/>
        </w:numPr>
        <w:adjustRightInd/>
        <w:spacing w:line="240" w:lineRule="auto"/>
        <w:ind w:left="0" w:firstLine="0"/>
        <w:textAlignment w:val="auto"/>
        <w:rPr>
          <w:rFonts w:eastAsiaTheme="minorHAnsi" w:cstheme="minorBidi"/>
          <w:sz w:val="20"/>
          <w:szCs w:val="20"/>
          <w:lang w:val="en-US" w:eastAsia="en-US"/>
        </w:rPr>
      </w:pPr>
      <w:r w:rsidRPr="00AC57EA">
        <w:rPr>
          <w:rFonts w:eastAsiaTheme="minorHAnsi" w:cstheme="minorBidi"/>
          <w:sz w:val="20"/>
          <w:szCs w:val="20"/>
          <w:lang w:val="en-US" w:eastAsia="en-US"/>
        </w:rPr>
        <w:t>The Court</w:t>
      </w:r>
      <w:r w:rsidR="00B5625C" w:rsidRPr="00AC57EA">
        <w:rPr>
          <w:rFonts w:eastAsiaTheme="minorHAnsi" w:cstheme="minorBidi"/>
          <w:sz w:val="20"/>
          <w:szCs w:val="20"/>
          <w:lang w:val="en-US" w:eastAsia="en-US"/>
        </w:rPr>
        <w:t xml:space="preserve"> </w:t>
      </w:r>
      <w:r w:rsidR="0091608B" w:rsidRPr="00AC57EA">
        <w:rPr>
          <w:rFonts w:eastAsiaTheme="minorHAnsi" w:cstheme="minorBidi"/>
          <w:sz w:val="20"/>
          <w:szCs w:val="20"/>
          <w:lang w:val="en-US" w:eastAsia="en-US"/>
        </w:rPr>
        <w:t xml:space="preserve">notes that, in this case, the State’s conduct in response to the rape suffered by V.R.P., the revictimization, the institutional violence caused by the intervening authorities, the accusations filed by public servants and officials, as determined in this judgment, had significant mental and emotional effects on V.P.C. and her children </w:t>
      </w:r>
      <w:r w:rsidR="00AD49AB" w:rsidRPr="00AC57EA">
        <w:rPr>
          <w:rFonts w:eastAsiaTheme="minorHAnsi" w:cstheme="minorBidi"/>
          <w:sz w:val="20"/>
          <w:szCs w:val="20"/>
          <w:lang w:val="en-US" w:eastAsia="en-US"/>
        </w:rPr>
        <w:t xml:space="preserve">N.R.P., </w:t>
      </w:r>
      <w:r w:rsidR="00B5625C" w:rsidRPr="00AC57EA">
        <w:rPr>
          <w:rFonts w:eastAsiaTheme="minorHAnsi" w:cstheme="minorBidi"/>
          <w:sz w:val="20"/>
          <w:szCs w:val="20"/>
          <w:lang w:val="en-US" w:eastAsia="en-US"/>
        </w:rPr>
        <w:t>H.J.R.P.</w:t>
      </w:r>
      <w:r w:rsidR="00171E27" w:rsidRPr="00AC57EA">
        <w:rPr>
          <w:rFonts w:eastAsiaTheme="minorHAnsi" w:cstheme="minorBidi"/>
          <w:sz w:val="20"/>
          <w:szCs w:val="20"/>
          <w:lang w:val="en-US" w:eastAsia="en-US"/>
        </w:rPr>
        <w:t xml:space="preserve"> and </w:t>
      </w:r>
      <w:r w:rsidR="00B5625C" w:rsidRPr="00AC57EA">
        <w:rPr>
          <w:rFonts w:eastAsiaTheme="minorHAnsi" w:cstheme="minorBidi"/>
          <w:sz w:val="20"/>
          <w:szCs w:val="20"/>
          <w:lang w:val="en-US" w:eastAsia="en-US"/>
        </w:rPr>
        <w:t xml:space="preserve">V.A.R.P. </w:t>
      </w:r>
      <w:r w:rsidR="0091608B" w:rsidRPr="00AC57EA">
        <w:rPr>
          <w:rFonts w:eastAsiaTheme="minorHAnsi" w:cstheme="minorBidi"/>
          <w:sz w:val="20"/>
          <w:szCs w:val="20"/>
          <w:lang w:val="en-US" w:eastAsia="en-US"/>
        </w:rPr>
        <w:t xml:space="preserve">In addition, the Court considers that, as has been established </w:t>
      </w:r>
      <w:r w:rsidR="001B2DEA" w:rsidRPr="00AC57EA">
        <w:rPr>
          <w:rFonts w:eastAsiaTheme="minorHAnsi" w:cstheme="minorBidi"/>
          <w:sz w:val="20"/>
          <w:szCs w:val="20"/>
          <w:lang w:val="en-US" w:eastAsia="en-US"/>
        </w:rPr>
        <w:t>(</w:t>
      </w:r>
      <w:r w:rsidR="001B2DEA" w:rsidRPr="00AC57EA">
        <w:rPr>
          <w:rFonts w:eastAsiaTheme="minorHAnsi" w:cstheme="minorBidi"/>
          <w:i/>
          <w:sz w:val="20"/>
          <w:szCs w:val="20"/>
          <w:lang w:val="en-US" w:eastAsia="en-US"/>
        </w:rPr>
        <w:t xml:space="preserve">supra </w:t>
      </w:r>
      <w:r w:rsidR="00B61370" w:rsidRPr="00AC57EA">
        <w:rPr>
          <w:rFonts w:eastAsiaTheme="minorHAnsi" w:cstheme="minorBidi"/>
          <w:sz w:val="20"/>
          <w:szCs w:val="20"/>
          <w:lang w:val="en-US" w:eastAsia="en-US"/>
        </w:rPr>
        <w:t>Chapter</w:t>
      </w:r>
      <w:r w:rsidR="001B2DEA" w:rsidRPr="00AC57EA">
        <w:rPr>
          <w:rFonts w:eastAsiaTheme="minorHAnsi" w:cstheme="minorBidi"/>
          <w:sz w:val="20"/>
          <w:szCs w:val="20"/>
          <w:lang w:val="en-US" w:eastAsia="en-US"/>
        </w:rPr>
        <w:t xml:space="preserve"> VIII-2),</w:t>
      </w:r>
      <w:r w:rsidR="00B5625C" w:rsidRPr="00AC57EA">
        <w:rPr>
          <w:rFonts w:eastAsiaTheme="minorHAnsi" w:cstheme="minorBidi"/>
          <w:sz w:val="20"/>
          <w:szCs w:val="20"/>
          <w:lang w:val="en-US" w:eastAsia="en-US"/>
        </w:rPr>
        <w:t xml:space="preserve"> V.P.C.</w:t>
      </w:r>
      <w:r w:rsidR="00171E27" w:rsidRPr="00AC57EA">
        <w:rPr>
          <w:rFonts w:eastAsiaTheme="minorHAnsi" w:cstheme="minorBidi"/>
          <w:sz w:val="20"/>
          <w:szCs w:val="20"/>
          <w:lang w:val="en-US" w:eastAsia="en-US"/>
        </w:rPr>
        <w:t xml:space="preserve"> and </w:t>
      </w:r>
      <w:r w:rsidR="0091608B" w:rsidRPr="00AC57EA">
        <w:rPr>
          <w:rFonts w:eastAsiaTheme="minorHAnsi" w:cstheme="minorBidi"/>
          <w:sz w:val="20"/>
          <w:szCs w:val="20"/>
          <w:lang w:val="en-US" w:eastAsia="en-US"/>
        </w:rPr>
        <w:t>her two daughters,</w:t>
      </w:r>
      <w:r w:rsidR="00B5625C" w:rsidRPr="00AC57EA">
        <w:rPr>
          <w:rFonts w:eastAsiaTheme="minorHAnsi" w:cstheme="minorBidi"/>
          <w:sz w:val="20"/>
          <w:szCs w:val="20"/>
          <w:lang w:val="en-US" w:eastAsia="en-US"/>
        </w:rPr>
        <w:t xml:space="preserve"> V.R.P.</w:t>
      </w:r>
      <w:r w:rsidR="00171E27" w:rsidRPr="00AC57EA">
        <w:rPr>
          <w:rFonts w:eastAsiaTheme="minorHAnsi" w:cstheme="minorBidi"/>
          <w:sz w:val="20"/>
          <w:szCs w:val="20"/>
          <w:lang w:val="en-US" w:eastAsia="en-US"/>
        </w:rPr>
        <w:t xml:space="preserve"> and </w:t>
      </w:r>
      <w:r w:rsidR="001B2DEA" w:rsidRPr="00AC57EA">
        <w:rPr>
          <w:rFonts w:eastAsiaTheme="minorHAnsi" w:cstheme="minorBidi"/>
          <w:sz w:val="20"/>
          <w:szCs w:val="20"/>
          <w:lang w:val="en-US" w:eastAsia="en-US"/>
        </w:rPr>
        <w:t>N.R.P.</w:t>
      </w:r>
      <w:r w:rsidR="00B5625C" w:rsidRPr="00AC57EA">
        <w:rPr>
          <w:rFonts w:eastAsiaTheme="minorHAnsi" w:cstheme="minorBidi"/>
          <w:sz w:val="20"/>
          <w:szCs w:val="20"/>
          <w:lang w:val="en-US" w:eastAsia="en-US"/>
        </w:rPr>
        <w:t xml:space="preserve">, </w:t>
      </w:r>
      <w:r w:rsidR="0091608B" w:rsidRPr="00AC57EA">
        <w:rPr>
          <w:rFonts w:eastAsiaTheme="minorHAnsi" w:cstheme="minorBidi"/>
          <w:sz w:val="20"/>
          <w:szCs w:val="20"/>
          <w:lang w:val="en-US" w:eastAsia="en-US"/>
        </w:rPr>
        <w:t xml:space="preserve">were forced to leave Nicaragua and request asylum in another country. This situation caused the family socio-economic difficulties, and also the loss of their employment in the case of </w:t>
      </w:r>
      <w:r w:rsidR="001B2DEA" w:rsidRPr="00AC57EA">
        <w:rPr>
          <w:rFonts w:eastAsiaTheme="minorHAnsi" w:cstheme="minorBidi"/>
          <w:sz w:val="20"/>
          <w:szCs w:val="20"/>
          <w:lang w:val="en-US" w:eastAsia="en-US"/>
        </w:rPr>
        <w:t>V.P.C.</w:t>
      </w:r>
      <w:r w:rsidR="00171E27" w:rsidRPr="00AC57EA">
        <w:rPr>
          <w:rFonts w:eastAsiaTheme="minorHAnsi" w:cstheme="minorBidi"/>
          <w:sz w:val="20"/>
          <w:szCs w:val="20"/>
          <w:lang w:val="en-US" w:eastAsia="en-US"/>
        </w:rPr>
        <w:t xml:space="preserve"> and </w:t>
      </w:r>
      <w:r w:rsidR="001B2DEA" w:rsidRPr="00AC57EA">
        <w:rPr>
          <w:rFonts w:eastAsiaTheme="minorHAnsi" w:cstheme="minorBidi"/>
          <w:sz w:val="20"/>
          <w:szCs w:val="20"/>
          <w:lang w:val="en-US" w:eastAsia="en-US"/>
        </w:rPr>
        <w:t>H.J.R.P.</w:t>
      </w:r>
      <w:r w:rsidR="00B5625C" w:rsidRPr="00AC57EA">
        <w:rPr>
          <w:rFonts w:eastAsiaTheme="minorHAnsi" w:cstheme="minorBidi"/>
          <w:sz w:val="20"/>
          <w:szCs w:val="20"/>
          <w:lang w:val="en-US" w:eastAsia="en-US"/>
        </w:rPr>
        <w:t xml:space="preserve"> </w:t>
      </w:r>
      <w:r w:rsidR="0091608B" w:rsidRPr="00AC57EA">
        <w:rPr>
          <w:rFonts w:eastAsiaTheme="minorHAnsi" w:cstheme="minorBidi"/>
          <w:sz w:val="20"/>
          <w:szCs w:val="20"/>
          <w:lang w:val="en-US" w:eastAsia="en-US"/>
        </w:rPr>
        <w:t>and, in the case of</w:t>
      </w:r>
      <w:r w:rsidR="00B5625C" w:rsidRPr="00AC57EA">
        <w:rPr>
          <w:rFonts w:eastAsiaTheme="minorHAnsi" w:cstheme="minorBidi"/>
          <w:sz w:val="20"/>
          <w:szCs w:val="20"/>
          <w:lang w:val="en-US" w:eastAsia="en-US"/>
        </w:rPr>
        <w:t xml:space="preserve"> V.A.R.P.</w:t>
      </w:r>
      <w:r w:rsidR="001B2DEA" w:rsidRPr="00AC57EA">
        <w:rPr>
          <w:rFonts w:eastAsiaTheme="minorHAnsi" w:cstheme="minorBidi"/>
          <w:sz w:val="20"/>
          <w:szCs w:val="20"/>
          <w:lang w:val="en-US" w:eastAsia="en-US"/>
        </w:rPr>
        <w:t xml:space="preserve">, </w:t>
      </w:r>
      <w:r w:rsidR="0091608B" w:rsidRPr="00AC57EA">
        <w:rPr>
          <w:rFonts w:eastAsiaTheme="minorHAnsi" w:cstheme="minorBidi"/>
          <w:sz w:val="20"/>
          <w:szCs w:val="20"/>
          <w:lang w:val="en-US" w:eastAsia="en-US"/>
        </w:rPr>
        <w:t>the loss of the possibility of completing his university studies</w:t>
      </w:r>
      <w:r w:rsidR="00B5625C" w:rsidRPr="00AC57EA">
        <w:rPr>
          <w:rFonts w:eastAsiaTheme="minorHAnsi" w:cstheme="minorBidi"/>
          <w:sz w:val="20"/>
          <w:szCs w:val="20"/>
          <w:lang w:val="en-US" w:eastAsia="en-US"/>
        </w:rPr>
        <w:t>.</w:t>
      </w:r>
    </w:p>
    <w:p w14:paraId="77303173" w14:textId="77777777" w:rsidR="00B5625C" w:rsidRPr="00AC57EA" w:rsidRDefault="00B5625C" w:rsidP="00B5625C">
      <w:pPr>
        <w:tabs>
          <w:tab w:val="left" w:pos="567"/>
        </w:tabs>
        <w:spacing w:line="240" w:lineRule="auto"/>
        <w:rPr>
          <w:rFonts w:cs="Calibri"/>
          <w:sz w:val="20"/>
          <w:lang w:val="en-US"/>
        </w:rPr>
      </w:pPr>
    </w:p>
    <w:p w14:paraId="0EE610B3" w14:textId="04676D1E" w:rsidR="00B5625C" w:rsidRPr="00AC57EA" w:rsidRDefault="0091608B" w:rsidP="009167FE">
      <w:pPr>
        <w:pStyle w:val="Prrafodelista"/>
        <w:widowControl/>
        <w:numPr>
          <w:ilvl w:val="0"/>
          <w:numId w:val="2"/>
        </w:numPr>
        <w:adjustRightInd/>
        <w:spacing w:line="240" w:lineRule="auto"/>
        <w:ind w:left="0" w:firstLine="0"/>
        <w:textAlignment w:val="auto"/>
        <w:rPr>
          <w:rFonts w:cs="Calibri"/>
          <w:sz w:val="20"/>
          <w:lang w:val="en-US"/>
        </w:rPr>
      </w:pPr>
      <w:r w:rsidRPr="00AC57EA">
        <w:rPr>
          <w:rFonts w:cs="Calibri"/>
          <w:sz w:val="20"/>
          <w:lang w:val="en-US"/>
        </w:rPr>
        <w:t xml:space="preserve">Consequently, the Court finds that the </w:t>
      </w:r>
      <w:r w:rsidR="00EC52D7" w:rsidRPr="00AC57EA">
        <w:rPr>
          <w:rFonts w:cs="Calibri"/>
          <w:sz w:val="20"/>
          <w:lang w:val="en-US"/>
        </w:rPr>
        <w:t>State</w:t>
      </w:r>
      <w:r w:rsidR="00B5625C" w:rsidRPr="00AC57EA">
        <w:rPr>
          <w:rFonts w:cs="Calibri"/>
          <w:sz w:val="20"/>
          <w:lang w:val="en-US"/>
        </w:rPr>
        <w:t xml:space="preserve"> </w:t>
      </w:r>
      <w:r w:rsidR="002A5974" w:rsidRPr="00AC57EA">
        <w:rPr>
          <w:rFonts w:cs="Calibri"/>
          <w:sz w:val="20"/>
          <w:lang w:val="en-US"/>
        </w:rPr>
        <w:t>is responsible for the violation of the right to personal integrity</w:t>
      </w:r>
      <w:r w:rsidR="00B5625C" w:rsidRPr="00AC57EA">
        <w:rPr>
          <w:rFonts w:cs="Calibri"/>
          <w:sz w:val="20"/>
          <w:lang w:val="en-US"/>
        </w:rPr>
        <w:t xml:space="preserve">, </w:t>
      </w:r>
      <w:r w:rsidR="002A5974" w:rsidRPr="00AC57EA">
        <w:rPr>
          <w:rFonts w:cs="Calibri"/>
          <w:sz w:val="20"/>
          <w:lang w:val="en-US"/>
        </w:rPr>
        <w:t>recognized in</w:t>
      </w:r>
      <w:r w:rsidR="00B5625C" w:rsidRPr="00AC57EA">
        <w:rPr>
          <w:rFonts w:cs="Calibri"/>
          <w:sz w:val="20"/>
          <w:lang w:val="en-US"/>
        </w:rPr>
        <w:t xml:space="preserve"> </w:t>
      </w:r>
      <w:r w:rsidR="00B7258C" w:rsidRPr="00AC57EA">
        <w:rPr>
          <w:rFonts w:cs="Calibri"/>
          <w:sz w:val="20"/>
          <w:lang w:val="en-US"/>
        </w:rPr>
        <w:t>Article</w:t>
      </w:r>
      <w:r w:rsidR="00B5625C" w:rsidRPr="00AC57EA">
        <w:rPr>
          <w:rFonts w:cs="Calibri"/>
          <w:sz w:val="20"/>
          <w:lang w:val="en-US"/>
        </w:rPr>
        <w:t xml:space="preserve"> </w:t>
      </w:r>
      <w:r w:rsidR="00171E27" w:rsidRPr="00AC57EA">
        <w:rPr>
          <w:rFonts w:cs="Calibri"/>
          <w:sz w:val="20"/>
          <w:lang w:val="en-US"/>
        </w:rPr>
        <w:t>5(1)</w:t>
      </w:r>
      <w:r w:rsidR="00B7258C" w:rsidRPr="00AC57EA">
        <w:rPr>
          <w:rFonts w:cs="Calibri"/>
          <w:sz w:val="20"/>
          <w:lang w:val="en-US"/>
        </w:rPr>
        <w:t xml:space="preserve"> of the Convention</w:t>
      </w:r>
      <w:r w:rsidR="00B5625C" w:rsidRPr="00AC57EA">
        <w:rPr>
          <w:rFonts w:cs="Calibri"/>
          <w:sz w:val="20"/>
          <w:lang w:val="en-US"/>
        </w:rPr>
        <w:t xml:space="preserve">, </w:t>
      </w:r>
      <w:r w:rsidR="00171E27" w:rsidRPr="00AC57EA">
        <w:rPr>
          <w:rFonts w:cs="Calibri"/>
          <w:sz w:val="20"/>
          <w:lang w:val="en-US"/>
        </w:rPr>
        <w:t>in relation to Article 1(1)</w:t>
      </w:r>
      <w:r w:rsidR="00B5625C" w:rsidRPr="00AC57EA">
        <w:rPr>
          <w:rFonts w:cs="Calibri"/>
          <w:sz w:val="20"/>
          <w:lang w:val="en-US"/>
        </w:rPr>
        <w:t xml:space="preserve"> </w:t>
      </w:r>
      <w:r w:rsidR="002A5974" w:rsidRPr="00AC57EA">
        <w:rPr>
          <w:rFonts w:cs="Calibri"/>
          <w:sz w:val="20"/>
          <w:lang w:val="en-US"/>
        </w:rPr>
        <w:t>of this instrument</w:t>
      </w:r>
      <w:r w:rsidR="00B5625C" w:rsidRPr="00AC57EA">
        <w:rPr>
          <w:rFonts w:cs="Calibri"/>
          <w:sz w:val="20"/>
          <w:lang w:val="en-US"/>
        </w:rPr>
        <w:t xml:space="preserve">, </w:t>
      </w:r>
      <w:r w:rsidR="002F084B" w:rsidRPr="00AC57EA">
        <w:rPr>
          <w:rFonts w:cs="Calibri"/>
          <w:sz w:val="20"/>
          <w:lang w:val="en-US"/>
        </w:rPr>
        <w:t>to the detriment of</w:t>
      </w:r>
      <w:r w:rsidR="00B5625C" w:rsidRPr="00AC57EA">
        <w:rPr>
          <w:rFonts w:cs="Calibri"/>
          <w:sz w:val="20"/>
          <w:lang w:val="en-US"/>
        </w:rPr>
        <w:t xml:space="preserve"> </w:t>
      </w:r>
      <w:r w:rsidR="003D3E87" w:rsidRPr="00AC57EA">
        <w:rPr>
          <w:rFonts w:cs="Calibri"/>
          <w:sz w:val="20"/>
          <w:lang w:val="en-US"/>
        </w:rPr>
        <w:t>the members of</w:t>
      </w:r>
      <w:r w:rsidR="00B5625C" w:rsidRPr="00AC57EA">
        <w:rPr>
          <w:rFonts w:cs="Calibri"/>
          <w:sz w:val="20"/>
          <w:lang w:val="en-US"/>
        </w:rPr>
        <w:t xml:space="preserve"> V.R.P.</w:t>
      </w:r>
      <w:r w:rsidR="003D3E87" w:rsidRPr="00AC57EA">
        <w:rPr>
          <w:rFonts w:cs="Calibri"/>
          <w:sz w:val="20"/>
          <w:lang w:val="en-US"/>
        </w:rPr>
        <w:t>’s family</w:t>
      </w:r>
      <w:r w:rsidR="00B5625C" w:rsidRPr="00AC57EA">
        <w:rPr>
          <w:rFonts w:cs="Calibri"/>
          <w:sz w:val="20"/>
          <w:lang w:val="en-US"/>
        </w:rPr>
        <w:t xml:space="preserve">, </w:t>
      </w:r>
      <w:r w:rsidR="003D3E87" w:rsidRPr="00AC57EA">
        <w:rPr>
          <w:rFonts w:cs="Calibri"/>
          <w:sz w:val="20"/>
          <w:lang w:val="en-US"/>
        </w:rPr>
        <w:t>identified as</w:t>
      </w:r>
      <w:r w:rsidR="00B5625C" w:rsidRPr="00AC57EA">
        <w:rPr>
          <w:rFonts w:cs="Calibri"/>
          <w:sz w:val="20"/>
          <w:lang w:val="en-US"/>
        </w:rPr>
        <w:t xml:space="preserve"> V.P.C., </w:t>
      </w:r>
      <w:r w:rsidR="00AD49AB" w:rsidRPr="00AC57EA">
        <w:rPr>
          <w:rFonts w:eastAsiaTheme="minorHAnsi" w:cstheme="minorBidi"/>
          <w:sz w:val="20"/>
          <w:szCs w:val="20"/>
          <w:lang w:val="en-US" w:eastAsia="en-US"/>
        </w:rPr>
        <w:t xml:space="preserve">N.R.P., </w:t>
      </w:r>
      <w:r w:rsidR="00B5625C" w:rsidRPr="00AC57EA">
        <w:rPr>
          <w:rFonts w:eastAsiaTheme="minorHAnsi" w:cstheme="minorBidi"/>
          <w:sz w:val="20"/>
          <w:szCs w:val="20"/>
          <w:lang w:val="en-US" w:eastAsia="en-US"/>
        </w:rPr>
        <w:t>H.J.R.P.</w:t>
      </w:r>
      <w:r w:rsidR="00171E27" w:rsidRPr="00AC57EA">
        <w:rPr>
          <w:rFonts w:eastAsiaTheme="minorHAnsi" w:cstheme="minorBidi"/>
          <w:sz w:val="20"/>
          <w:szCs w:val="20"/>
          <w:lang w:val="en-US" w:eastAsia="en-US"/>
        </w:rPr>
        <w:t xml:space="preserve"> and </w:t>
      </w:r>
      <w:r w:rsidR="00B5625C" w:rsidRPr="00AC57EA">
        <w:rPr>
          <w:rFonts w:eastAsiaTheme="minorHAnsi" w:cstheme="minorBidi"/>
          <w:sz w:val="20"/>
          <w:szCs w:val="20"/>
          <w:lang w:val="en-US" w:eastAsia="en-US"/>
        </w:rPr>
        <w:t>V.A.R.P.</w:t>
      </w:r>
    </w:p>
    <w:p w14:paraId="2B1B69B0" w14:textId="77777777" w:rsidR="00B5625C" w:rsidRPr="00AC57EA" w:rsidRDefault="00B5625C" w:rsidP="00B5625C">
      <w:pPr>
        <w:tabs>
          <w:tab w:val="left" w:pos="720"/>
          <w:tab w:val="num" w:pos="5057"/>
        </w:tabs>
        <w:autoSpaceDE w:val="0"/>
        <w:autoSpaceDN w:val="0"/>
        <w:spacing w:line="240" w:lineRule="auto"/>
        <w:ind w:right="157"/>
        <w:rPr>
          <w:rFonts w:eastAsia="MS Mincho"/>
          <w:spacing w:val="-2"/>
          <w:sz w:val="20"/>
          <w:szCs w:val="20"/>
          <w:lang w:val="en-US"/>
        </w:rPr>
      </w:pPr>
    </w:p>
    <w:p w14:paraId="55B2436D" w14:textId="436C1282" w:rsidR="009D661E" w:rsidRPr="00AC57EA" w:rsidRDefault="009D661E" w:rsidP="009D661E">
      <w:pPr>
        <w:keepNext/>
        <w:keepLines/>
        <w:tabs>
          <w:tab w:val="left" w:pos="851"/>
        </w:tabs>
        <w:spacing w:line="240" w:lineRule="auto"/>
        <w:jc w:val="center"/>
        <w:outlineLvl w:val="0"/>
        <w:rPr>
          <w:rFonts w:cs="Verdana"/>
          <w:b/>
          <w:bCs/>
          <w:caps/>
          <w:snapToGrid w:val="0"/>
          <w:sz w:val="20"/>
          <w:szCs w:val="20"/>
          <w:lang w:val="en-US"/>
        </w:rPr>
      </w:pPr>
      <w:bookmarkStart w:id="151" w:name="_Toc495658693"/>
      <w:bookmarkStart w:id="152" w:name="_Toc459158147"/>
      <w:bookmarkStart w:id="153" w:name="_Toc449460763"/>
      <w:bookmarkStart w:id="154" w:name="_Toc375517149"/>
      <w:bookmarkStart w:id="155" w:name="_Toc514172661"/>
      <w:r w:rsidRPr="00AC57EA">
        <w:rPr>
          <w:rFonts w:cs="Verdana"/>
          <w:b/>
          <w:bCs/>
          <w:caps/>
          <w:snapToGrid w:val="0"/>
          <w:sz w:val="20"/>
          <w:szCs w:val="20"/>
          <w:lang w:val="en-US"/>
        </w:rPr>
        <w:t>IX</w:t>
      </w:r>
      <w:r w:rsidRPr="00AC57EA">
        <w:rPr>
          <w:rFonts w:cs="Verdana"/>
          <w:b/>
          <w:bCs/>
          <w:caps/>
          <w:snapToGrid w:val="0"/>
          <w:sz w:val="20"/>
          <w:szCs w:val="20"/>
          <w:lang w:val="en-US"/>
        </w:rPr>
        <w:br/>
      </w:r>
      <w:r w:rsidR="00474CE5" w:rsidRPr="00AC57EA">
        <w:rPr>
          <w:rFonts w:cs="Verdana"/>
          <w:b/>
          <w:bCs/>
          <w:caps/>
          <w:snapToGrid w:val="0"/>
          <w:sz w:val="20"/>
          <w:szCs w:val="20"/>
          <w:lang w:val="en-US"/>
        </w:rPr>
        <w:t>REPARATIONS</w:t>
      </w:r>
      <w:r w:rsidRPr="00AC57EA">
        <w:rPr>
          <w:rFonts w:cs="Verdana"/>
          <w:b/>
          <w:bCs/>
          <w:caps/>
          <w:snapToGrid w:val="0"/>
          <w:sz w:val="20"/>
          <w:szCs w:val="20"/>
          <w:lang w:val="en-US"/>
        </w:rPr>
        <w:br/>
        <w:t>(</w:t>
      </w:r>
      <w:r w:rsidR="00474CE5" w:rsidRPr="00AC57EA">
        <w:rPr>
          <w:rFonts w:cs="Verdana"/>
          <w:b/>
          <w:bCs/>
          <w:snapToGrid w:val="0"/>
          <w:sz w:val="20"/>
          <w:szCs w:val="20"/>
          <w:lang w:val="en-US"/>
        </w:rPr>
        <w:t>Application</w:t>
      </w:r>
      <w:r w:rsidRPr="00AC57EA">
        <w:rPr>
          <w:rFonts w:cs="Verdana"/>
          <w:b/>
          <w:bCs/>
          <w:snapToGrid w:val="0"/>
          <w:sz w:val="20"/>
          <w:szCs w:val="20"/>
          <w:lang w:val="en-US"/>
        </w:rPr>
        <w:t xml:space="preserve"> </w:t>
      </w:r>
      <w:r w:rsidR="00171E27" w:rsidRPr="00AC57EA">
        <w:rPr>
          <w:rFonts w:cs="Verdana"/>
          <w:b/>
          <w:bCs/>
          <w:snapToGrid w:val="0"/>
          <w:sz w:val="20"/>
          <w:szCs w:val="20"/>
          <w:lang w:val="en-US"/>
        </w:rPr>
        <w:t>of Article</w:t>
      </w:r>
      <w:r w:rsidRPr="00AC57EA">
        <w:rPr>
          <w:rFonts w:cs="Verdana"/>
          <w:b/>
          <w:bCs/>
          <w:snapToGrid w:val="0"/>
          <w:sz w:val="20"/>
          <w:szCs w:val="20"/>
          <w:lang w:val="en-US"/>
        </w:rPr>
        <w:t xml:space="preserve"> 6</w:t>
      </w:r>
      <w:r w:rsidR="00171E27" w:rsidRPr="00AC57EA">
        <w:rPr>
          <w:rFonts w:cs="Verdana"/>
          <w:b/>
          <w:bCs/>
          <w:snapToGrid w:val="0"/>
          <w:sz w:val="20"/>
          <w:szCs w:val="20"/>
          <w:lang w:val="en-US"/>
        </w:rPr>
        <w:t>3(1)</w:t>
      </w:r>
      <w:r w:rsidR="00B7258C" w:rsidRPr="00AC57EA">
        <w:rPr>
          <w:rFonts w:cs="Verdana"/>
          <w:b/>
          <w:bCs/>
          <w:snapToGrid w:val="0"/>
          <w:sz w:val="20"/>
          <w:szCs w:val="20"/>
          <w:lang w:val="en-US"/>
        </w:rPr>
        <w:t xml:space="preserve"> of the American Convention</w:t>
      </w:r>
      <w:r w:rsidRPr="00AC57EA">
        <w:rPr>
          <w:rFonts w:cs="Verdana"/>
          <w:b/>
          <w:bCs/>
          <w:caps/>
          <w:snapToGrid w:val="0"/>
          <w:sz w:val="20"/>
          <w:szCs w:val="20"/>
          <w:lang w:val="en-US"/>
        </w:rPr>
        <w:t>)</w:t>
      </w:r>
      <w:bookmarkEnd w:id="151"/>
      <w:bookmarkEnd w:id="152"/>
      <w:bookmarkEnd w:id="153"/>
      <w:bookmarkEnd w:id="154"/>
      <w:bookmarkEnd w:id="155"/>
    </w:p>
    <w:p w14:paraId="32D1992B" w14:textId="77777777" w:rsidR="009D661E" w:rsidRPr="00AC57EA" w:rsidRDefault="009D661E" w:rsidP="009D661E">
      <w:pPr>
        <w:tabs>
          <w:tab w:val="left" w:pos="720"/>
          <w:tab w:val="num" w:pos="1427"/>
        </w:tabs>
        <w:spacing w:line="240" w:lineRule="auto"/>
        <w:ind w:right="-90"/>
        <w:rPr>
          <w:rFonts w:cs="Verdana"/>
          <w:sz w:val="20"/>
          <w:szCs w:val="20"/>
          <w:lang w:val="en-US"/>
        </w:rPr>
      </w:pPr>
    </w:p>
    <w:p w14:paraId="2DEDE808" w14:textId="2F40D1B6" w:rsidR="009D661E" w:rsidRPr="00AC57EA" w:rsidRDefault="00A94C41" w:rsidP="009D661E">
      <w:pPr>
        <w:numPr>
          <w:ilvl w:val="0"/>
          <w:numId w:val="2"/>
        </w:numPr>
        <w:tabs>
          <w:tab w:val="left" w:pos="567"/>
          <w:tab w:val="num" w:pos="5057"/>
        </w:tabs>
        <w:spacing w:line="240" w:lineRule="auto"/>
        <w:ind w:left="0" w:firstLine="0"/>
        <w:textAlignment w:val="auto"/>
        <w:rPr>
          <w:sz w:val="20"/>
          <w:szCs w:val="20"/>
          <w:lang w:val="en-US" w:bidi="en-US"/>
        </w:rPr>
      </w:pPr>
      <w:r w:rsidRPr="00AC57EA">
        <w:rPr>
          <w:sz w:val="20"/>
          <w:szCs w:val="20"/>
          <w:lang w:val="en-US" w:eastAsia="es-ES" w:bidi="en-US"/>
        </w:rPr>
        <w:t xml:space="preserve">Based on the provisions of </w:t>
      </w:r>
      <w:r w:rsidR="00B7258C" w:rsidRPr="00AC57EA">
        <w:rPr>
          <w:sz w:val="20"/>
          <w:szCs w:val="20"/>
          <w:lang w:val="en-US" w:bidi="en-US"/>
        </w:rPr>
        <w:t>Article</w:t>
      </w:r>
      <w:r w:rsidR="009D661E" w:rsidRPr="00AC57EA">
        <w:rPr>
          <w:sz w:val="20"/>
          <w:szCs w:val="20"/>
          <w:lang w:val="en-US" w:bidi="en-US"/>
        </w:rPr>
        <w:t xml:space="preserve"> 6</w:t>
      </w:r>
      <w:r w:rsidR="00171E27" w:rsidRPr="00AC57EA">
        <w:rPr>
          <w:sz w:val="20"/>
          <w:szCs w:val="20"/>
          <w:lang w:val="en-US" w:bidi="en-US"/>
        </w:rPr>
        <w:t>3(1)</w:t>
      </w:r>
      <w:r w:rsidR="00B7258C" w:rsidRPr="00AC57EA">
        <w:rPr>
          <w:sz w:val="20"/>
          <w:szCs w:val="20"/>
          <w:lang w:val="en-US" w:bidi="en-US"/>
        </w:rPr>
        <w:t xml:space="preserve"> of the American Convention</w:t>
      </w:r>
      <w:r w:rsidRPr="00AC57EA">
        <w:rPr>
          <w:sz w:val="20"/>
          <w:szCs w:val="20"/>
          <w:lang w:val="en-US" w:bidi="en-US"/>
        </w:rPr>
        <w:t>,</w:t>
      </w:r>
      <w:r w:rsidR="009D661E" w:rsidRPr="00AC57EA">
        <w:rPr>
          <w:sz w:val="20"/>
          <w:szCs w:val="20"/>
          <w:vertAlign w:val="superscript"/>
          <w:lang w:val="en-US" w:bidi="en-US"/>
        </w:rPr>
        <w:footnoteReference w:id="418"/>
      </w:r>
      <w:r w:rsidR="009D661E" w:rsidRPr="00AC57EA">
        <w:rPr>
          <w:sz w:val="20"/>
          <w:szCs w:val="20"/>
          <w:lang w:val="en-US" w:bidi="en-US"/>
        </w:rPr>
        <w:t xml:space="preserve"> </w:t>
      </w:r>
      <w:r w:rsidR="00B7258C" w:rsidRPr="00AC57EA">
        <w:rPr>
          <w:sz w:val="20"/>
          <w:szCs w:val="20"/>
          <w:lang w:val="en-US" w:bidi="en-US"/>
        </w:rPr>
        <w:t>the Court</w:t>
      </w:r>
      <w:r w:rsidR="009D661E" w:rsidRPr="00AC57EA">
        <w:rPr>
          <w:sz w:val="20"/>
          <w:szCs w:val="20"/>
          <w:lang w:val="en-US" w:bidi="en-US"/>
        </w:rPr>
        <w:t xml:space="preserve"> ha</w:t>
      </w:r>
      <w:r w:rsidRPr="00AC57EA">
        <w:rPr>
          <w:sz w:val="20"/>
          <w:szCs w:val="20"/>
          <w:lang w:val="en-US" w:bidi="en-US"/>
        </w:rPr>
        <w:t>s indicated that any violation of an international obligation that has caused harm entails the obligation to repair this adequately and that this provision reflects a customary norm that constitutes one of the fundamental principles of contemporary international law on State responsibility.</w:t>
      </w:r>
      <w:r w:rsidR="009D661E" w:rsidRPr="00AC57EA">
        <w:rPr>
          <w:sz w:val="20"/>
          <w:szCs w:val="20"/>
          <w:vertAlign w:val="superscript"/>
          <w:lang w:val="en-US" w:bidi="en-US"/>
        </w:rPr>
        <w:footnoteReference w:id="419"/>
      </w:r>
    </w:p>
    <w:p w14:paraId="1AEB337B" w14:textId="77777777" w:rsidR="009D661E" w:rsidRPr="00AC57EA" w:rsidRDefault="009D661E" w:rsidP="009D661E">
      <w:pPr>
        <w:autoSpaceDE w:val="0"/>
        <w:autoSpaceDN w:val="0"/>
        <w:spacing w:line="240" w:lineRule="auto"/>
        <w:rPr>
          <w:rFonts w:cs="Verdana"/>
          <w:sz w:val="20"/>
          <w:szCs w:val="20"/>
          <w:lang w:val="en-US"/>
        </w:rPr>
      </w:pPr>
    </w:p>
    <w:p w14:paraId="4C22AE7B" w14:textId="39F947B5" w:rsidR="009D661E" w:rsidRPr="00AC57EA" w:rsidRDefault="00A94C41" w:rsidP="009D661E">
      <w:pPr>
        <w:numPr>
          <w:ilvl w:val="0"/>
          <w:numId w:val="2"/>
        </w:numPr>
        <w:tabs>
          <w:tab w:val="left" w:pos="567"/>
          <w:tab w:val="num" w:pos="5057"/>
        </w:tabs>
        <w:spacing w:line="240" w:lineRule="auto"/>
        <w:ind w:left="0" w:firstLine="0"/>
        <w:textAlignment w:val="auto"/>
        <w:rPr>
          <w:sz w:val="20"/>
          <w:szCs w:val="20"/>
          <w:lang w:val="en-US" w:bidi="en-US"/>
        </w:rPr>
      </w:pPr>
      <w:r w:rsidRPr="00AC57EA">
        <w:rPr>
          <w:bCs/>
          <w:sz w:val="20"/>
          <w:szCs w:val="20"/>
          <w:lang w:val="en-US" w:bidi="en-US"/>
        </w:rPr>
        <w:t xml:space="preserve">The reparation of the harm caused by the violation of an international obligation requires, whenever possible, full restitution </w:t>
      </w:r>
      <w:r w:rsidR="009D661E" w:rsidRPr="00AC57EA">
        <w:rPr>
          <w:bCs/>
          <w:sz w:val="20"/>
          <w:szCs w:val="20"/>
          <w:lang w:val="en-US" w:bidi="en-US"/>
        </w:rPr>
        <w:t>(</w:t>
      </w:r>
      <w:r w:rsidR="009D661E" w:rsidRPr="00AC57EA">
        <w:rPr>
          <w:bCs/>
          <w:i/>
          <w:sz w:val="20"/>
          <w:szCs w:val="20"/>
          <w:lang w:val="en-US" w:bidi="en-US"/>
        </w:rPr>
        <w:t>restitutio in integrum</w:t>
      </w:r>
      <w:r w:rsidR="009D661E" w:rsidRPr="00AC57EA">
        <w:rPr>
          <w:bCs/>
          <w:sz w:val="20"/>
          <w:szCs w:val="20"/>
          <w:lang w:val="en-US" w:bidi="en-US"/>
        </w:rPr>
        <w:t xml:space="preserve">), </w:t>
      </w:r>
      <w:r w:rsidRPr="00AC57EA">
        <w:rPr>
          <w:bCs/>
          <w:sz w:val="20"/>
          <w:szCs w:val="20"/>
          <w:lang w:val="en-US" w:bidi="en-US"/>
        </w:rPr>
        <w:t>which consist</w:t>
      </w:r>
      <w:r w:rsidR="001A3BF8" w:rsidRPr="00AC57EA">
        <w:rPr>
          <w:bCs/>
          <w:sz w:val="20"/>
          <w:szCs w:val="20"/>
          <w:lang w:val="en-US" w:bidi="en-US"/>
        </w:rPr>
        <w:t>s</w:t>
      </w:r>
      <w:r w:rsidRPr="00AC57EA">
        <w:rPr>
          <w:bCs/>
          <w:sz w:val="20"/>
          <w:szCs w:val="20"/>
          <w:lang w:val="en-US" w:bidi="en-US"/>
        </w:rPr>
        <w:t xml:space="preserve"> in the reestablishment of the previous situation. If this is not feasible, as in most cases of human rights violations, the Court will determine measures to ensure the rights that have been violated and to redress the consequences of th</w:t>
      </w:r>
      <w:r w:rsidR="001A3BF8" w:rsidRPr="00AC57EA">
        <w:rPr>
          <w:bCs/>
          <w:sz w:val="20"/>
          <w:szCs w:val="20"/>
          <w:lang w:val="en-US" w:bidi="en-US"/>
        </w:rPr>
        <w:t>o</w:t>
      </w:r>
      <w:r w:rsidRPr="00AC57EA">
        <w:rPr>
          <w:bCs/>
          <w:sz w:val="20"/>
          <w:szCs w:val="20"/>
          <w:lang w:val="en-US" w:bidi="en-US"/>
        </w:rPr>
        <w:t>se violations.</w:t>
      </w:r>
      <w:r w:rsidR="009D661E" w:rsidRPr="00AC57EA">
        <w:rPr>
          <w:sz w:val="20"/>
          <w:szCs w:val="20"/>
          <w:vertAlign w:val="superscript"/>
          <w:lang w:val="en-US" w:bidi="en-US"/>
        </w:rPr>
        <w:footnoteReference w:id="420"/>
      </w:r>
      <w:r w:rsidRPr="00AC57EA">
        <w:rPr>
          <w:bCs/>
          <w:sz w:val="20"/>
          <w:szCs w:val="20"/>
          <w:lang w:val="en-US" w:bidi="en-US"/>
        </w:rPr>
        <w:t xml:space="preserve"> Therefore, the Court has considered the need to grant different measures of reparation in order to redress the harm integrally so that, in addition to pecuniary compensation, measures of restitution,</w:t>
      </w:r>
      <w:r w:rsidR="009D661E" w:rsidRPr="00AC57EA">
        <w:rPr>
          <w:bCs/>
          <w:sz w:val="20"/>
          <w:szCs w:val="20"/>
          <w:lang w:val="en-US" w:bidi="en-US"/>
        </w:rPr>
        <w:t xml:space="preserve"> </w:t>
      </w:r>
      <w:r w:rsidR="00474CE5" w:rsidRPr="00AC57EA">
        <w:rPr>
          <w:sz w:val="20"/>
          <w:szCs w:val="20"/>
          <w:lang w:val="en-US" w:bidi="en-US"/>
        </w:rPr>
        <w:t>rehabilitation</w:t>
      </w:r>
      <w:r w:rsidRPr="00AC57EA">
        <w:rPr>
          <w:sz w:val="20"/>
          <w:szCs w:val="20"/>
          <w:lang w:val="en-US" w:bidi="en-US"/>
        </w:rPr>
        <w:t xml:space="preserve"> and</w:t>
      </w:r>
      <w:r w:rsidR="009D661E" w:rsidRPr="00AC57EA">
        <w:rPr>
          <w:sz w:val="20"/>
          <w:szCs w:val="20"/>
          <w:lang w:val="en-US" w:bidi="en-US"/>
        </w:rPr>
        <w:t xml:space="preserve"> </w:t>
      </w:r>
      <w:r w:rsidR="00474CE5" w:rsidRPr="00AC57EA">
        <w:rPr>
          <w:sz w:val="20"/>
          <w:szCs w:val="20"/>
          <w:lang w:val="en-US" w:bidi="en-US"/>
        </w:rPr>
        <w:t>satisfaction</w:t>
      </w:r>
      <w:r w:rsidRPr="00AC57EA">
        <w:rPr>
          <w:sz w:val="20"/>
          <w:szCs w:val="20"/>
          <w:lang w:val="en-US" w:bidi="en-US"/>
        </w:rPr>
        <w:t>,</w:t>
      </w:r>
      <w:r w:rsidR="00171E27" w:rsidRPr="00AC57EA">
        <w:rPr>
          <w:sz w:val="20"/>
          <w:szCs w:val="20"/>
          <w:lang w:val="en-US" w:bidi="en-US"/>
        </w:rPr>
        <w:t xml:space="preserve"> and </w:t>
      </w:r>
      <w:r w:rsidR="00474CE5" w:rsidRPr="00AC57EA">
        <w:rPr>
          <w:sz w:val="20"/>
          <w:szCs w:val="20"/>
          <w:lang w:val="en-US" w:bidi="en-US"/>
        </w:rPr>
        <w:t>guarantees of non-repetition</w:t>
      </w:r>
      <w:r w:rsidR="009D661E" w:rsidRPr="00AC57EA">
        <w:rPr>
          <w:sz w:val="20"/>
          <w:szCs w:val="20"/>
          <w:lang w:val="en-US" w:bidi="en-US"/>
        </w:rPr>
        <w:t xml:space="preserve"> </w:t>
      </w:r>
      <w:r w:rsidRPr="00AC57EA">
        <w:rPr>
          <w:sz w:val="20"/>
          <w:szCs w:val="20"/>
          <w:lang w:val="en-US" w:bidi="en-US"/>
        </w:rPr>
        <w:t>have special relevance for the harm caused.</w:t>
      </w:r>
      <w:r w:rsidR="009D661E" w:rsidRPr="00AC57EA">
        <w:rPr>
          <w:sz w:val="20"/>
          <w:szCs w:val="20"/>
          <w:vertAlign w:val="superscript"/>
          <w:lang w:val="en-US" w:bidi="en-US"/>
        </w:rPr>
        <w:footnoteReference w:id="421"/>
      </w:r>
    </w:p>
    <w:p w14:paraId="698C7262" w14:textId="77777777" w:rsidR="009D661E" w:rsidRPr="00AC57EA" w:rsidRDefault="009D661E" w:rsidP="009D661E">
      <w:pPr>
        <w:autoSpaceDE w:val="0"/>
        <w:autoSpaceDN w:val="0"/>
        <w:spacing w:line="240" w:lineRule="auto"/>
        <w:rPr>
          <w:rFonts w:cs="Verdana"/>
          <w:sz w:val="20"/>
          <w:szCs w:val="20"/>
          <w:lang w:val="en-US"/>
        </w:rPr>
      </w:pPr>
    </w:p>
    <w:p w14:paraId="42C2FACA" w14:textId="39BC791A" w:rsidR="00A94C41" w:rsidRPr="00AC57EA" w:rsidRDefault="00B7258C" w:rsidP="00482D8B">
      <w:pPr>
        <w:numPr>
          <w:ilvl w:val="0"/>
          <w:numId w:val="2"/>
        </w:numPr>
        <w:tabs>
          <w:tab w:val="left" w:pos="567"/>
          <w:tab w:val="num" w:pos="12305"/>
        </w:tabs>
        <w:spacing w:line="240" w:lineRule="auto"/>
        <w:ind w:left="0" w:firstLine="0"/>
        <w:rPr>
          <w:sz w:val="20"/>
          <w:szCs w:val="20"/>
          <w:lang w:val="en-US"/>
        </w:rPr>
      </w:pPr>
      <w:r w:rsidRPr="00AC57EA">
        <w:rPr>
          <w:sz w:val="20"/>
          <w:szCs w:val="20"/>
          <w:lang w:val="en-US" w:bidi="en-US"/>
        </w:rPr>
        <w:t>The Court</w:t>
      </w:r>
      <w:r w:rsidR="009D661E" w:rsidRPr="00AC57EA">
        <w:rPr>
          <w:sz w:val="20"/>
          <w:szCs w:val="20"/>
          <w:lang w:val="en-US" w:bidi="en-US"/>
        </w:rPr>
        <w:t xml:space="preserve"> ha</w:t>
      </w:r>
      <w:r w:rsidR="00A94C41" w:rsidRPr="00AC57EA">
        <w:rPr>
          <w:sz w:val="20"/>
          <w:szCs w:val="20"/>
          <w:lang w:val="en-US" w:bidi="en-US"/>
        </w:rPr>
        <w:t>s established that the reparations must have a causal nexus with the facts of the case, the violations declared, the harm proved, and the measures claimed to redress the respective harm. Therefore, the Court must observe the concurrence of these factors in order to rule appropriately and in accordance with law.</w:t>
      </w:r>
      <w:r w:rsidR="009D661E" w:rsidRPr="00AC57EA">
        <w:rPr>
          <w:sz w:val="20"/>
          <w:szCs w:val="20"/>
          <w:vertAlign w:val="superscript"/>
          <w:lang w:val="en-US" w:bidi="en-US"/>
        </w:rPr>
        <w:footnoteReference w:id="422"/>
      </w:r>
      <w:r w:rsidR="00A94C41" w:rsidRPr="00AC57EA">
        <w:rPr>
          <w:sz w:val="20"/>
          <w:szCs w:val="20"/>
          <w:lang w:val="en-US" w:bidi="en-US"/>
        </w:rPr>
        <w:t xml:space="preserve"> In addition, the Court finds that the reparations must include an analysis that</w:t>
      </w:r>
      <w:r w:rsidR="001A3BF8" w:rsidRPr="00AC57EA">
        <w:rPr>
          <w:sz w:val="20"/>
          <w:szCs w:val="20"/>
          <w:lang w:val="en-US" w:bidi="en-US"/>
        </w:rPr>
        <w:t xml:space="preserve"> not only</w:t>
      </w:r>
      <w:r w:rsidR="00A94C41" w:rsidRPr="00AC57EA">
        <w:rPr>
          <w:sz w:val="20"/>
          <w:szCs w:val="20"/>
          <w:lang w:val="en-US" w:bidi="en-US"/>
        </w:rPr>
        <w:t xml:space="preserve"> </w:t>
      </w:r>
      <w:r w:rsidR="001A3BF8" w:rsidRPr="00AC57EA">
        <w:rPr>
          <w:sz w:val="20"/>
          <w:szCs w:val="20"/>
          <w:lang w:val="en-US" w:bidi="en-US"/>
        </w:rPr>
        <w:t>takes into account</w:t>
      </w:r>
      <w:r w:rsidR="00A94C41" w:rsidRPr="00AC57EA">
        <w:rPr>
          <w:sz w:val="20"/>
          <w:szCs w:val="20"/>
          <w:lang w:val="en-US" w:bidi="en-US"/>
        </w:rPr>
        <w:t xml:space="preserve"> the right of the victim to obtain reparation, but also incorporates a child- and gender-based perspective, both in their </w:t>
      </w:r>
      <w:r w:rsidR="001A3BF8" w:rsidRPr="00AC57EA">
        <w:rPr>
          <w:sz w:val="20"/>
          <w:szCs w:val="20"/>
          <w:lang w:val="en-US" w:bidi="en-US"/>
        </w:rPr>
        <w:t>formulation</w:t>
      </w:r>
      <w:r w:rsidR="00A94C41" w:rsidRPr="00AC57EA">
        <w:rPr>
          <w:sz w:val="20"/>
          <w:szCs w:val="20"/>
          <w:lang w:val="en-US" w:bidi="en-US"/>
        </w:rPr>
        <w:t xml:space="preserve"> and in their implementation.  </w:t>
      </w:r>
    </w:p>
    <w:p w14:paraId="29F7CFCD" w14:textId="77777777" w:rsidR="009D661E" w:rsidRPr="00AC57EA" w:rsidRDefault="009D661E" w:rsidP="009D661E">
      <w:pPr>
        <w:tabs>
          <w:tab w:val="left" w:pos="567"/>
        </w:tabs>
        <w:spacing w:line="240" w:lineRule="auto"/>
        <w:rPr>
          <w:sz w:val="20"/>
          <w:szCs w:val="20"/>
          <w:lang w:val="en-US" w:bidi="en-US"/>
        </w:rPr>
      </w:pPr>
    </w:p>
    <w:p w14:paraId="22EBA35F" w14:textId="554D7A52" w:rsidR="009D661E" w:rsidRPr="00AC57EA" w:rsidRDefault="009D661E" w:rsidP="009D661E">
      <w:pPr>
        <w:numPr>
          <w:ilvl w:val="0"/>
          <w:numId w:val="2"/>
        </w:numPr>
        <w:tabs>
          <w:tab w:val="left" w:pos="567"/>
          <w:tab w:val="num" w:pos="5057"/>
        </w:tabs>
        <w:spacing w:line="240" w:lineRule="auto"/>
        <w:ind w:left="0" w:firstLine="0"/>
        <w:textAlignment w:val="auto"/>
        <w:rPr>
          <w:sz w:val="20"/>
          <w:szCs w:val="20"/>
          <w:lang w:val="en-US" w:bidi="en-US"/>
        </w:rPr>
      </w:pPr>
      <w:r w:rsidRPr="00AC57EA">
        <w:rPr>
          <w:sz w:val="20"/>
          <w:szCs w:val="20"/>
          <w:lang w:val="en-US"/>
        </w:rPr>
        <w:t>T</w:t>
      </w:r>
      <w:r w:rsidR="00A94C41" w:rsidRPr="00AC57EA">
        <w:rPr>
          <w:sz w:val="20"/>
          <w:szCs w:val="20"/>
          <w:lang w:val="en-US"/>
        </w:rPr>
        <w:t>aking into account the violations of</w:t>
      </w:r>
      <w:r w:rsidRPr="00AC57EA">
        <w:rPr>
          <w:sz w:val="20"/>
          <w:szCs w:val="20"/>
          <w:lang w:val="en-US"/>
        </w:rPr>
        <w:t xml:space="preserve"> </w:t>
      </w:r>
      <w:r w:rsidR="00B7258C" w:rsidRPr="00AC57EA">
        <w:rPr>
          <w:sz w:val="20"/>
          <w:szCs w:val="20"/>
          <w:lang w:val="en-US"/>
        </w:rPr>
        <w:t>the American Convention</w:t>
      </w:r>
      <w:r w:rsidRPr="00AC57EA">
        <w:rPr>
          <w:sz w:val="20"/>
          <w:szCs w:val="20"/>
          <w:lang w:val="en-US"/>
        </w:rPr>
        <w:t xml:space="preserve"> </w:t>
      </w:r>
      <w:r w:rsidR="00A94C41" w:rsidRPr="00AC57EA">
        <w:rPr>
          <w:sz w:val="20"/>
          <w:szCs w:val="20"/>
          <w:lang w:val="en-US"/>
        </w:rPr>
        <w:t>declared in the preceding</w:t>
      </w:r>
      <w:r w:rsidRPr="00AC57EA">
        <w:rPr>
          <w:sz w:val="20"/>
          <w:szCs w:val="20"/>
          <w:lang w:val="en-US"/>
        </w:rPr>
        <w:t xml:space="preserve"> </w:t>
      </w:r>
      <w:r w:rsidR="00A94C41" w:rsidRPr="00AC57EA">
        <w:rPr>
          <w:sz w:val="20"/>
          <w:szCs w:val="20"/>
          <w:lang w:val="en-US"/>
        </w:rPr>
        <w:t>c</w:t>
      </w:r>
      <w:r w:rsidR="00B61370" w:rsidRPr="00AC57EA">
        <w:rPr>
          <w:sz w:val="20"/>
          <w:szCs w:val="20"/>
          <w:lang w:val="en-US"/>
        </w:rPr>
        <w:t>hapter</w:t>
      </w:r>
      <w:r w:rsidRPr="00AC57EA">
        <w:rPr>
          <w:sz w:val="20"/>
          <w:szCs w:val="20"/>
          <w:lang w:val="en-US"/>
        </w:rPr>
        <w:t>s</w:t>
      </w:r>
      <w:r w:rsidR="001A3BF8" w:rsidRPr="00AC57EA">
        <w:rPr>
          <w:sz w:val="20"/>
          <w:szCs w:val="20"/>
          <w:lang w:val="en-US"/>
        </w:rPr>
        <w:t xml:space="preserve">, and </w:t>
      </w:r>
      <w:r w:rsidR="00A94C41" w:rsidRPr="00AC57EA">
        <w:rPr>
          <w:sz w:val="20"/>
          <w:szCs w:val="20"/>
          <w:lang w:val="en-US"/>
        </w:rPr>
        <w:t>in light of the criteria established in the Court’s case law on the nature and scope of the obligation to make reparation,</w:t>
      </w:r>
      <w:r w:rsidRPr="00AC57EA">
        <w:rPr>
          <w:rStyle w:val="Refdenotaalpie"/>
          <w:sz w:val="20"/>
          <w:szCs w:val="20"/>
          <w:lang w:val="en-US"/>
        </w:rPr>
        <w:footnoteReference w:id="423"/>
      </w:r>
      <w:r w:rsidRPr="00AC57EA">
        <w:rPr>
          <w:sz w:val="20"/>
          <w:szCs w:val="20"/>
          <w:lang w:val="en-US"/>
        </w:rPr>
        <w:t xml:space="preserve"> </w:t>
      </w:r>
      <w:r w:rsidR="00B7258C" w:rsidRPr="00AC57EA">
        <w:rPr>
          <w:sz w:val="20"/>
          <w:szCs w:val="20"/>
          <w:lang w:val="en-US"/>
        </w:rPr>
        <w:t>the Court</w:t>
      </w:r>
      <w:r w:rsidRPr="00AC57EA">
        <w:rPr>
          <w:sz w:val="20"/>
          <w:szCs w:val="20"/>
          <w:lang w:val="en-US"/>
        </w:rPr>
        <w:t xml:space="preserve"> </w:t>
      </w:r>
      <w:r w:rsidR="00A94C41" w:rsidRPr="00AC57EA">
        <w:rPr>
          <w:sz w:val="20"/>
          <w:szCs w:val="20"/>
          <w:lang w:val="en-US"/>
        </w:rPr>
        <w:t xml:space="preserve">will examine the claims presented by </w:t>
      </w:r>
      <w:r w:rsidR="00B7258C" w:rsidRPr="00AC57EA">
        <w:rPr>
          <w:sz w:val="20"/>
          <w:szCs w:val="20"/>
          <w:lang w:val="en-US"/>
        </w:rPr>
        <w:t>the Commission</w:t>
      </w:r>
      <w:r w:rsidR="00171E27" w:rsidRPr="00AC57EA">
        <w:rPr>
          <w:sz w:val="20"/>
          <w:szCs w:val="20"/>
          <w:lang w:val="en-US"/>
        </w:rPr>
        <w:t xml:space="preserve"> and the representatives</w:t>
      </w:r>
      <w:r w:rsidRPr="00AC57EA">
        <w:rPr>
          <w:sz w:val="20"/>
          <w:szCs w:val="20"/>
          <w:lang w:val="en-US"/>
        </w:rPr>
        <w:t xml:space="preserve">, </w:t>
      </w:r>
      <w:r w:rsidR="00A94C41" w:rsidRPr="00AC57EA">
        <w:rPr>
          <w:sz w:val="20"/>
          <w:szCs w:val="20"/>
          <w:lang w:val="en-US"/>
        </w:rPr>
        <w:t xml:space="preserve">together with the corresponding arguments of the State in order to establish measures </w:t>
      </w:r>
      <w:r w:rsidR="001A3BF8" w:rsidRPr="00AC57EA">
        <w:rPr>
          <w:sz w:val="20"/>
          <w:szCs w:val="20"/>
          <w:lang w:val="en-US"/>
        </w:rPr>
        <w:t>to redress</w:t>
      </w:r>
      <w:r w:rsidR="00A94C41" w:rsidRPr="00AC57EA">
        <w:rPr>
          <w:sz w:val="20"/>
          <w:szCs w:val="20"/>
          <w:lang w:val="en-US"/>
        </w:rPr>
        <w:t xml:space="preserve"> the said violations. </w:t>
      </w:r>
    </w:p>
    <w:p w14:paraId="44E73A52" w14:textId="77777777" w:rsidR="009D661E" w:rsidRPr="00AC57EA" w:rsidRDefault="009D661E" w:rsidP="009D661E">
      <w:pPr>
        <w:tabs>
          <w:tab w:val="left" w:pos="567"/>
        </w:tabs>
        <w:spacing w:line="240" w:lineRule="auto"/>
        <w:rPr>
          <w:sz w:val="20"/>
          <w:szCs w:val="20"/>
          <w:lang w:val="en-US" w:bidi="en-US"/>
        </w:rPr>
      </w:pPr>
    </w:p>
    <w:p w14:paraId="75B52837" w14:textId="70E7133D" w:rsidR="009D661E" w:rsidRPr="00AC57EA" w:rsidRDefault="00474CE5" w:rsidP="002C415B">
      <w:pPr>
        <w:keepNext/>
        <w:keepLines/>
        <w:numPr>
          <w:ilvl w:val="0"/>
          <w:numId w:val="11"/>
        </w:numPr>
        <w:tabs>
          <w:tab w:val="left" w:pos="567"/>
          <w:tab w:val="left" w:pos="1134"/>
        </w:tabs>
        <w:spacing w:line="240" w:lineRule="auto"/>
        <w:ind w:left="567" w:firstLine="0"/>
        <w:textAlignment w:val="auto"/>
        <w:outlineLvl w:val="1"/>
        <w:rPr>
          <w:rFonts w:eastAsia="MS Mincho"/>
          <w:b/>
          <w:bCs/>
          <w:i/>
          <w:sz w:val="20"/>
          <w:szCs w:val="20"/>
          <w:lang w:val="en-US"/>
        </w:rPr>
      </w:pPr>
      <w:r w:rsidRPr="00AC57EA">
        <w:rPr>
          <w:rFonts w:eastAsia="MS Mincho"/>
          <w:b/>
          <w:bCs/>
          <w:i/>
          <w:sz w:val="20"/>
          <w:szCs w:val="20"/>
          <w:lang w:val="en-US"/>
        </w:rPr>
        <w:t>Injured party</w:t>
      </w:r>
    </w:p>
    <w:p w14:paraId="41D4AA4F" w14:textId="77777777" w:rsidR="009D661E" w:rsidRPr="00AC57EA" w:rsidRDefault="009D661E" w:rsidP="009D661E">
      <w:pPr>
        <w:tabs>
          <w:tab w:val="num" w:pos="720"/>
          <w:tab w:val="left" w:pos="851"/>
          <w:tab w:val="num" w:pos="1427"/>
        </w:tabs>
        <w:spacing w:line="240" w:lineRule="auto"/>
        <w:rPr>
          <w:sz w:val="20"/>
          <w:szCs w:val="20"/>
          <w:lang w:val="en-US"/>
        </w:rPr>
      </w:pPr>
    </w:p>
    <w:p w14:paraId="16967AEF" w14:textId="7F9D2CDA" w:rsidR="009D661E" w:rsidRPr="00AC57EA" w:rsidRDefault="001A3BF8" w:rsidP="009D661E">
      <w:pPr>
        <w:numPr>
          <w:ilvl w:val="0"/>
          <w:numId w:val="2"/>
        </w:numPr>
        <w:tabs>
          <w:tab w:val="left" w:pos="567"/>
          <w:tab w:val="num" w:pos="5057"/>
        </w:tabs>
        <w:spacing w:line="240" w:lineRule="auto"/>
        <w:ind w:left="0" w:firstLine="0"/>
        <w:textAlignment w:val="auto"/>
        <w:rPr>
          <w:rFonts w:eastAsia="Verdana" w:cs="Verdana"/>
          <w:sz w:val="20"/>
          <w:szCs w:val="20"/>
          <w:lang w:val="en-US"/>
        </w:rPr>
      </w:pPr>
      <w:r w:rsidRPr="00AC57EA">
        <w:rPr>
          <w:rFonts w:eastAsia="MS Mincho"/>
          <w:sz w:val="20"/>
          <w:szCs w:val="20"/>
          <w:lang w:val="en-US" w:bidi="en-US"/>
        </w:rPr>
        <w:t>Pursuant to</w:t>
      </w:r>
      <w:r w:rsidR="00171E27" w:rsidRPr="00AC57EA">
        <w:rPr>
          <w:rFonts w:eastAsia="MS Mincho"/>
          <w:sz w:val="20"/>
          <w:szCs w:val="20"/>
          <w:lang w:val="en-US" w:bidi="en-US"/>
        </w:rPr>
        <w:t xml:space="preserve"> Article</w:t>
      </w:r>
      <w:r w:rsidR="009D661E" w:rsidRPr="00AC57EA">
        <w:rPr>
          <w:rFonts w:eastAsia="MS Mincho"/>
          <w:sz w:val="20"/>
          <w:szCs w:val="20"/>
          <w:lang w:val="en-US" w:bidi="en-US"/>
        </w:rPr>
        <w:t xml:space="preserve"> 6</w:t>
      </w:r>
      <w:r w:rsidR="00171E27" w:rsidRPr="00AC57EA">
        <w:rPr>
          <w:rFonts w:eastAsia="MS Mincho"/>
          <w:sz w:val="20"/>
          <w:szCs w:val="20"/>
          <w:lang w:val="en-US" w:bidi="en-US"/>
        </w:rPr>
        <w:t>3(1)</w:t>
      </w:r>
      <w:r w:rsidR="00B7258C" w:rsidRPr="00AC57EA">
        <w:rPr>
          <w:rFonts w:eastAsia="MS Mincho"/>
          <w:sz w:val="20"/>
          <w:szCs w:val="20"/>
          <w:lang w:val="en-US" w:bidi="en-US"/>
        </w:rPr>
        <w:t xml:space="preserve"> of the Convention</w:t>
      </w:r>
      <w:r w:rsidR="009D661E" w:rsidRPr="00AC57EA">
        <w:rPr>
          <w:rFonts w:eastAsia="MS Mincho"/>
          <w:sz w:val="20"/>
          <w:szCs w:val="20"/>
          <w:lang w:val="en-US" w:bidi="en-US"/>
        </w:rPr>
        <w:t xml:space="preserve">, </w:t>
      </w:r>
      <w:r w:rsidR="000B4953" w:rsidRPr="00AC57EA">
        <w:rPr>
          <w:rFonts w:eastAsia="MS Mincho"/>
          <w:sz w:val="20"/>
          <w:szCs w:val="20"/>
          <w:lang w:val="en-US" w:bidi="en-US"/>
        </w:rPr>
        <w:t xml:space="preserve">the injured party is considered to be anyone who has been declared a victim of the violation of any right recognized in that instrument. Therefore, the Court finds that, in the instant case, </w:t>
      </w:r>
      <w:r w:rsidR="000B4953" w:rsidRPr="00AC57EA">
        <w:rPr>
          <w:rFonts w:eastAsia="Verdana" w:cs="Verdana"/>
          <w:sz w:val="20"/>
          <w:szCs w:val="20"/>
          <w:lang w:val="en-US"/>
        </w:rPr>
        <w:t xml:space="preserve">V.R.P., </w:t>
      </w:r>
      <w:r w:rsidR="000B4953" w:rsidRPr="00AC57EA">
        <w:rPr>
          <w:rFonts w:eastAsia="MS Mincho"/>
          <w:sz w:val="20"/>
          <w:szCs w:val="20"/>
          <w:lang w:val="en-US" w:bidi="en-US"/>
        </w:rPr>
        <w:t>V.P.C.</w:t>
      </w:r>
      <w:r w:rsidR="000B4953" w:rsidRPr="00AC57EA">
        <w:rPr>
          <w:rFonts w:eastAsia="Verdana" w:cs="Verdana"/>
          <w:sz w:val="20"/>
          <w:szCs w:val="20"/>
          <w:lang w:val="en-US"/>
        </w:rPr>
        <w:t xml:space="preserve">, N.R.P., H.J.R.P., and V.A.R.P. are the </w:t>
      </w:r>
      <w:r w:rsidR="000B4953" w:rsidRPr="00AC57EA">
        <w:rPr>
          <w:rFonts w:eastAsia="MS Mincho"/>
          <w:sz w:val="20"/>
          <w:szCs w:val="20"/>
          <w:lang w:val="en-US" w:bidi="en-US"/>
        </w:rPr>
        <w:t>“injured party” and, in their capacity as victims of the violations declared in this judgment, they will be considered beneficiaries of the reparations ordered by the Court.</w:t>
      </w:r>
    </w:p>
    <w:p w14:paraId="25F6DB52" w14:textId="77777777" w:rsidR="009D661E" w:rsidRPr="00AC57EA" w:rsidRDefault="009D661E" w:rsidP="009D661E">
      <w:pPr>
        <w:tabs>
          <w:tab w:val="num" w:pos="720"/>
          <w:tab w:val="left" w:pos="851"/>
          <w:tab w:val="num" w:pos="1427"/>
        </w:tabs>
        <w:spacing w:line="240" w:lineRule="auto"/>
        <w:rPr>
          <w:sz w:val="20"/>
          <w:szCs w:val="20"/>
          <w:lang w:val="en-US"/>
        </w:rPr>
      </w:pPr>
    </w:p>
    <w:p w14:paraId="0A48B0FC" w14:textId="2F809E1F" w:rsidR="009D661E" w:rsidRPr="00AC57EA" w:rsidRDefault="00474CE5" w:rsidP="002C415B">
      <w:pPr>
        <w:keepNext/>
        <w:keepLines/>
        <w:numPr>
          <w:ilvl w:val="0"/>
          <w:numId w:val="11"/>
        </w:numPr>
        <w:tabs>
          <w:tab w:val="left" w:pos="567"/>
          <w:tab w:val="left" w:pos="1134"/>
        </w:tabs>
        <w:spacing w:line="240" w:lineRule="auto"/>
        <w:ind w:left="567" w:firstLine="0"/>
        <w:textAlignment w:val="auto"/>
        <w:outlineLvl w:val="1"/>
        <w:rPr>
          <w:rFonts w:eastAsia="MS Mincho"/>
          <w:b/>
          <w:bCs/>
          <w:i/>
          <w:sz w:val="20"/>
          <w:szCs w:val="20"/>
          <w:lang w:val="en-US"/>
        </w:rPr>
      </w:pPr>
      <w:r w:rsidRPr="00AC57EA">
        <w:rPr>
          <w:rFonts w:eastAsia="MS Mincho"/>
          <w:b/>
          <w:bCs/>
          <w:i/>
          <w:sz w:val="20"/>
          <w:szCs w:val="20"/>
          <w:lang w:val="en-US"/>
        </w:rPr>
        <w:t>Obligation to investigate the facts and identify, prosecute and punish, as appropriate, those responsible</w:t>
      </w:r>
    </w:p>
    <w:p w14:paraId="21BA5F02" w14:textId="77777777" w:rsidR="009D661E" w:rsidRPr="00AC57EA" w:rsidRDefault="009D661E" w:rsidP="009D661E">
      <w:pPr>
        <w:autoSpaceDE w:val="0"/>
        <w:autoSpaceDN w:val="0"/>
        <w:spacing w:line="240" w:lineRule="auto"/>
        <w:rPr>
          <w:rFonts w:cs="Verdana"/>
          <w:b/>
          <w:bCs/>
          <w:i/>
          <w:iCs/>
          <w:sz w:val="20"/>
          <w:szCs w:val="20"/>
          <w:lang w:val="en-US"/>
        </w:rPr>
      </w:pPr>
    </w:p>
    <w:p w14:paraId="6C23EB66" w14:textId="43B5C843" w:rsidR="000B4953" w:rsidRPr="00AC57EA" w:rsidRDefault="00B7258C"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Commission</w:t>
      </w:r>
      <w:r w:rsidR="00612410" w:rsidRPr="00AC57EA">
        <w:rPr>
          <w:rFonts w:eastAsia="MS Mincho"/>
          <w:b/>
          <w:bCs/>
          <w:i/>
          <w:iCs/>
          <w:sz w:val="20"/>
          <w:szCs w:val="20"/>
          <w:lang w:val="en-US" w:bidi="en-US"/>
        </w:rPr>
        <w:t xml:space="preserve"> </w:t>
      </w:r>
      <w:r w:rsidR="000B4953" w:rsidRPr="00AC57EA">
        <w:rPr>
          <w:rFonts w:cs="Cambria"/>
          <w:sz w:val="20"/>
          <w:szCs w:val="20"/>
          <w:lang w:val="en-US"/>
        </w:rPr>
        <w:t xml:space="preserve">indicated that, although the first recommendation in its Merits Report asked the State to institute proceedings against the person responsible for the rape of V.R.P., who was repeatedly identified by the child as her father, information provided since the adoption of that decision reveals that the presumed perpetrator is now deceased. Nevertheless, the Commission stressed that this fact did not exempt the State from its obligation to take all necessary measures to provide comprehensive justice and, in this case, this could not be understood to be limited to the imposition of a punishment and, in the actual circumstances, the impossibility of subjecting the perpetrator to a criminal trial. In the Commission’s opinion, justice required the State of Nicaragua </w:t>
      </w:r>
      <w:r w:rsidR="001A3BF8" w:rsidRPr="00AC57EA">
        <w:rPr>
          <w:rFonts w:cs="Cambria"/>
          <w:sz w:val="20"/>
          <w:szCs w:val="20"/>
          <w:lang w:val="en-US"/>
        </w:rPr>
        <w:t xml:space="preserve">to </w:t>
      </w:r>
      <w:r w:rsidR="000B4953" w:rsidRPr="00AC57EA">
        <w:rPr>
          <w:rFonts w:cs="Cambria"/>
          <w:sz w:val="20"/>
          <w:szCs w:val="20"/>
          <w:lang w:val="en-US"/>
        </w:rPr>
        <w:t xml:space="preserve">take all necessary measures to determine “the historical truth of the facts denounced by V.R.P. and her mother, V.P.C., including all the serious irregularities that perpetuated the impunity of this gross human rights violation, and </w:t>
      </w:r>
      <w:r w:rsidR="001A3BF8" w:rsidRPr="00AC57EA">
        <w:rPr>
          <w:rFonts w:cs="Cambria"/>
          <w:sz w:val="20"/>
          <w:szCs w:val="20"/>
          <w:lang w:val="en-US"/>
        </w:rPr>
        <w:t xml:space="preserve">to </w:t>
      </w:r>
      <w:r w:rsidR="000B4953" w:rsidRPr="00AC57EA">
        <w:rPr>
          <w:rFonts w:cs="Cambria"/>
          <w:sz w:val="20"/>
          <w:szCs w:val="20"/>
          <w:lang w:val="en-US"/>
        </w:rPr>
        <w:t>establish the different responsibilities [administrative, disciplinary or criminal] that correspond to the State’s officials who contributed to this denial of justice [and impunity].”</w:t>
      </w:r>
    </w:p>
    <w:p w14:paraId="534A9C48" w14:textId="77777777" w:rsidR="009D661E" w:rsidRPr="00AC57EA" w:rsidRDefault="009D661E" w:rsidP="009D661E">
      <w:pPr>
        <w:tabs>
          <w:tab w:val="left" w:pos="709"/>
          <w:tab w:val="num" w:pos="1427"/>
        </w:tabs>
        <w:spacing w:line="240" w:lineRule="auto"/>
        <w:ind w:right="-90"/>
        <w:rPr>
          <w:sz w:val="20"/>
          <w:szCs w:val="20"/>
          <w:lang w:val="en-US"/>
        </w:rPr>
      </w:pPr>
    </w:p>
    <w:p w14:paraId="357452F3" w14:textId="4A24E406" w:rsidR="00C04E16" w:rsidRPr="00AC57EA" w:rsidRDefault="00171E27" w:rsidP="009D661E">
      <w:pPr>
        <w:numPr>
          <w:ilvl w:val="0"/>
          <w:numId w:val="2"/>
        </w:numPr>
        <w:tabs>
          <w:tab w:val="left" w:pos="567"/>
          <w:tab w:val="num" w:pos="5057"/>
        </w:tabs>
        <w:spacing w:line="240" w:lineRule="auto"/>
        <w:ind w:left="0" w:firstLine="0"/>
        <w:textAlignment w:val="auto"/>
        <w:rPr>
          <w:rFonts w:eastAsia="Verdana" w:cs="Verdana"/>
          <w:b/>
          <w:bCs/>
          <w:sz w:val="20"/>
          <w:szCs w:val="20"/>
          <w:lang w:val="en-US"/>
        </w:rPr>
      </w:pPr>
      <w:r w:rsidRPr="00AC57EA">
        <w:rPr>
          <w:bCs/>
          <w:sz w:val="20"/>
          <w:szCs w:val="20"/>
          <w:lang w:val="en-US" w:bidi="en-US"/>
        </w:rPr>
        <w:t xml:space="preserve">The </w:t>
      </w:r>
      <w:r w:rsidRPr="00AC57EA">
        <w:rPr>
          <w:b/>
          <w:i/>
          <w:iCs/>
          <w:sz w:val="20"/>
          <w:szCs w:val="20"/>
          <w:lang w:val="en-US" w:bidi="en-US"/>
        </w:rPr>
        <w:t>representative</w:t>
      </w:r>
      <w:r w:rsidR="00C04E16" w:rsidRPr="00AC57EA">
        <w:rPr>
          <w:b/>
          <w:i/>
          <w:iCs/>
          <w:sz w:val="20"/>
          <w:szCs w:val="20"/>
          <w:lang w:val="en-US" w:bidi="en-US"/>
        </w:rPr>
        <w:t>s</w:t>
      </w:r>
      <w:r w:rsidR="009D661E" w:rsidRPr="00AC57EA">
        <w:rPr>
          <w:rFonts w:eastAsia="MS Mincho"/>
          <w:sz w:val="20"/>
          <w:szCs w:val="20"/>
          <w:lang w:val="en-US" w:bidi="en-US"/>
        </w:rPr>
        <w:t xml:space="preserve"> </w:t>
      </w:r>
      <w:r w:rsidR="00C04E16" w:rsidRPr="00AC57EA">
        <w:rPr>
          <w:rFonts w:eastAsia="MS Mincho"/>
          <w:sz w:val="20"/>
          <w:szCs w:val="20"/>
          <w:lang w:val="en-US" w:bidi="en-US"/>
        </w:rPr>
        <w:t>asked that the Court order the State to take the necessary measures to ensure that the human rights violations committed against V.R.P and the members of her family are effectively investigated and punished by means of proceedings in which all the judicial guarantees are ensured. They added that these investigations should include the actions of the administrative and judicial authorities that permitted the sexual attack on the child V.R.P to go unpunished, and also the revictimization she suffered.</w:t>
      </w:r>
    </w:p>
    <w:p w14:paraId="577BD01D" w14:textId="77777777" w:rsidR="009D661E" w:rsidRPr="00AC57EA" w:rsidRDefault="009D661E" w:rsidP="009D661E">
      <w:pPr>
        <w:tabs>
          <w:tab w:val="left" w:pos="0"/>
          <w:tab w:val="num" w:pos="11028"/>
        </w:tabs>
        <w:spacing w:line="240" w:lineRule="auto"/>
        <w:ind w:right="-90"/>
        <w:rPr>
          <w:rFonts w:eastAsia="Verdana" w:cs="Verdana"/>
          <w:b/>
          <w:bCs/>
          <w:sz w:val="20"/>
          <w:szCs w:val="20"/>
          <w:lang w:val="en-US"/>
        </w:rPr>
      </w:pPr>
    </w:p>
    <w:p w14:paraId="43EBC692" w14:textId="074C037E" w:rsidR="009D661E" w:rsidRPr="00AC57EA" w:rsidRDefault="00EC52D7" w:rsidP="009D661E">
      <w:pPr>
        <w:numPr>
          <w:ilvl w:val="0"/>
          <w:numId w:val="2"/>
        </w:numPr>
        <w:tabs>
          <w:tab w:val="left" w:pos="567"/>
          <w:tab w:val="num" w:pos="5057"/>
        </w:tabs>
        <w:spacing w:line="240" w:lineRule="auto"/>
        <w:ind w:left="0" w:firstLine="0"/>
        <w:textAlignment w:val="auto"/>
        <w:rPr>
          <w:b/>
          <w:sz w:val="20"/>
          <w:szCs w:val="20"/>
          <w:lang w:val="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9D661E" w:rsidRPr="00AC57EA">
        <w:rPr>
          <w:b/>
          <w:bCs/>
          <w:i/>
          <w:iCs/>
          <w:sz w:val="20"/>
          <w:szCs w:val="20"/>
          <w:lang w:val="en-US" w:bidi="en-US"/>
        </w:rPr>
        <w:t xml:space="preserve"> </w:t>
      </w:r>
      <w:r w:rsidR="00C04E16" w:rsidRPr="00AC57EA">
        <w:rPr>
          <w:sz w:val="20"/>
          <w:szCs w:val="20"/>
          <w:lang w:val="en-US" w:bidi="en-US"/>
        </w:rPr>
        <w:t>indicated that</w:t>
      </w:r>
      <w:r w:rsidR="009D661E" w:rsidRPr="00AC57EA">
        <w:rPr>
          <w:sz w:val="20"/>
          <w:szCs w:val="20"/>
          <w:lang w:val="en-US" w:bidi="en-US"/>
        </w:rPr>
        <w:t xml:space="preserve"> H.R.A., </w:t>
      </w:r>
      <w:r w:rsidR="00C04E16" w:rsidRPr="00AC57EA">
        <w:rPr>
          <w:sz w:val="20"/>
          <w:szCs w:val="20"/>
          <w:lang w:val="en-US" w:bidi="en-US"/>
        </w:rPr>
        <w:t>who</w:t>
      </w:r>
      <w:r w:rsidR="009D661E" w:rsidRPr="00AC57EA">
        <w:rPr>
          <w:sz w:val="20"/>
          <w:szCs w:val="20"/>
          <w:lang w:val="en-US" w:bidi="en-US"/>
        </w:rPr>
        <w:t xml:space="preserve"> V.R.P. </w:t>
      </w:r>
      <w:r w:rsidR="00C04E16" w:rsidRPr="00AC57EA">
        <w:rPr>
          <w:sz w:val="20"/>
          <w:szCs w:val="20"/>
          <w:lang w:val="en-US" w:bidi="en-US"/>
        </w:rPr>
        <w:t>had accused of being the author of the rape she suffered, died on August 29,</w:t>
      </w:r>
      <w:r w:rsidR="009D661E" w:rsidRPr="00AC57EA">
        <w:rPr>
          <w:sz w:val="20"/>
          <w:szCs w:val="20"/>
          <w:lang w:val="en-US" w:bidi="en-US"/>
        </w:rPr>
        <w:t xml:space="preserve"> 2008</w:t>
      </w:r>
      <w:r w:rsidR="00C04E16" w:rsidRPr="00AC57EA">
        <w:rPr>
          <w:sz w:val="20"/>
          <w:szCs w:val="20"/>
          <w:lang w:val="en-US" w:bidi="en-US"/>
        </w:rPr>
        <w:t>,</w:t>
      </w:r>
      <w:r w:rsidR="00171E27" w:rsidRPr="00AC57EA">
        <w:rPr>
          <w:sz w:val="20"/>
          <w:szCs w:val="20"/>
          <w:lang w:val="en-US" w:bidi="en-US"/>
        </w:rPr>
        <w:t xml:space="preserve"> and </w:t>
      </w:r>
      <w:r w:rsidR="00C04E16" w:rsidRPr="00AC57EA">
        <w:rPr>
          <w:sz w:val="20"/>
          <w:szCs w:val="20"/>
          <w:lang w:val="en-US" w:bidi="en-US"/>
        </w:rPr>
        <w:t>that</w:t>
      </w:r>
      <w:r w:rsidR="001A3BF8" w:rsidRPr="00AC57EA">
        <w:rPr>
          <w:sz w:val="20"/>
          <w:szCs w:val="20"/>
          <w:lang w:val="en-US" w:bidi="en-US"/>
        </w:rPr>
        <w:t xml:space="preserve">, </w:t>
      </w:r>
      <w:r w:rsidR="00C04E16" w:rsidRPr="00AC57EA">
        <w:rPr>
          <w:sz w:val="20"/>
          <w:szCs w:val="20"/>
          <w:lang w:val="en-US" w:bidi="en-US"/>
        </w:rPr>
        <w:t>even objectively</w:t>
      </w:r>
      <w:r w:rsidR="001A3BF8" w:rsidRPr="00AC57EA">
        <w:rPr>
          <w:sz w:val="20"/>
          <w:szCs w:val="20"/>
          <w:lang w:val="en-US" w:bidi="en-US"/>
        </w:rPr>
        <w:t>, this</w:t>
      </w:r>
      <w:r w:rsidR="00C04E16" w:rsidRPr="00AC57EA">
        <w:rPr>
          <w:sz w:val="20"/>
          <w:szCs w:val="20"/>
          <w:lang w:val="en-US" w:bidi="en-US"/>
        </w:rPr>
        <w:t xml:space="preserve"> prevented complying with the Commission’s recommendation</w:t>
      </w:r>
      <w:r w:rsidR="009D661E" w:rsidRPr="00AC57EA">
        <w:rPr>
          <w:sz w:val="20"/>
          <w:szCs w:val="20"/>
          <w:lang w:val="en-US" w:bidi="en-US"/>
        </w:rPr>
        <w:t xml:space="preserve">, </w:t>
      </w:r>
      <w:r w:rsidR="00C04E16" w:rsidRPr="00AC57EA">
        <w:rPr>
          <w:sz w:val="20"/>
          <w:szCs w:val="20"/>
          <w:lang w:val="en-US" w:bidi="en-US"/>
        </w:rPr>
        <w:t>because both the</w:t>
      </w:r>
      <w:r w:rsidR="009D661E" w:rsidRPr="00AC57EA">
        <w:rPr>
          <w:sz w:val="20"/>
          <w:szCs w:val="20"/>
          <w:lang w:val="en-US" w:bidi="en-US"/>
        </w:rPr>
        <w:t xml:space="preserve"> </w:t>
      </w:r>
      <w:r w:rsidR="002A1A7C" w:rsidRPr="00AC57EA">
        <w:rPr>
          <w:sz w:val="20"/>
          <w:szCs w:val="20"/>
          <w:lang w:val="en-US" w:bidi="en-US"/>
        </w:rPr>
        <w:t>Code of Criminal Procedure</w:t>
      </w:r>
      <w:r w:rsidR="009D661E" w:rsidRPr="00AC57EA">
        <w:rPr>
          <w:sz w:val="20"/>
          <w:szCs w:val="20"/>
          <w:lang w:val="en-US" w:bidi="en-US"/>
        </w:rPr>
        <w:t xml:space="preserve"> </w:t>
      </w:r>
      <w:r w:rsidR="00C04E16" w:rsidRPr="00AC57EA">
        <w:rPr>
          <w:sz w:val="20"/>
          <w:szCs w:val="20"/>
          <w:lang w:val="en-US" w:bidi="en-US"/>
        </w:rPr>
        <w:t>and the</w:t>
      </w:r>
      <w:r w:rsidR="009D661E" w:rsidRPr="00AC57EA">
        <w:rPr>
          <w:sz w:val="20"/>
          <w:szCs w:val="20"/>
          <w:lang w:val="en-US" w:bidi="en-US"/>
        </w:rPr>
        <w:t xml:space="preserve"> </w:t>
      </w:r>
      <w:r w:rsidR="00F653DF" w:rsidRPr="00AC57EA">
        <w:rPr>
          <w:sz w:val="20"/>
          <w:szCs w:val="20"/>
          <w:lang w:val="en-US" w:bidi="en-US"/>
        </w:rPr>
        <w:t>Criminal Procedure Code</w:t>
      </w:r>
      <w:r w:rsidR="00C04E16" w:rsidRPr="00AC57EA">
        <w:rPr>
          <w:sz w:val="20"/>
          <w:szCs w:val="20"/>
          <w:lang w:val="en-US" w:bidi="en-US"/>
        </w:rPr>
        <w:t xml:space="preserve"> </w:t>
      </w:r>
      <w:r w:rsidR="009D661E" w:rsidRPr="00AC57EA">
        <w:rPr>
          <w:sz w:val="20"/>
          <w:szCs w:val="20"/>
          <w:lang w:val="en-US" w:bidi="en-US"/>
        </w:rPr>
        <w:t>establ</w:t>
      </w:r>
      <w:r w:rsidR="00C04E16" w:rsidRPr="00AC57EA">
        <w:rPr>
          <w:sz w:val="20"/>
          <w:szCs w:val="20"/>
          <w:lang w:val="en-US" w:bidi="en-US"/>
        </w:rPr>
        <w:t>ish that the death of the accused extinguishes the criminal action.</w:t>
      </w:r>
    </w:p>
    <w:p w14:paraId="472DA74E" w14:textId="595FB4EC" w:rsidR="009D661E" w:rsidRPr="00AC57EA" w:rsidRDefault="009D661E" w:rsidP="009D661E">
      <w:pPr>
        <w:pStyle w:val="Prrafodelista"/>
        <w:spacing w:line="240" w:lineRule="auto"/>
        <w:ind w:left="0"/>
        <w:rPr>
          <w:sz w:val="20"/>
          <w:szCs w:val="20"/>
          <w:lang w:val="en-US"/>
        </w:rPr>
      </w:pPr>
    </w:p>
    <w:p w14:paraId="4CBF5EE9" w14:textId="7F1DB62F" w:rsidR="00C04E16" w:rsidRPr="00AC57EA" w:rsidRDefault="00C04E16" w:rsidP="009D661E">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Also, regarding the investigation of the state officials who contributed to the denial of justice and the impunity of the case, the State indicated that the Supreme Court of Justice had taken cognizance of several “briefs” filed by V.P.C. and they had all been resolved administratively. It indicated that the cases filed by V.P.C. against public officials who had intervened in the criminal proceedings for rape had been archived.</w:t>
      </w:r>
    </w:p>
    <w:p w14:paraId="477492D4" w14:textId="77777777" w:rsidR="009D661E" w:rsidRPr="00AC57EA" w:rsidRDefault="009D661E" w:rsidP="009D661E">
      <w:pPr>
        <w:tabs>
          <w:tab w:val="left" w:pos="0"/>
          <w:tab w:val="num" w:pos="11028"/>
        </w:tabs>
        <w:spacing w:line="240" w:lineRule="auto"/>
        <w:ind w:right="-90"/>
        <w:rPr>
          <w:b/>
          <w:sz w:val="20"/>
          <w:szCs w:val="20"/>
          <w:lang w:val="en-US"/>
        </w:rPr>
      </w:pPr>
    </w:p>
    <w:p w14:paraId="5E31BBBC" w14:textId="51183CEB" w:rsidR="009D661E" w:rsidRPr="00AC57EA" w:rsidRDefault="00B7258C" w:rsidP="00C04E16">
      <w:pPr>
        <w:numPr>
          <w:ilvl w:val="0"/>
          <w:numId w:val="2"/>
        </w:numPr>
        <w:tabs>
          <w:tab w:val="left" w:pos="567"/>
          <w:tab w:val="num" w:pos="5057"/>
        </w:tabs>
        <w:spacing w:line="240" w:lineRule="auto"/>
        <w:ind w:left="0" w:firstLine="0"/>
        <w:textAlignment w:val="auto"/>
        <w:rPr>
          <w:rFonts w:eastAsia="MS Mincho" w:cs="Verdana"/>
          <w:sz w:val="20"/>
          <w:szCs w:val="20"/>
          <w:lang w:val="en-US" w:bidi="en-US"/>
        </w:rPr>
      </w:pPr>
      <w:r w:rsidRPr="00AC57EA">
        <w:rPr>
          <w:rFonts w:eastAsia="MS Mincho"/>
          <w:sz w:val="20"/>
          <w:szCs w:val="20"/>
          <w:lang w:val="en-US" w:bidi="en-US"/>
        </w:rPr>
        <w:t>The Court</w:t>
      </w:r>
      <w:r w:rsidR="009D661E" w:rsidRPr="00AC57EA">
        <w:rPr>
          <w:rFonts w:eastAsia="MS Mincho"/>
          <w:sz w:val="20"/>
          <w:szCs w:val="20"/>
          <w:lang w:val="en-US" w:bidi="en-US"/>
        </w:rPr>
        <w:t xml:space="preserve"> t</w:t>
      </w:r>
      <w:r w:rsidR="00C04E16" w:rsidRPr="00AC57EA">
        <w:rPr>
          <w:rFonts w:eastAsia="MS Mincho"/>
          <w:sz w:val="20"/>
          <w:szCs w:val="20"/>
          <w:lang w:val="en-US" w:bidi="en-US"/>
        </w:rPr>
        <w:t xml:space="preserve">akes into consideration that, </w:t>
      </w:r>
      <w:r w:rsidR="007533A5" w:rsidRPr="00AC57EA">
        <w:rPr>
          <w:rFonts w:eastAsia="MS Mincho"/>
          <w:sz w:val="20"/>
          <w:szCs w:val="20"/>
          <w:lang w:val="en-US" w:bidi="en-US"/>
        </w:rPr>
        <w:t>from the very start</w:t>
      </w:r>
      <w:r w:rsidR="00C04E16" w:rsidRPr="00AC57EA">
        <w:rPr>
          <w:rFonts w:eastAsia="MS Mincho"/>
          <w:sz w:val="20"/>
          <w:szCs w:val="20"/>
          <w:lang w:val="en-US" w:bidi="en-US"/>
        </w:rPr>
        <w:t xml:space="preserve"> of the criminal proceedings for rape,</w:t>
      </w:r>
      <w:r w:rsidR="007533A5" w:rsidRPr="00AC57EA">
        <w:rPr>
          <w:rFonts w:eastAsia="MS Mincho"/>
          <w:sz w:val="20"/>
          <w:szCs w:val="20"/>
          <w:lang w:val="en-US" w:bidi="en-US"/>
        </w:rPr>
        <w:t xml:space="preserve"> in different statements</w:t>
      </w:r>
      <w:r w:rsidR="00C04E16" w:rsidRPr="00AC57EA">
        <w:rPr>
          <w:rFonts w:eastAsia="MS Mincho"/>
          <w:sz w:val="20"/>
          <w:szCs w:val="20"/>
          <w:lang w:val="en-US" w:bidi="en-US"/>
        </w:rPr>
        <w:t xml:space="preserve"> V.R.P. </w:t>
      </w:r>
      <w:r w:rsidR="007533A5" w:rsidRPr="00AC57EA">
        <w:rPr>
          <w:rFonts w:eastAsia="MS Mincho"/>
          <w:sz w:val="20"/>
          <w:szCs w:val="20"/>
          <w:lang w:val="en-US" w:bidi="en-US"/>
        </w:rPr>
        <w:t>indicated that her father, H.R.A. was the presumed perpetrator of the facts. On August 29, 2008, during the processing of the procedure before the Commission, H.R.A. died.</w:t>
      </w:r>
      <w:r w:rsidR="009D661E" w:rsidRPr="00AC57EA">
        <w:rPr>
          <w:rStyle w:val="Refdenotaalpie"/>
          <w:rFonts w:eastAsia="MS Mincho"/>
          <w:sz w:val="20"/>
          <w:szCs w:val="20"/>
          <w:lang w:val="en-US" w:bidi="en-US"/>
        </w:rPr>
        <w:footnoteReference w:id="424"/>
      </w:r>
      <w:r w:rsidR="00163FD0" w:rsidRPr="00AC57EA">
        <w:rPr>
          <w:rFonts w:eastAsia="MS Mincho"/>
          <w:sz w:val="20"/>
          <w:szCs w:val="20"/>
          <w:lang w:val="en-US" w:bidi="en-US"/>
        </w:rPr>
        <w:t xml:space="preserve"> </w:t>
      </w:r>
      <w:r w:rsidR="007533A5" w:rsidRPr="00AC57EA">
        <w:rPr>
          <w:rFonts w:eastAsia="MS Mincho"/>
          <w:sz w:val="20"/>
          <w:szCs w:val="20"/>
          <w:lang w:val="en-US" w:bidi="en-US"/>
        </w:rPr>
        <w:t>In the circumstances of this case, the Court considers that it is not appropriate to order new criminal proceedings to investigate, identify, prosecute and eventually punish the rape.</w:t>
      </w:r>
      <w:r w:rsidR="00A11CC7" w:rsidRPr="00AC57EA">
        <w:rPr>
          <w:rFonts w:eastAsia="MS Mincho"/>
          <w:sz w:val="20"/>
          <w:szCs w:val="20"/>
          <w:lang w:val="en-US" w:bidi="en-US"/>
        </w:rPr>
        <w:t xml:space="preserve"> </w:t>
      </w:r>
    </w:p>
    <w:p w14:paraId="34FC0AA4" w14:textId="77777777" w:rsidR="009D661E" w:rsidRPr="00AC57EA" w:rsidRDefault="009D661E" w:rsidP="009D661E">
      <w:pPr>
        <w:tabs>
          <w:tab w:val="left" w:pos="567"/>
        </w:tabs>
        <w:spacing w:line="240" w:lineRule="auto"/>
        <w:ind w:right="-90"/>
        <w:contextualSpacing/>
        <w:textAlignment w:val="auto"/>
        <w:rPr>
          <w:rFonts w:eastAsia="MS Mincho" w:cs="Verdana"/>
          <w:sz w:val="20"/>
          <w:szCs w:val="20"/>
          <w:lang w:val="en-US" w:bidi="en-US"/>
        </w:rPr>
      </w:pPr>
    </w:p>
    <w:p w14:paraId="6CC1B940" w14:textId="057B3CDF" w:rsidR="007533A5" w:rsidRPr="00AC57EA" w:rsidRDefault="007533A5" w:rsidP="009D661E">
      <w:pPr>
        <w:numPr>
          <w:ilvl w:val="0"/>
          <w:numId w:val="2"/>
        </w:numPr>
        <w:tabs>
          <w:tab w:val="left" w:pos="567"/>
          <w:tab w:val="num" w:pos="5057"/>
        </w:tabs>
        <w:spacing w:line="240" w:lineRule="auto"/>
        <w:ind w:left="0" w:firstLine="0"/>
        <w:rPr>
          <w:rFonts w:eastAsia="MS Mincho" w:cs="Verdana"/>
          <w:sz w:val="20"/>
          <w:szCs w:val="20"/>
          <w:lang w:val="en-US" w:bidi="en-US"/>
        </w:rPr>
      </w:pPr>
      <w:r w:rsidRPr="00AC57EA">
        <w:rPr>
          <w:rFonts w:eastAsia="MS Mincho"/>
          <w:sz w:val="20"/>
          <w:szCs w:val="20"/>
          <w:lang w:val="en-US" w:bidi="en-US"/>
        </w:rPr>
        <w:t xml:space="preserve">However, the Court has established that different state authorities failed to adopt special measures of protection for V.R.P.; to the contrary, they acted in violation of enhanced due diligence during the investigations and criminal proceedings for the rape of the child V.R.P., which entailed her revictimization. </w:t>
      </w:r>
      <w:r w:rsidR="00CF2748" w:rsidRPr="00AC57EA">
        <w:rPr>
          <w:rFonts w:eastAsia="MS Mincho"/>
          <w:sz w:val="20"/>
          <w:szCs w:val="20"/>
          <w:lang w:val="en-US" w:bidi="en-US"/>
        </w:rPr>
        <w:t>In addition, the Court has concluded that there was a well-founded fear of partiality in the domestic proceedings in relation to the conduct of the Jury Court. Therefore, the Court considers that the State should, within a reasonable time, determine, through the competent public institutions, the possible responsibilities of the officials who contributed, through their actions, to the perpetration of acts of revictimization and institutional violence against V.R.P. and, insofar as possible, apply the legal consequences.</w:t>
      </w:r>
    </w:p>
    <w:p w14:paraId="28B092FA" w14:textId="77777777" w:rsidR="009D661E" w:rsidRPr="00AC57EA" w:rsidRDefault="009D661E" w:rsidP="009D661E">
      <w:pPr>
        <w:tabs>
          <w:tab w:val="num" w:pos="720"/>
          <w:tab w:val="left" w:pos="851"/>
          <w:tab w:val="num" w:pos="1427"/>
        </w:tabs>
        <w:spacing w:line="240" w:lineRule="auto"/>
        <w:rPr>
          <w:b/>
          <w:sz w:val="20"/>
          <w:szCs w:val="20"/>
          <w:lang w:val="en-US"/>
        </w:rPr>
      </w:pPr>
    </w:p>
    <w:p w14:paraId="1903477B" w14:textId="778396CF" w:rsidR="009D661E" w:rsidRPr="00AC57EA" w:rsidRDefault="00474CE5" w:rsidP="002C415B">
      <w:pPr>
        <w:keepNext/>
        <w:keepLines/>
        <w:numPr>
          <w:ilvl w:val="0"/>
          <w:numId w:val="11"/>
        </w:numPr>
        <w:tabs>
          <w:tab w:val="left" w:pos="567"/>
          <w:tab w:val="left" w:pos="1134"/>
        </w:tabs>
        <w:spacing w:line="240" w:lineRule="auto"/>
        <w:ind w:left="567" w:firstLine="0"/>
        <w:textAlignment w:val="auto"/>
        <w:outlineLvl w:val="1"/>
        <w:rPr>
          <w:rFonts w:eastAsia="MS Mincho"/>
          <w:b/>
          <w:bCs/>
          <w:i/>
          <w:sz w:val="20"/>
          <w:szCs w:val="20"/>
          <w:lang w:val="en-US"/>
        </w:rPr>
      </w:pPr>
      <w:r w:rsidRPr="00AC57EA">
        <w:rPr>
          <w:rFonts w:eastAsia="MS Mincho"/>
          <w:b/>
          <w:bCs/>
          <w:i/>
          <w:sz w:val="20"/>
          <w:szCs w:val="20"/>
          <w:lang w:val="en-US"/>
        </w:rPr>
        <w:t>Measures of rehabilitation and satisfaction and guarantees of non-repetition</w:t>
      </w:r>
    </w:p>
    <w:p w14:paraId="2DD9F82D" w14:textId="77777777" w:rsidR="009D661E" w:rsidRPr="00AC57EA" w:rsidRDefault="009D661E" w:rsidP="009D661E">
      <w:pPr>
        <w:spacing w:line="240" w:lineRule="auto"/>
        <w:rPr>
          <w:b/>
          <w:sz w:val="20"/>
          <w:szCs w:val="20"/>
          <w:lang w:val="en-US"/>
        </w:rPr>
      </w:pPr>
    </w:p>
    <w:p w14:paraId="1E129C8F" w14:textId="63B4C81D" w:rsidR="009D661E" w:rsidRPr="00AC57EA" w:rsidRDefault="009D661E" w:rsidP="009D661E">
      <w:pPr>
        <w:pStyle w:val="Ttulo2"/>
        <w:tabs>
          <w:tab w:val="left" w:pos="1843"/>
        </w:tabs>
        <w:spacing w:before="0" w:line="240" w:lineRule="auto"/>
        <w:ind w:left="1134"/>
        <w:rPr>
          <w:rFonts w:ascii="Verdana" w:hAnsi="Verdana"/>
          <w:b w:val="0"/>
          <w:i/>
          <w:color w:val="auto"/>
          <w:sz w:val="20"/>
          <w:szCs w:val="20"/>
          <w:lang w:val="en-US"/>
        </w:rPr>
      </w:pPr>
      <w:bookmarkStart w:id="156" w:name="_Toc495658697"/>
      <w:bookmarkStart w:id="157" w:name="_Toc514172665"/>
      <w:r w:rsidRPr="00AC57EA">
        <w:rPr>
          <w:rFonts w:ascii="Verdana" w:hAnsi="Verdana"/>
          <w:b w:val="0"/>
          <w:i/>
          <w:color w:val="auto"/>
          <w:sz w:val="20"/>
          <w:szCs w:val="20"/>
          <w:lang w:val="en-US"/>
        </w:rPr>
        <w:t xml:space="preserve">C.1 </w:t>
      </w:r>
      <w:r w:rsidRPr="00AC57EA">
        <w:rPr>
          <w:rFonts w:ascii="Verdana" w:hAnsi="Verdana"/>
          <w:b w:val="0"/>
          <w:i/>
          <w:color w:val="auto"/>
          <w:sz w:val="20"/>
          <w:szCs w:val="20"/>
          <w:lang w:val="en-US"/>
        </w:rPr>
        <w:tab/>
      </w:r>
      <w:r w:rsidR="00474CE5" w:rsidRPr="00AC57EA">
        <w:rPr>
          <w:rFonts w:ascii="Verdana" w:hAnsi="Verdana"/>
          <w:b w:val="0"/>
          <w:i/>
          <w:color w:val="auto"/>
          <w:sz w:val="20"/>
          <w:szCs w:val="20"/>
          <w:lang w:val="en-US"/>
        </w:rPr>
        <w:t>Rehabilitation</w:t>
      </w:r>
      <w:bookmarkEnd w:id="156"/>
      <w:bookmarkEnd w:id="157"/>
    </w:p>
    <w:p w14:paraId="4B0CD4FE" w14:textId="77777777" w:rsidR="009D661E" w:rsidRPr="00AC57EA" w:rsidRDefault="009D661E" w:rsidP="009D661E">
      <w:pPr>
        <w:tabs>
          <w:tab w:val="left" w:pos="709"/>
          <w:tab w:val="left" w:pos="1134"/>
        </w:tabs>
        <w:spacing w:line="240" w:lineRule="auto"/>
        <w:rPr>
          <w:sz w:val="20"/>
          <w:szCs w:val="20"/>
          <w:lang w:val="en-US"/>
        </w:rPr>
      </w:pPr>
    </w:p>
    <w:p w14:paraId="7B41CA81" w14:textId="6A7B0513" w:rsidR="00CF2748" w:rsidRPr="00AC57EA" w:rsidRDefault="00B7258C" w:rsidP="009D661E">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Commission</w:t>
      </w:r>
      <w:r w:rsidR="009D661E" w:rsidRPr="00AC57EA">
        <w:rPr>
          <w:rFonts w:eastAsia="MS Mincho"/>
          <w:sz w:val="20"/>
          <w:szCs w:val="20"/>
          <w:lang w:val="en-US" w:bidi="en-US"/>
        </w:rPr>
        <w:t xml:space="preserve"> recom</w:t>
      </w:r>
      <w:r w:rsidR="00CF2748" w:rsidRPr="00AC57EA">
        <w:rPr>
          <w:rFonts w:eastAsia="MS Mincho"/>
          <w:sz w:val="20"/>
          <w:szCs w:val="20"/>
          <w:lang w:val="en-US" w:bidi="en-US"/>
        </w:rPr>
        <w:t>mended providing, free and immediate medical and psychological or psychiatric care, as appropriate, to the victims who request this. In addition, taking into account that some of them reside outside the country, it clarified that this recommendation could be achieved by providing a sum of money that would reasonably cover the costs of the health care they require.</w:t>
      </w:r>
    </w:p>
    <w:p w14:paraId="1DA6176A" w14:textId="77777777" w:rsidR="009D661E" w:rsidRPr="00AC57EA" w:rsidRDefault="009D661E" w:rsidP="009D661E">
      <w:pPr>
        <w:tabs>
          <w:tab w:val="left" w:pos="0"/>
          <w:tab w:val="num" w:pos="12305"/>
        </w:tabs>
        <w:spacing w:line="240" w:lineRule="auto"/>
        <w:ind w:right="-90"/>
        <w:rPr>
          <w:rFonts w:eastAsia="MS Mincho"/>
          <w:b/>
          <w:sz w:val="20"/>
          <w:szCs w:val="20"/>
          <w:lang w:val="en-US" w:bidi="en-US"/>
        </w:rPr>
      </w:pPr>
    </w:p>
    <w:p w14:paraId="07DD0B36" w14:textId="02942B32" w:rsidR="009D661E" w:rsidRPr="00AC57EA" w:rsidRDefault="00171E27" w:rsidP="00CF2748">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representatives</w:t>
      </w:r>
      <w:r w:rsidR="009D661E" w:rsidRPr="00AC57EA">
        <w:rPr>
          <w:rFonts w:eastAsia="MS Mincho"/>
          <w:sz w:val="20"/>
          <w:szCs w:val="20"/>
          <w:lang w:val="en-US" w:bidi="en-US"/>
        </w:rPr>
        <w:t xml:space="preserve"> </w:t>
      </w:r>
      <w:r w:rsidR="00CF2748" w:rsidRPr="00AC57EA">
        <w:rPr>
          <w:rFonts w:eastAsia="MS Mincho"/>
          <w:sz w:val="20"/>
          <w:szCs w:val="20"/>
          <w:lang w:val="en-US" w:bidi="en-US"/>
        </w:rPr>
        <w:t>asked</w:t>
      </w:r>
      <w:r w:rsidR="009D661E" w:rsidRPr="00AC57EA">
        <w:rPr>
          <w:rFonts w:eastAsia="MS Mincho"/>
          <w:sz w:val="20"/>
          <w:szCs w:val="20"/>
          <w:lang w:val="en-US" w:bidi="en-US"/>
        </w:rPr>
        <w:t xml:space="preserve"> </w:t>
      </w:r>
      <w:r w:rsidR="00B7258C" w:rsidRPr="00AC57EA">
        <w:rPr>
          <w:rFonts w:eastAsia="MS Mincho"/>
          <w:sz w:val="20"/>
          <w:szCs w:val="20"/>
          <w:lang w:val="en-US" w:bidi="en-US"/>
        </w:rPr>
        <w:t>the Court</w:t>
      </w:r>
      <w:r w:rsidR="009D661E" w:rsidRPr="00AC57EA">
        <w:rPr>
          <w:rFonts w:eastAsia="MS Mincho"/>
          <w:sz w:val="20"/>
          <w:szCs w:val="20"/>
          <w:lang w:val="en-US" w:bidi="en-US"/>
        </w:rPr>
        <w:t xml:space="preserve"> </w:t>
      </w:r>
      <w:r w:rsidR="00CF2748" w:rsidRPr="00AC57EA">
        <w:rPr>
          <w:rFonts w:eastAsia="MS Mincho"/>
          <w:sz w:val="20"/>
          <w:szCs w:val="20"/>
          <w:lang w:val="en-US" w:bidi="en-US"/>
        </w:rPr>
        <w:t xml:space="preserve">to order the State to provide </w:t>
      </w:r>
      <w:r w:rsidR="009D661E" w:rsidRPr="00AC57EA">
        <w:rPr>
          <w:rFonts w:eastAsia="MS Mincho"/>
          <w:sz w:val="20"/>
          <w:szCs w:val="20"/>
          <w:lang w:val="en-US" w:bidi="en-US"/>
        </w:rPr>
        <w:t>H.J.R.P.</w:t>
      </w:r>
      <w:r w:rsidRPr="00AC57EA">
        <w:rPr>
          <w:rFonts w:eastAsia="MS Mincho"/>
          <w:sz w:val="20"/>
          <w:szCs w:val="20"/>
          <w:lang w:val="en-US" w:bidi="en-US"/>
        </w:rPr>
        <w:t xml:space="preserve"> and </w:t>
      </w:r>
      <w:r w:rsidR="009D661E" w:rsidRPr="00AC57EA">
        <w:rPr>
          <w:rFonts w:eastAsia="MS Mincho"/>
          <w:sz w:val="20"/>
          <w:szCs w:val="20"/>
          <w:lang w:val="en-US" w:bidi="en-US"/>
        </w:rPr>
        <w:t xml:space="preserve">V.A.R.P., </w:t>
      </w:r>
      <w:r w:rsidR="00CF2748" w:rsidRPr="00AC57EA">
        <w:rPr>
          <w:rFonts w:eastAsia="MS Mincho"/>
          <w:sz w:val="20"/>
          <w:szCs w:val="20"/>
          <w:lang w:val="en-US" w:bidi="en-US"/>
        </w:rPr>
        <w:t>who live in</w:t>
      </w:r>
      <w:r w:rsidR="009D661E" w:rsidRPr="00AC57EA">
        <w:rPr>
          <w:rFonts w:eastAsia="MS Mincho"/>
          <w:sz w:val="20"/>
          <w:szCs w:val="20"/>
          <w:lang w:val="en-US" w:bidi="en-US"/>
        </w:rPr>
        <w:t xml:space="preserve"> Nicaragua, </w:t>
      </w:r>
      <w:r w:rsidR="00CF2748" w:rsidRPr="00AC57EA">
        <w:rPr>
          <w:rFonts w:eastAsia="MS Mincho"/>
          <w:sz w:val="20"/>
          <w:szCs w:val="20"/>
          <w:lang w:val="en-US" w:bidi="en-US"/>
        </w:rPr>
        <w:t xml:space="preserve">with medical and psychological treatment in specialized centers, free of cost. Regarding V.R.P., V.P.C. and N.R.P., since they do not reside in Nicaragua, they asked that the State arrange a cash payment of a prudent amount of </w:t>
      </w:r>
      <w:r w:rsidR="009D661E" w:rsidRPr="00AC57EA">
        <w:rPr>
          <w:rFonts w:eastAsia="MS Mincho"/>
          <w:sz w:val="20"/>
          <w:szCs w:val="20"/>
          <w:lang w:val="en-US" w:bidi="en-US"/>
        </w:rPr>
        <w:t>US$200</w:t>
      </w:r>
      <w:r w:rsidR="00474CE5" w:rsidRPr="00AC57EA">
        <w:rPr>
          <w:rFonts w:eastAsia="MS Mincho"/>
          <w:sz w:val="20"/>
          <w:szCs w:val="20"/>
          <w:lang w:val="en-US" w:bidi="en-US"/>
        </w:rPr>
        <w:t>,000.00</w:t>
      </w:r>
      <w:r w:rsidR="009D661E" w:rsidRPr="00AC57EA">
        <w:rPr>
          <w:rFonts w:eastAsia="MS Mincho"/>
          <w:sz w:val="20"/>
          <w:szCs w:val="20"/>
          <w:lang w:val="en-US" w:bidi="en-US"/>
        </w:rPr>
        <w:t xml:space="preserve"> </w:t>
      </w:r>
      <w:r w:rsidR="00CF2748" w:rsidRPr="00AC57EA">
        <w:rPr>
          <w:rFonts w:eastAsia="MS Mincho"/>
          <w:sz w:val="20"/>
          <w:szCs w:val="20"/>
          <w:lang w:val="en-US" w:bidi="en-US"/>
        </w:rPr>
        <w:t>for</w:t>
      </w:r>
      <w:r w:rsidR="009D661E" w:rsidRPr="00AC57EA">
        <w:rPr>
          <w:rFonts w:eastAsia="MS Mincho"/>
          <w:sz w:val="20"/>
          <w:szCs w:val="20"/>
          <w:lang w:val="en-US" w:bidi="en-US"/>
        </w:rPr>
        <w:t xml:space="preserve"> V.R.P., US$75</w:t>
      </w:r>
      <w:r w:rsidR="00474CE5" w:rsidRPr="00AC57EA">
        <w:rPr>
          <w:rFonts w:eastAsia="MS Mincho"/>
          <w:sz w:val="20"/>
          <w:szCs w:val="20"/>
          <w:lang w:val="en-US" w:bidi="en-US"/>
        </w:rPr>
        <w:t>,000.00</w:t>
      </w:r>
      <w:r w:rsidR="00CF2748" w:rsidRPr="00AC57EA">
        <w:rPr>
          <w:rFonts w:eastAsia="MS Mincho"/>
          <w:sz w:val="20"/>
          <w:szCs w:val="20"/>
          <w:lang w:val="en-US" w:bidi="en-US"/>
        </w:rPr>
        <w:t xml:space="preserve"> for</w:t>
      </w:r>
      <w:r w:rsidR="009D661E" w:rsidRPr="00AC57EA">
        <w:rPr>
          <w:rFonts w:eastAsia="MS Mincho"/>
          <w:sz w:val="20"/>
          <w:szCs w:val="20"/>
          <w:lang w:val="en-US" w:bidi="en-US"/>
        </w:rPr>
        <w:t xml:space="preserve"> V.P.C.</w:t>
      </w:r>
      <w:r w:rsidRPr="00AC57EA">
        <w:rPr>
          <w:rFonts w:eastAsia="MS Mincho"/>
          <w:sz w:val="20"/>
          <w:szCs w:val="20"/>
          <w:lang w:val="en-US" w:bidi="en-US"/>
        </w:rPr>
        <w:t xml:space="preserve"> and </w:t>
      </w:r>
      <w:r w:rsidR="009D661E" w:rsidRPr="00AC57EA">
        <w:rPr>
          <w:rFonts w:eastAsia="MS Mincho"/>
          <w:sz w:val="20"/>
          <w:szCs w:val="20"/>
          <w:lang w:val="en-US" w:bidi="en-US"/>
        </w:rPr>
        <w:t>US$30</w:t>
      </w:r>
      <w:r w:rsidR="00474CE5" w:rsidRPr="00AC57EA">
        <w:rPr>
          <w:rFonts w:eastAsia="MS Mincho"/>
          <w:sz w:val="20"/>
          <w:szCs w:val="20"/>
          <w:lang w:val="en-US" w:bidi="en-US"/>
        </w:rPr>
        <w:t>,000.00</w:t>
      </w:r>
      <w:r w:rsidR="009D661E" w:rsidRPr="00AC57EA">
        <w:rPr>
          <w:rFonts w:eastAsia="MS Mincho"/>
          <w:sz w:val="20"/>
          <w:szCs w:val="20"/>
          <w:lang w:val="en-US" w:bidi="en-US"/>
        </w:rPr>
        <w:t xml:space="preserve"> </w:t>
      </w:r>
      <w:r w:rsidR="00CF2748" w:rsidRPr="00AC57EA">
        <w:rPr>
          <w:rFonts w:eastAsia="MS Mincho"/>
          <w:sz w:val="20"/>
          <w:szCs w:val="20"/>
          <w:lang w:val="en-US" w:bidi="en-US"/>
        </w:rPr>
        <w:t>for</w:t>
      </w:r>
      <w:r w:rsidR="009D661E" w:rsidRPr="00AC57EA">
        <w:rPr>
          <w:rFonts w:eastAsia="MS Mincho"/>
          <w:sz w:val="20"/>
          <w:szCs w:val="20"/>
          <w:lang w:val="en-US" w:bidi="en-US"/>
        </w:rPr>
        <w:t xml:space="preserve"> N.R.P., </w:t>
      </w:r>
      <w:r w:rsidR="00CF2748" w:rsidRPr="00AC57EA">
        <w:rPr>
          <w:rFonts w:eastAsia="MS Mincho"/>
          <w:sz w:val="20"/>
          <w:szCs w:val="20"/>
          <w:lang w:val="en-US" w:bidi="en-US"/>
        </w:rPr>
        <w:t>so that they may cover their psychological and psychiatric treatment, as well as the cost of the medicines prescribed for their recovery</w:t>
      </w:r>
      <w:r w:rsidR="009D661E" w:rsidRPr="00AC57EA">
        <w:rPr>
          <w:rFonts w:eastAsia="MS Mincho"/>
          <w:sz w:val="20"/>
          <w:szCs w:val="20"/>
          <w:lang w:val="en-US" w:bidi="en-US"/>
        </w:rPr>
        <w:t>.</w:t>
      </w:r>
    </w:p>
    <w:p w14:paraId="4603D7F4" w14:textId="77777777" w:rsidR="009D661E" w:rsidRPr="00AC57EA" w:rsidRDefault="009D661E" w:rsidP="009D661E">
      <w:pPr>
        <w:tabs>
          <w:tab w:val="left" w:pos="709"/>
          <w:tab w:val="left" w:pos="1134"/>
        </w:tabs>
        <w:spacing w:line="240" w:lineRule="auto"/>
        <w:rPr>
          <w:b/>
          <w:sz w:val="20"/>
          <w:szCs w:val="20"/>
          <w:lang w:val="en-US"/>
        </w:rPr>
      </w:pPr>
    </w:p>
    <w:p w14:paraId="1C809478" w14:textId="533062A4" w:rsidR="009D661E" w:rsidRPr="00AC57EA" w:rsidRDefault="00EC52D7" w:rsidP="00476431">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CF2748" w:rsidRPr="00AC57EA">
        <w:rPr>
          <w:rFonts w:eastAsia="MS Mincho"/>
          <w:sz w:val="20"/>
          <w:szCs w:val="20"/>
          <w:lang w:val="en-US" w:bidi="en-US"/>
        </w:rPr>
        <w:t xml:space="preserve"> did not </w:t>
      </w:r>
      <w:r w:rsidR="002A01B7" w:rsidRPr="00AC57EA">
        <w:rPr>
          <w:rFonts w:eastAsia="MS Mincho"/>
          <w:sz w:val="20"/>
          <w:szCs w:val="20"/>
          <w:lang w:val="en-US" w:bidi="en-US"/>
        </w:rPr>
        <w:t>acknowledge</w:t>
      </w:r>
      <w:r w:rsidR="009D661E" w:rsidRPr="00AC57EA">
        <w:rPr>
          <w:rFonts w:eastAsia="MS Mincho"/>
          <w:sz w:val="20"/>
          <w:szCs w:val="20"/>
          <w:lang w:val="en-US" w:bidi="en-US"/>
        </w:rPr>
        <w:t xml:space="preserve"> </w:t>
      </w:r>
      <w:r w:rsidR="000F6B73" w:rsidRPr="00AC57EA">
        <w:rPr>
          <w:rFonts w:eastAsia="MS Mincho"/>
          <w:sz w:val="20"/>
          <w:szCs w:val="20"/>
          <w:lang w:val="en-US" w:bidi="en-US"/>
        </w:rPr>
        <w:t>H.J.R.P.</w:t>
      </w:r>
      <w:r w:rsidR="00171E27" w:rsidRPr="00AC57EA">
        <w:rPr>
          <w:rFonts w:eastAsia="MS Mincho"/>
          <w:sz w:val="20"/>
          <w:szCs w:val="20"/>
          <w:lang w:val="en-US" w:bidi="en-US"/>
        </w:rPr>
        <w:t xml:space="preserve"> and </w:t>
      </w:r>
      <w:r w:rsidR="009D661E" w:rsidRPr="00AC57EA">
        <w:rPr>
          <w:rFonts w:eastAsia="MS Mincho"/>
          <w:sz w:val="20"/>
          <w:szCs w:val="20"/>
          <w:lang w:val="en-US" w:bidi="en-US"/>
        </w:rPr>
        <w:t>V.A.R.P.</w:t>
      </w:r>
      <w:r w:rsidR="00CF2748" w:rsidRPr="00AC57EA">
        <w:rPr>
          <w:rFonts w:eastAsia="MS Mincho"/>
          <w:sz w:val="20"/>
          <w:szCs w:val="20"/>
          <w:lang w:val="en-US" w:bidi="en-US"/>
        </w:rPr>
        <w:t xml:space="preserve"> as presumed victims</w:t>
      </w:r>
      <w:r w:rsidR="000F6B73" w:rsidRPr="00AC57EA">
        <w:rPr>
          <w:rFonts w:eastAsia="MS Mincho"/>
          <w:sz w:val="20"/>
          <w:szCs w:val="20"/>
          <w:lang w:val="en-US" w:bidi="en-US"/>
        </w:rPr>
        <w:t>,</w:t>
      </w:r>
      <w:r w:rsidR="009D661E" w:rsidRPr="00AC57EA">
        <w:rPr>
          <w:rFonts w:eastAsia="MS Mincho"/>
          <w:sz w:val="20"/>
          <w:szCs w:val="20"/>
          <w:lang w:val="en-US" w:bidi="en-US"/>
        </w:rPr>
        <w:t xml:space="preserve"> argu</w:t>
      </w:r>
      <w:r w:rsidR="00CF2748" w:rsidRPr="00AC57EA">
        <w:rPr>
          <w:rFonts w:eastAsia="MS Mincho"/>
          <w:sz w:val="20"/>
          <w:szCs w:val="20"/>
          <w:lang w:val="en-US" w:bidi="en-US"/>
        </w:rPr>
        <w:t xml:space="preserve">ing that </w:t>
      </w:r>
      <w:r w:rsidR="00476431" w:rsidRPr="00AC57EA">
        <w:rPr>
          <w:rFonts w:eastAsia="MS Mincho"/>
          <w:sz w:val="20"/>
          <w:szCs w:val="20"/>
          <w:lang w:val="en-US" w:bidi="en-US"/>
        </w:rPr>
        <w:t xml:space="preserve">this condition had not been accredited in either the </w:t>
      </w:r>
      <w:r w:rsidRPr="00AC57EA">
        <w:rPr>
          <w:rFonts w:eastAsia="MS Mincho"/>
          <w:sz w:val="20"/>
          <w:szCs w:val="20"/>
          <w:lang w:val="en-US" w:bidi="en-US"/>
        </w:rPr>
        <w:t>Admissibility Report</w:t>
      </w:r>
      <w:r w:rsidR="009D661E" w:rsidRPr="00AC57EA">
        <w:rPr>
          <w:rFonts w:eastAsia="MS Mincho"/>
          <w:sz w:val="20"/>
          <w:szCs w:val="20"/>
          <w:lang w:val="en-US" w:bidi="en-US"/>
        </w:rPr>
        <w:t xml:space="preserve"> </w:t>
      </w:r>
      <w:r w:rsidR="00476431" w:rsidRPr="00AC57EA">
        <w:rPr>
          <w:rFonts w:eastAsia="MS Mincho"/>
          <w:sz w:val="20"/>
          <w:szCs w:val="20"/>
          <w:lang w:val="en-US" w:bidi="en-US"/>
        </w:rPr>
        <w:t>o</w:t>
      </w:r>
      <w:r w:rsidR="001F1593" w:rsidRPr="00AC57EA">
        <w:rPr>
          <w:rFonts w:eastAsia="MS Mincho"/>
          <w:sz w:val="20"/>
          <w:szCs w:val="20"/>
          <w:lang w:val="en-US" w:bidi="en-US"/>
        </w:rPr>
        <w:t>r</w:t>
      </w:r>
      <w:r w:rsidR="00476431" w:rsidRPr="00AC57EA">
        <w:rPr>
          <w:rFonts w:eastAsia="MS Mincho"/>
          <w:sz w:val="20"/>
          <w:szCs w:val="20"/>
          <w:lang w:val="en-US" w:bidi="en-US"/>
        </w:rPr>
        <w:t xml:space="preserve"> the</w:t>
      </w:r>
      <w:r w:rsidR="009D661E" w:rsidRPr="00AC57EA">
        <w:rPr>
          <w:rFonts w:eastAsia="MS Mincho"/>
          <w:sz w:val="20"/>
          <w:szCs w:val="20"/>
          <w:lang w:val="en-US" w:bidi="en-US"/>
        </w:rPr>
        <w:t xml:space="preserve"> </w:t>
      </w:r>
      <w:r w:rsidRPr="00AC57EA">
        <w:rPr>
          <w:rFonts w:eastAsia="MS Mincho"/>
          <w:sz w:val="20"/>
          <w:szCs w:val="20"/>
          <w:lang w:val="en-US" w:bidi="en-US"/>
        </w:rPr>
        <w:t>Merits Report</w:t>
      </w:r>
      <w:r w:rsidR="00B7258C" w:rsidRPr="00AC57EA">
        <w:rPr>
          <w:rFonts w:eastAsia="MS Mincho"/>
          <w:sz w:val="20"/>
          <w:szCs w:val="20"/>
          <w:lang w:val="en-US" w:bidi="en-US"/>
        </w:rPr>
        <w:t xml:space="preserve"> of the </w:t>
      </w:r>
      <w:r w:rsidR="00476431" w:rsidRPr="00AC57EA">
        <w:rPr>
          <w:rFonts w:eastAsia="MS Mincho"/>
          <w:sz w:val="20"/>
          <w:szCs w:val="20"/>
          <w:lang w:val="en-US" w:bidi="en-US"/>
        </w:rPr>
        <w:t>C</w:t>
      </w:r>
      <w:r w:rsidR="00B7258C" w:rsidRPr="00AC57EA">
        <w:rPr>
          <w:rFonts w:eastAsia="MS Mincho"/>
          <w:sz w:val="20"/>
          <w:szCs w:val="20"/>
          <w:lang w:val="en-US" w:bidi="en-US"/>
        </w:rPr>
        <w:t>ommission</w:t>
      </w:r>
      <w:r w:rsidR="00476431" w:rsidRPr="00AC57EA">
        <w:rPr>
          <w:rFonts w:eastAsia="MS Mincho"/>
          <w:sz w:val="20"/>
          <w:szCs w:val="20"/>
          <w:lang w:val="en-US" w:bidi="en-US"/>
        </w:rPr>
        <w:t>. Despite this, it added that the national health system in Nicaragua has specialized hospitals, clinics and health centers that are totally free and accessible to the whole national and foreign population. It pointed</w:t>
      </w:r>
      <w:r w:rsidR="001F1593" w:rsidRPr="00AC57EA">
        <w:rPr>
          <w:rFonts w:eastAsia="MS Mincho"/>
          <w:sz w:val="20"/>
          <w:szCs w:val="20"/>
          <w:lang w:val="en-US" w:bidi="en-US"/>
        </w:rPr>
        <w:t xml:space="preserve"> out</w:t>
      </w:r>
      <w:r w:rsidR="00476431" w:rsidRPr="00AC57EA">
        <w:rPr>
          <w:rFonts w:eastAsia="MS Mincho"/>
          <w:sz w:val="20"/>
          <w:szCs w:val="20"/>
          <w:lang w:val="en-US" w:bidi="en-US"/>
        </w:rPr>
        <w:t xml:space="preserve"> that the situation of N.R.P. is the same as that of her brothers, because she had not been accredited as a</w:t>
      </w:r>
      <w:r w:rsidR="00476431" w:rsidRPr="00AC57EA">
        <w:rPr>
          <w:rFonts w:eastAsia="MS Mincho"/>
          <w:b/>
          <w:sz w:val="20"/>
          <w:szCs w:val="20"/>
          <w:lang w:val="en-US" w:bidi="en-US"/>
        </w:rPr>
        <w:t xml:space="preserve"> </w:t>
      </w:r>
      <w:r w:rsidRPr="00AC57EA">
        <w:rPr>
          <w:rFonts w:eastAsia="MS Mincho"/>
          <w:sz w:val="20"/>
          <w:szCs w:val="20"/>
          <w:lang w:val="en-US" w:bidi="en-US"/>
        </w:rPr>
        <w:t>presumed victim</w:t>
      </w:r>
      <w:r w:rsidR="009D661E" w:rsidRPr="00AC57EA">
        <w:rPr>
          <w:rFonts w:eastAsia="MS Mincho"/>
          <w:sz w:val="20"/>
          <w:szCs w:val="20"/>
          <w:lang w:val="en-US" w:bidi="en-US"/>
        </w:rPr>
        <w:t>.</w:t>
      </w:r>
    </w:p>
    <w:p w14:paraId="0BCC777E" w14:textId="77777777" w:rsidR="009D661E" w:rsidRPr="00AC57EA" w:rsidRDefault="009D661E" w:rsidP="009D661E">
      <w:pPr>
        <w:tabs>
          <w:tab w:val="left" w:pos="567"/>
        </w:tabs>
        <w:spacing w:line="240" w:lineRule="auto"/>
        <w:textAlignment w:val="auto"/>
        <w:rPr>
          <w:rFonts w:eastAsia="MS Mincho"/>
          <w:b/>
          <w:sz w:val="20"/>
          <w:szCs w:val="20"/>
          <w:lang w:val="en-US" w:bidi="en-US"/>
        </w:rPr>
      </w:pPr>
    </w:p>
    <w:p w14:paraId="6A16F5CA" w14:textId="6DBB89C7" w:rsidR="00476431" w:rsidRPr="00AC57EA" w:rsidRDefault="00476431" w:rsidP="009D661E">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rFonts w:eastAsia="MS Mincho"/>
          <w:sz w:val="20"/>
          <w:szCs w:val="20"/>
          <w:lang w:val="en-US" w:bidi="en-US"/>
        </w:rPr>
        <w:t>Regarding</w:t>
      </w:r>
      <w:r w:rsidR="009D661E" w:rsidRPr="00AC57EA">
        <w:rPr>
          <w:rFonts w:eastAsia="MS Mincho"/>
          <w:sz w:val="20"/>
          <w:szCs w:val="20"/>
          <w:lang w:val="en-US" w:bidi="en-US"/>
        </w:rPr>
        <w:t xml:space="preserve"> V.R.P.</w:t>
      </w:r>
      <w:r w:rsidR="00171E27" w:rsidRPr="00AC57EA">
        <w:rPr>
          <w:rFonts w:eastAsia="MS Mincho"/>
          <w:sz w:val="20"/>
          <w:szCs w:val="20"/>
          <w:lang w:val="en-US" w:bidi="en-US"/>
        </w:rPr>
        <w:t xml:space="preserve"> and </w:t>
      </w:r>
      <w:r w:rsidR="009D661E" w:rsidRPr="00AC57EA">
        <w:rPr>
          <w:rFonts w:eastAsia="MS Mincho"/>
          <w:sz w:val="20"/>
          <w:szCs w:val="20"/>
          <w:lang w:val="en-US" w:bidi="en-US"/>
        </w:rPr>
        <w:t xml:space="preserve">V.P.C., </w:t>
      </w:r>
      <w:r w:rsidR="00EC52D7" w:rsidRPr="00AC57EA">
        <w:rPr>
          <w:rFonts w:eastAsia="MS Mincho"/>
          <w:sz w:val="20"/>
          <w:szCs w:val="20"/>
          <w:lang w:val="en-US" w:bidi="en-US"/>
        </w:rPr>
        <w:t>the State</w:t>
      </w:r>
      <w:r w:rsidR="00AE6175" w:rsidRPr="00AC57EA">
        <w:rPr>
          <w:rFonts w:eastAsia="MS Mincho"/>
          <w:sz w:val="20"/>
          <w:szCs w:val="20"/>
          <w:lang w:val="en-US" w:bidi="en-US"/>
        </w:rPr>
        <w:t xml:space="preserve"> </w:t>
      </w:r>
      <w:r w:rsidRPr="00AC57EA">
        <w:rPr>
          <w:rFonts w:eastAsia="MS Mincho"/>
          <w:sz w:val="20"/>
          <w:szCs w:val="20"/>
          <w:lang w:val="en-US" w:bidi="en-US"/>
        </w:rPr>
        <w:t>argued that</w:t>
      </w:r>
      <w:r w:rsidR="001F1593" w:rsidRPr="00AC57EA">
        <w:rPr>
          <w:rFonts w:eastAsia="MS Mincho"/>
          <w:sz w:val="20"/>
          <w:szCs w:val="20"/>
          <w:lang w:val="en-US" w:bidi="en-US"/>
        </w:rPr>
        <w:t xml:space="preserve"> a</w:t>
      </w:r>
      <w:r w:rsidRPr="00AC57EA">
        <w:rPr>
          <w:rFonts w:eastAsia="MS Mincho"/>
          <w:sz w:val="20"/>
          <w:szCs w:val="20"/>
          <w:lang w:val="en-US" w:bidi="en-US"/>
        </w:rPr>
        <w:t xml:space="preserve"> “psychological assessment” should be made that took into account the “assessment of physical health possibly resulting from the facts submitted to the consideration of </w:t>
      </w:r>
      <w:r w:rsidR="00B7258C" w:rsidRPr="00AC57EA">
        <w:rPr>
          <w:rFonts w:eastAsia="MS Mincho"/>
          <w:sz w:val="20"/>
          <w:szCs w:val="20"/>
          <w:lang w:val="en-US" w:bidi="en-US"/>
        </w:rPr>
        <w:t>the Court</w:t>
      </w:r>
      <w:r w:rsidRPr="00AC57EA">
        <w:rPr>
          <w:rFonts w:eastAsia="MS Mincho"/>
          <w:sz w:val="20"/>
          <w:szCs w:val="20"/>
          <w:lang w:val="en-US" w:bidi="en-US"/>
        </w:rPr>
        <w:t>,</w:t>
      </w:r>
      <w:r w:rsidR="009D661E" w:rsidRPr="00AC57EA">
        <w:rPr>
          <w:rFonts w:eastAsia="MS Mincho"/>
          <w:sz w:val="20"/>
          <w:szCs w:val="20"/>
          <w:lang w:val="en-US" w:bidi="en-US"/>
        </w:rPr>
        <w:t>”</w:t>
      </w:r>
      <w:r w:rsidRPr="00AC57EA">
        <w:rPr>
          <w:rFonts w:eastAsia="MS Mincho"/>
          <w:sz w:val="20"/>
          <w:szCs w:val="20"/>
          <w:lang w:val="en-US" w:bidi="en-US"/>
        </w:rPr>
        <w:t xml:space="preserve"> which would determine the type of treatment required and, consequently, the appropriate amount that should be awarded to them as a measure of rehabilitation in </w:t>
      </w:r>
      <w:r w:rsidR="001F1593" w:rsidRPr="00AC57EA">
        <w:rPr>
          <w:rFonts w:eastAsia="MS Mincho"/>
          <w:sz w:val="20"/>
          <w:szCs w:val="20"/>
          <w:lang w:val="en-US" w:bidi="en-US"/>
        </w:rPr>
        <w:t>keeping</w:t>
      </w:r>
      <w:r w:rsidRPr="00AC57EA">
        <w:rPr>
          <w:rFonts w:eastAsia="MS Mincho"/>
          <w:sz w:val="20"/>
          <w:szCs w:val="20"/>
          <w:lang w:val="en-US" w:bidi="en-US"/>
        </w:rPr>
        <w:t xml:space="preserve"> with national parameters, and not </w:t>
      </w:r>
      <w:r w:rsidR="001F1593" w:rsidRPr="00AC57EA">
        <w:rPr>
          <w:rFonts w:eastAsia="MS Mincho"/>
          <w:sz w:val="20"/>
          <w:szCs w:val="20"/>
          <w:lang w:val="en-US" w:bidi="en-US"/>
        </w:rPr>
        <w:t>the</w:t>
      </w:r>
      <w:r w:rsidRPr="00AC57EA">
        <w:rPr>
          <w:rFonts w:eastAsia="MS Mincho"/>
          <w:sz w:val="20"/>
          <w:szCs w:val="20"/>
          <w:lang w:val="en-US" w:bidi="en-US"/>
        </w:rPr>
        <w:t xml:space="preserve"> parameter</w:t>
      </w:r>
      <w:r w:rsidR="001F1593" w:rsidRPr="00AC57EA">
        <w:rPr>
          <w:rFonts w:eastAsia="MS Mincho"/>
          <w:sz w:val="20"/>
          <w:szCs w:val="20"/>
          <w:lang w:val="en-US" w:bidi="en-US"/>
        </w:rPr>
        <w:t>s</w:t>
      </w:r>
      <w:r w:rsidRPr="00AC57EA">
        <w:rPr>
          <w:rFonts w:eastAsia="MS Mincho"/>
          <w:sz w:val="20"/>
          <w:szCs w:val="20"/>
          <w:lang w:val="en-US" w:bidi="en-US"/>
        </w:rPr>
        <w:t xml:space="preserve"> of the value of health care in the United States. In this regard, it offered free and immediate care in Nicaragua for V.P.C. and V.P.R. since nothing prevent</w:t>
      </w:r>
      <w:r w:rsidR="001F1593" w:rsidRPr="00AC57EA">
        <w:rPr>
          <w:rFonts w:eastAsia="MS Mincho"/>
          <w:sz w:val="20"/>
          <w:szCs w:val="20"/>
          <w:lang w:val="en-US" w:bidi="en-US"/>
        </w:rPr>
        <w:t>ed</w:t>
      </w:r>
      <w:r w:rsidRPr="00AC57EA">
        <w:rPr>
          <w:rFonts w:eastAsia="MS Mincho"/>
          <w:sz w:val="20"/>
          <w:szCs w:val="20"/>
          <w:lang w:val="en-US" w:bidi="en-US"/>
        </w:rPr>
        <w:t xml:space="preserve"> them from entering the country.</w:t>
      </w:r>
    </w:p>
    <w:p w14:paraId="28F7978F" w14:textId="77777777" w:rsidR="009D661E" w:rsidRPr="00AC57EA" w:rsidRDefault="009D661E" w:rsidP="009D661E">
      <w:pPr>
        <w:tabs>
          <w:tab w:val="left" w:pos="567"/>
        </w:tabs>
        <w:spacing w:line="240" w:lineRule="auto"/>
        <w:textAlignment w:val="auto"/>
        <w:rPr>
          <w:rFonts w:eastAsia="MS Mincho"/>
          <w:b/>
          <w:sz w:val="20"/>
          <w:szCs w:val="20"/>
          <w:lang w:val="en-US" w:bidi="en-US"/>
        </w:rPr>
      </w:pPr>
    </w:p>
    <w:p w14:paraId="72FEBBF2" w14:textId="04070E9C" w:rsidR="00476431" w:rsidRPr="00AC57EA" w:rsidRDefault="009D661E" w:rsidP="00476431">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sz w:val="20"/>
          <w:szCs w:val="20"/>
          <w:lang w:val="en-US"/>
        </w:rPr>
        <w:t>Ha</w:t>
      </w:r>
      <w:r w:rsidR="00476431" w:rsidRPr="00AC57EA">
        <w:rPr>
          <w:sz w:val="20"/>
          <w:szCs w:val="20"/>
          <w:lang w:val="en-US"/>
        </w:rPr>
        <w:t xml:space="preserve">ving verified the serious </w:t>
      </w:r>
      <w:r w:rsidR="001F1593" w:rsidRPr="00AC57EA">
        <w:rPr>
          <w:sz w:val="20"/>
          <w:szCs w:val="20"/>
          <w:lang w:val="en-US"/>
        </w:rPr>
        <w:t xml:space="preserve">harm to </w:t>
      </w:r>
      <w:r w:rsidR="00476431" w:rsidRPr="00AC57EA">
        <w:rPr>
          <w:sz w:val="20"/>
          <w:szCs w:val="20"/>
          <w:lang w:val="en-US"/>
        </w:rPr>
        <w:t>personal integrity suffered by V.R.P. and the members of her family owing to the facts of this case, the Court finds, as it has in other cases,</w:t>
      </w:r>
      <w:r w:rsidRPr="00AC57EA">
        <w:rPr>
          <w:sz w:val="20"/>
          <w:szCs w:val="20"/>
          <w:vertAlign w:val="superscript"/>
          <w:lang w:val="en-US"/>
        </w:rPr>
        <w:footnoteReference w:id="425"/>
      </w:r>
      <w:r w:rsidR="00476431" w:rsidRPr="00AC57EA">
        <w:rPr>
          <w:sz w:val="20"/>
          <w:szCs w:val="20"/>
          <w:lang w:val="en-US"/>
        </w:rPr>
        <w:t xml:space="preserve"> that it is necessary to order a measure of reparation that provides suitable care for the physical, psychological and/or psychiatric </w:t>
      </w:r>
      <w:r w:rsidR="001F1593" w:rsidRPr="00AC57EA">
        <w:rPr>
          <w:sz w:val="20"/>
          <w:szCs w:val="20"/>
          <w:lang w:val="en-US"/>
        </w:rPr>
        <w:t>problems</w:t>
      </w:r>
      <w:r w:rsidR="00476431" w:rsidRPr="00AC57EA">
        <w:rPr>
          <w:sz w:val="20"/>
          <w:szCs w:val="20"/>
          <w:lang w:val="en-US"/>
        </w:rPr>
        <w:t xml:space="preserve"> suffered by the victims as a result of the violations established in this judgment.</w:t>
      </w:r>
    </w:p>
    <w:p w14:paraId="26DC212A" w14:textId="77777777" w:rsidR="009D661E" w:rsidRPr="00AC57EA" w:rsidRDefault="009D661E" w:rsidP="009D661E">
      <w:pPr>
        <w:pStyle w:val="Prrafodelista"/>
        <w:spacing w:line="240" w:lineRule="auto"/>
        <w:rPr>
          <w:sz w:val="20"/>
          <w:szCs w:val="20"/>
          <w:lang w:val="en-US"/>
        </w:rPr>
      </w:pPr>
    </w:p>
    <w:p w14:paraId="65F12026" w14:textId="4C94961D" w:rsidR="009D661E" w:rsidRPr="00AC57EA" w:rsidRDefault="001F1593" w:rsidP="006B773E">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sz w:val="20"/>
          <w:szCs w:val="20"/>
          <w:lang w:val="en-US"/>
        </w:rPr>
        <w:t>To</w:t>
      </w:r>
      <w:r w:rsidR="00476431" w:rsidRPr="00AC57EA">
        <w:rPr>
          <w:sz w:val="20"/>
          <w:szCs w:val="20"/>
          <w:lang w:val="en-US"/>
        </w:rPr>
        <w:t xml:space="preserve"> contribute to the</w:t>
      </w:r>
      <w:r w:rsidR="006B773E" w:rsidRPr="00AC57EA">
        <w:rPr>
          <w:sz w:val="20"/>
          <w:szCs w:val="20"/>
          <w:lang w:val="en-US"/>
        </w:rPr>
        <w:t xml:space="preserve"> reparation of the physical, psychological and/or psychiatric harm suffered by </w:t>
      </w:r>
      <w:r w:rsidR="009D661E" w:rsidRPr="00AC57EA">
        <w:rPr>
          <w:sz w:val="20"/>
          <w:szCs w:val="20"/>
          <w:lang w:val="en-US"/>
        </w:rPr>
        <w:t>V.R.P.,</w:t>
      </w:r>
      <w:r w:rsidR="00171E27" w:rsidRPr="00AC57EA">
        <w:rPr>
          <w:sz w:val="20"/>
          <w:szCs w:val="20"/>
          <w:lang w:val="en-US"/>
        </w:rPr>
        <w:t xml:space="preserve"> and </w:t>
      </w:r>
      <w:r w:rsidR="009D661E" w:rsidRPr="00AC57EA">
        <w:rPr>
          <w:sz w:val="20"/>
          <w:szCs w:val="20"/>
          <w:lang w:val="en-US"/>
        </w:rPr>
        <w:t>consider</w:t>
      </w:r>
      <w:r w:rsidR="006B773E" w:rsidRPr="00AC57EA">
        <w:rPr>
          <w:sz w:val="20"/>
          <w:szCs w:val="20"/>
          <w:lang w:val="en-US"/>
        </w:rPr>
        <w:t xml:space="preserve">ing that she does not live in </w:t>
      </w:r>
      <w:r w:rsidR="009D661E" w:rsidRPr="00AC57EA">
        <w:rPr>
          <w:sz w:val="20"/>
          <w:szCs w:val="20"/>
          <w:lang w:val="en-US"/>
        </w:rPr>
        <w:t xml:space="preserve">Nicaragua, </w:t>
      </w:r>
      <w:r w:rsidR="00B7258C" w:rsidRPr="00AC57EA">
        <w:rPr>
          <w:sz w:val="20"/>
          <w:szCs w:val="20"/>
          <w:lang w:val="en-US"/>
        </w:rPr>
        <w:t>the Court</w:t>
      </w:r>
      <w:r w:rsidR="009D661E" w:rsidRPr="00AC57EA">
        <w:rPr>
          <w:sz w:val="20"/>
          <w:szCs w:val="20"/>
          <w:lang w:val="en-US"/>
        </w:rPr>
        <w:t xml:space="preserve"> </w:t>
      </w:r>
      <w:r w:rsidR="006B773E" w:rsidRPr="00AC57EA">
        <w:rPr>
          <w:sz w:val="20"/>
          <w:szCs w:val="20"/>
          <w:lang w:val="en-US"/>
        </w:rPr>
        <w:t xml:space="preserve">establishes the obligation </w:t>
      </w:r>
      <w:r w:rsidRPr="00AC57EA">
        <w:rPr>
          <w:sz w:val="20"/>
          <w:szCs w:val="20"/>
          <w:lang w:val="en-US"/>
        </w:rPr>
        <w:t xml:space="preserve">of </w:t>
      </w:r>
      <w:r w:rsidR="006B773E" w:rsidRPr="00AC57EA">
        <w:rPr>
          <w:sz w:val="20"/>
          <w:szCs w:val="20"/>
          <w:lang w:val="en-US"/>
        </w:rPr>
        <w:t>the State to grant her, once, the sum of</w:t>
      </w:r>
      <w:r w:rsidR="009D661E" w:rsidRPr="00AC57EA">
        <w:rPr>
          <w:sz w:val="20"/>
          <w:szCs w:val="20"/>
          <w:lang w:val="en-US"/>
        </w:rPr>
        <w:t xml:space="preserve"> US$</w:t>
      </w:r>
      <w:r w:rsidR="00015005" w:rsidRPr="00AC57EA">
        <w:rPr>
          <w:sz w:val="20"/>
          <w:szCs w:val="20"/>
          <w:lang w:val="en-US"/>
        </w:rPr>
        <w:t>7</w:t>
      </w:r>
      <w:r w:rsidR="009D661E" w:rsidRPr="00AC57EA">
        <w:rPr>
          <w:sz w:val="20"/>
          <w:szCs w:val="20"/>
          <w:lang w:val="en-US"/>
        </w:rPr>
        <w:t>5</w:t>
      </w:r>
      <w:r w:rsidR="00474CE5" w:rsidRPr="00AC57EA">
        <w:rPr>
          <w:sz w:val="20"/>
          <w:szCs w:val="20"/>
          <w:lang w:val="en-US"/>
        </w:rPr>
        <w:t>,000.00</w:t>
      </w:r>
      <w:r w:rsidR="009D661E" w:rsidRPr="00AC57EA">
        <w:rPr>
          <w:sz w:val="20"/>
          <w:szCs w:val="20"/>
          <w:lang w:val="en-US"/>
        </w:rPr>
        <w:t xml:space="preserve"> </w:t>
      </w:r>
      <w:r w:rsidR="00015005" w:rsidRPr="00AC57EA">
        <w:rPr>
          <w:sz w:val="20"/>
          <w:szCs w:val="20"/>
          <w:lang w:val="en-US"/>
        </w:rPr>
        <w:t>(</w:t>
      </w:r>
      <w:r w:rsidR="006B773E" w:rsidRPr="00AC57EA">
        <w:rPr>
          <w:sz w:val="20"/>
          <w:szCs w:val="20"/>
          <w:lang w:val="en-US"/>
        </w:rPr>
        <w:t>seventy-five</w:t>
      </w:r>
      <w:r w:rsidR="00015005" w:rsidRPr="00AC57EA">
        <w:rPr>
          <w:sz w:val="20"/>
          <w:szCs w:val="20"/>
          <w:lang w:val="en-US"/>
        </w:rPr>
        <w:t xml:space="preserve"> </w:t>
      </w:r>
      <w:r w:rsidR="006B773E" w:rsidRPr="00AC57EA">
        <w:rPr>
          <w:sz w:val="20"/>
          <w:szCs w:val="20"/>
          <w:lang w:val="en-US"/>
        </w:rPr>
        <w:t>thousand United States dollars</w:t>
      </w:r>
      <w:r w:rsidR="009D661E" w:rsidRPr="00AC57EA">
        <w:rPr>
          <w:sz w:val="20"/>
          <w:szCs w:val="20"/>
          <w:lang w:val="en-US"/>
        </w:rPr>
        <w:t xml:space="preserve">), </w:t>
      </w:r>
      <w:r w:rsidR="006B773E" w:rsidRPr="00AC57EA">
        <w:rPr>
          <w:sz w:val="20"/>
          <w:szCs w:val="20"/>
          <w:lang w:val="en-US"/>
        </w:rPr>
        <w:t xml:space="preserve">for the concept of expenses for medical, psychological and/or psychiatric treatment, including medicines and other related expenditure, so that she may receive this care in the place </w:t>
      </w:r>
      <w:r w:rsidRPr="00AC57EA">
        <w:rPr>
          <w:sz w:val="20"/>
          <w:szCs w:val="20"/>
          <w:lang w:val="en-US"/>
        </w:rPr>
        <w:t xml:space="preserve">where </w:t>
      </w:r>
      <w:r w:rsidR="006B773E" w:rsidRPr="00AC57EA">
        <w:rPr>
          <w:sz w:val="20"/>
          <w:szCs w:val="20"/>
          <w:lang w:val="en-US"/>
        </w:rPr>
        <w:t xml:space="preserve">she resides. With regard to the harm suffered by V.P.C. and N.R.P., and taking into account that they also reside outside Nicaragua, the Court establishes the </w:t>
      </w:r>
      <w:r w:rsidRPr="00AC57EA">
        <w:rPr>
          <w:sz w:val="20"/>
          <w:szCs w:val="20"/>
          <w:lang w:val="en-US"/>
        </w:rPr>
        <w:t xml:space="preserve">State’s </w:t>
      </w:r>
      <w:r w:rsidR="006B773E" w:rsidRPr="00AC57EA">
        <w:rPr>
          <w:sz w:val="20"/>
          <w:szCs w:val="20"/>
          <w:lang w:val="en-US"/>
        </w:rPr>
        <w:t>obligation to grant them once, the sums of</w:t>
      </w:r>
      <w:r w:rsidR="006B773E" w:rsidRPr="00AC57EA">
        <w:rPr>
          <w:rFonts w:eastAsia="MS Mincho"/>
          <w:b/>
          <w:sz w:val="20"/>
          <w:szCs w:val="20"/>
          <w:lang w:val="en-US" w:bidi="en-US"/>
        </w:rPr>
        <w:t xml:space="preserve"> </w:t>
      </w:r>
      <w:r w:rsidR="009D661E" w:rsidRPr="00AC57EA">
        <w:rPr>
          <w:sz w:val="20"/>
          <w:szCs w:val="20"/>
          <w:lang w:val="en-US"/>
        </w:rPr>
        <w:t>US$</w:t>
      </w:r>
      <w:r w:rsidR="00015005" w:rsidRPr="00AC57EA">
        <w:rPr>
          <w:sz w:val="20"/>
          <w:szCs w:val="20"/>
          <w:lang w:val="en-US"/>
        </w:rPr>
        <w:t>50</w:t>
      </w:r>
      <w:r w:rsidR="00474CE5" w:rsidRPr="00AC57EA">
        <w:rPr>
          <w:sz w:val="20"/>
          <w:szCs w:val="20"/>
          <w:lang w:val="en-US"/>
        </w:rPr>
        <w:t>,000.00</w:t>
      </w:r>
      <w:r w:rsidR="009D661E" w:rsidRPr="00AC57EA">
        <w:rPr>
          <w:sz w:val="20"/>
          <w:szCs w:val="20"/>
          <w:lang w:val="en-US"/>
        </w:rPr>
        <w:t xml:space="preserve"> (</w:t>
      </w:r>
      <w:r w:rsidR="006B773E" w:rsidRPr="00AC57EA">
        <w:rPr>
          <w:sz w:val="20"/>
          <w:szCs w:val="20"/>
          <w:lang w:val="en-US"/>
        </w:rPr>
        <w:t>fifty</w:t>
      </w:r>
      <w:r w:rsidR="009D661E" w:rsidRPr="00AC57EA">
        <w:rPr>
          <w:sz w:val="20"/>
          <w:szCs w:val="20"/>
          <w:lang w:val="en-US"/>
        </w:rPr>
        <w:t xml:space="preserve"> </w:t>
      </w:r>
      <w:r w:rsidR="006B773E" w:rsidRPr="00AC57EA">
        <w:rPr>
          <w:sz w:val="20"/>
          <w:szCs w:val="20"/>
          <w:lang w:val="en-US"/>
        </w:rPr>
        <w:t>thousand United States dollars</w:t>
      </w:r>
      <w:r w:rsidR="009D661E" w:rsidRPr="00AC57EA">
        <w:rPr>
          <w:sz w:val="20"/>
          <w:szCs w:val="20"/>
          <w:lang w:val="en-US"/>
        </w:rPr>
        <w:t>),</w:t>
      </w:r>
      <w:r w:rsidR="00171E27" w:rsidRPr="00AC57EA">
        <w:rPr>
          <w:sz w:val="20"/>
          <w:szCs w:val="20"/>
          <w:lang w:val="en-US"/>
        </w:rPr>
        <w:t xml:space="preserve"> and </w:t>
      </w:r>
      <w:r w:rsidR="009D661E" w:rsidRPr="00AC57EA">
        <w:rPr>
          <w:sz w:val="20"/>
          <w:szCs w:val="20"/>
          <w:lang w:val="en-US"/>
        </w:rPr>
        <w:t>US$</w:t>
      </w:r>
      <w:r w:rsidR="00015005" w:rsidRPr="00AC57EA">
        <w:rPr>
          <w:sz w:val="20"/>
          <w:szCs w:val="20"/>
          <w:lang w:val="en-US"/>
        </w:rPr>
        <w:t>20</w:t>
      </w:r>
      <w:r w:rsidR="00474CE5" w:rsidRPr="00AC57EA">
        <w:rPr>
          <w:sz w:val="20"/>
          <w:szCs w:val="20"/>
          <w:lang w:val="en-US"/>
        </w:rPr>
        <w:t>,000.00</w:t>
      </w:r>
      <w:r w:rsidR="009D661E" w:rsidRPr="00AC57EA">
        <w:rPr>
          <w:sz w:val="20"/>
          <w:szCs w:val="20"/>
          <w:lang w:val="en-US"/>
        </w:rPr>
        <w:t xml:space="preserve"> (</w:t>
      </w:r>
      <w:r w:rsidR="006B773E" w:rsidRPr="00AC57EA">
        <w:rPr>
          <w:sz w:val="20"/>
          <w:szCs w:val="20"/>
          <w:lang w:val="en-US"/>
        </w:rPr>
        <w:t>twenty</w:t>
      </w:r>
      <w:r w:rsidR="009D661E" w:rsidRPr="00AC57EA">
        <w:rPr>
          <w:sz w:val="20"/>
          <w:szCs w:val="20"/>
          <w:lang w:val="en-US"/>
        </w:rPr>
        <w:t xml:space="preserve"> </w:t>
      </w:r>
      <w:r w:rsidR="006B773E" w:rsidRPr="00AC57EA">
        <w:rPr>
          <w:sz w:val="20"/>
          <w:szCs w:val="20"/>
          <w:lang w:val="en-US"/>
        </w:rPr>
        <w:t>thousand United States dollars</w:t>
      </w:r>
      <w:r w:rsidR="009D661E" w:rsidRPr="00AC57EA">
        <w:rPr>
          <w:sz w:val="20"/>
          <w:szCs w:val="20"/>
          <w:lang w:val="en-US"/>
        </w:rPr>
        <w:t>), respectiv</w:t>
      </w:r>
      <w:r w:rsidR="006B773E" w:rsidRPr="00AC57EA">
        <w:rPr>
          <w:sz w:val="20"/>
          <w:szCs w:val="20"/>
          <w:lang w:val="en-US"/>
        </w:rPr>
        <w:t>ely, for the concept</w:t>
      </w:r>
      <w:r w:rsidR="009D661E" w:rsidRPr="00AC57EA">
        <w:rPr>
          <w:sz w:val="20"/>
          <w:szCs w:val="20"/>
          <w:lang w:val="en-US"/>
        </w:rPr>
        <w:t xml:space="preserve"> </w:t>
      </w:r>
      <w:r w:rsidR="006B773E" w:rsidRPr="00AC57EA">
        <w:rPr>
          <w:sz w:val="20"/>
          <w:szCs w:val="20"/>
          <w:lang w:val="en-US"/>
        </w:rPr>
        <w:t>of expenses for psychological and/or psychiatric treatment, including medicines and other related expenditure, so that they may receive this care in the place they reside. The State has one year from</w:t>
      </w:r>
      <w:r w:rsidR="006B773E" w:rsidRPr="00AC57EA">
        <w:rPr>
          <w:rFonts w:eastAsia="MS Mincho"/>
          <w:b/>
          <w:sz w:val="20"/>
          <w:szCs w:val="20"/>
          <w:lang w:val="en-US" w:bidi="en-US"/>
        </w:rPr>
        <w:t xml:space="preserve"> </w:t>
      </w:r>
      <w:r w:rsidR="007E72AE" w:rsidRPr="00AC57EA">
        <w:rPr>
          <w:rFonts w:eastAsia="MS Mincho"/>
          <w:sz w:val="20"/>
          <w:szCs w:val="20"/>
          <w:lang w:val="en-US" w:bidi="en-US"/>
        </w:rPr>
        <w:t>notification</w:t>
      </w:r>
      <w:r w:rsidR="00352F2A" w:rsidRPr="00AC57EA">
        <w:rPr>
          <w:rFonts w:eastAsia="MS Mincho"/>
          <w:sz w:val="20"/>
          <w:szCs w:val="20"/>
          <w:lang w:val="en-US" w:bidi="en-US"/>
        </w:rPr>
        <w:t xml:space="preserve"> </w:t>
      </w:r>
      <w:r w:rsidR="00171E27" w:rsidRPr="00AC57EA">
        <w:rPr>
          <w:rFonts w:eastAsia="MS Mincho"/>
          <w:sz w:val="20"/>
          <w:szCs w:val="20"/>
          <w:lang w:val="en-US" w:bidi="en-US"/>
        </w:rPr>
        <w:t>of this judgment</w:t>
      </w:r>
      <w:r w:rsidR="006B773E" w:rsidRPr="00AC57EA">
        <w:rPr>
          <w:rFonts w:eastAsia="MS Mincho"/>
          <w:sz w:val="20"/>
          <w:szCs w:val="20"/>
          <w:lang w:val="en-US" w:bidi="en-US"/>
        </w:rPr>
        <w:t xml:space="preserve"> to make the payments </w:t>
      </w:r>
      <w:r w:rsidRPr="00AC57EA">
        <w:rPr>
          <w:rFonts w:eastAsia="MS Mincho"/>
          <w:sz w:val="20"/>
          <w:szCs w:val="20"/>
          <w:lang w:val="en-US" w:bidi="en-US"/>
        </w:rPr>
        <w:t>to</w:t>
      </w:r>
      <w:r w:rsidR="006B773E" w:rsidRPr="00AC57EA">
        <w:rPr>
          <w:rFonts w:eastAsia="MS Mincho"/>
          <w:sz w:val="20"/>
          <w:szCs w:val="20"/>
          <w:lang w:val="en-US" w:bidi="en-US"/>
        </w:rPr>
        <w:t xml:space="preserve"> each of the said victims.</w:t>
      </w:r>
    </w:p>
    <w:p w14:paraId="6E6B2E1D" w14:textId="77777777" w:rsidR="009D661E" w:rsidRPr="00AC57EA" w:rsidRDefault="009D661E" w:rsidP="009D661E">
      <w:pPr>
        <w:tabs>
          <w:tab w:val="left" w:pos="567"/>
        </w:tabs>
        <w:spacing w:line="240" w:lineRule="auto"/>
        <w:textAlignment w:val="auto"/>
        <w:rPr>
          <w:rFonts w:eastAsia="MS Mincho"/>
          <w:b/>
          <w:sz w:val="20"/>
          <w:szCs w:val="20"/>
          <w:lang w:val="en-US" w:bidi="en-US"/>
        </w:rPr>
      </w:pPr>
    </w:p>
    <w:p w14:paraId="20D50659" w14:textId="21BD77DF" w:rsidR="009D661E" w:rsidRPr="00AC57EA" w:rsidRDefault="006B773E" w:rsidP="006B773E">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sz w:val="20"/>
          <w:szCs w:val="20"/>
          <w:lang w:val="en-US"/>
        </w:rPr>
        <w:t>Regarding the harm suffered by the brothers,</w:t>
      </w:r>
      <w:r w:rsidR="009D661E" w:rsidRPr="00AC57EA">
        <w:rPr>
          <w:sz w:val="20"/>
          <w:szCs w:val="20"/>
          <w:lang w:val="en-US"/>
        </w:rPr>
        <w:t xml:space="preserve"> H.J.R.P.</w:t>
      </w:r>
      <w:r w:rsidR="00171E27" w:rsidRPr="00AC57EA">
        <w:rPr>
          <w:sz w:val="20"/>
          <w:szCs w:val="20"/>
          <w:lang w:val="en-US"/>
        </w:rPr>
        <w:t xml:space="preserve"> and </w:t>
      </w:r>
      <w:r w:rsidR="009D661E" w:rsidRPr="00AC57EA">
        <w:rPr>
          <w:sz w:val="20"/>
          <w:szCs w:val="20"/>
          <w:lang w:val="en-US"/>
        </w:rPr>
        <w:t>V.A.R.P.,</w:t>
      </w:r>
      <w:r w:rsidR="00171E27" w:rsidRPr="00AC57EA">
        <w:rPr>
          <w:sz w:val="20"/>
          <w:szCs w:val="20"/>
          <w:lang w:val="en-US"/>
        </w:rPr>
        <w:t xml:space="preserve"> and </w:t>
      </w:r>
      <w:r w:rsidR="00733CE2" w:rsidRPr="00AC57EA">
        <w:rPr>
          <w:sz w:val="20"/>
          <w:szCs w:val="20"/>
          <w:lang w:val="en-US"/>
        </w:rPr>
        <w:t>t</w:t>
      </w:r>
      <w:r w:rsidRPr="00AC57EA">
        <w:rPr>
          <w:sz w:val="20"/>
          <w:szCs w:val="20"/>
          <w:lang w:val="en-US"/>
        </w:rPr>
        <w:t xml:space="preserve">aking into account that they live in </w:t>
      </w:r>
      <w:r w:rsidR="009D661E" w:rsidRPr="00AC57EA">
        <w:rPr>
          <w:sz w:val="20"/>
          <w:szCs w:val="20"/>
          <w:lang w:val="en-US"/>
        </w:rPr>
        <w:t xml:space="preserve">Nicaragua, </w:t>
      </w:r>
      <w:r w:rsidR="00B7258C" w:rsidRPr="00AC57EA">
        <w:rPr>
          <w:sz w:val="20"/>
          <w:szCs w:val="20"/>
          <w:lang w:val="en-US"/>
        </w:rPr>
        <w:t>the Court</w:t>
      </w:r>
      <w:r w:rsidR="009D661E" w:rsidRPr="00AC57EA">
        <w:rPr>
          <w:sz w:val="20"/>
          <w:szCs w:val="20"/>
          <w:lang w:val="en-US"/>
        </w:rPr>
        <w:t xml:space="preserve"> </w:t>
      </w:r>
      <w:r w:rsidRPr="00AC57EA">
        <w:rPr>
          <w:sz w:val="20"/>
          <w:szCs w:val="20"/>
          <w:lang w:val="en-US"/>
        </w:rPr>
        <w:t>establishes the obligation of the State to provide, free of charge and immediately, through its specialized health care institutions</w:t>
      </w:r>
      <w:r w:rsidR="001F1593" w:rsidRPr="00AC57EA">
        <w:rPr>
          <w:sz w:val="20"/>
          <w:szCs w:val="20"/>
          <w:lang w:val="en-US"/>
        </w:rPr>
        <w:t xml:space="preserve"> and</w:t>
      </w:r>
      <w:r w:rsidRPr="00AC57EA">
        <w:rPr>
          <w:sz w:val="20"/>
          <w:szCs w:val="20"/>
          <w:lang w:val="en-US"/>
        </w:rPr>
        <w:t xml:space="preserve"> in an adequate and effective manner, the psychological and/or psychiatric treatment, including the free supply of any medication they may eventually require, taking into consideration the ailments of each of them. This means that the victims shall receive a differentiated treatment as regards the processes and procedures required for them to be treated in the public hospitals.</w:t>
      </w:r>
      <w:r w:rsidR="009D661E" w:rsidRPr="00AC57EA">
        <w:rPr>
          <w:sz w:val="20"/>
          <w:szCs w:val="20"/>
          <w:vertAlign w:val="superscript"/>
          <w:lang w:val="en-US"/>
        </w:rPr>
        <w:footnoteReference w:id="426"/>
      </w:r>
      <w:r w:rsidRPr="00AC57EA">
        <w:rPr>
          <w:sz w:val="20"/>
          <w:szCs w:val="20"/>
          <w:lang w:val="en-US"/>
        </w:rPr>
        <w:t xml:space="preserve"> Also, the respective treatment must be provided, insofar as possible, in the centers nearest to their places of residence</w:t>
      </w:r>
      <w:r w:rsidR="009D661E" w:rsidRPr="00AC57EA">
        <w:rPr>
          <w:sz w:val="20"/>
          <w:szCs w:val="20"/>
          <w:vertAlign w:val="superscript"/>
          <w:lang w:val="en-US"/>
        </w:rPr>
        <w:footnoteReference w:id="427"/>
      </w:r>
      <w:r w:rsidR="009D661E" w:rsidRPr="00AC57EA">
        <w:rPr>
          <w:sz w:val="20"/>
          <w:szCs w:val="20"/>
          <w:lang w:val="en-US"/>
        </w:rPr>
        <w:t xml:space="preserve"> </w:t>
      </w:r>
      <w:r w:rsidRPr="00AC57EA">
        <w:rPr>
          <w:sz w:val="20"/>
          <w:szCs w:val="20"/>
          <w:lang w:val="en-US"/>
        </w:rPr>
        <w:t>i</w:t>
      </w:r>
      <w:r w:rsidR="009D661E" w:rsidRPr="00AC57EA">
        <w:rPr>
          <w:sz w:val="20"/>
          <w:szCs w:val="20"/>
          <w:lang w:val="en-US"/>
        </w:rPr>
        <w:t xml:space="preserve">n Nicaragua </w:t>
      </w:r>
      <w:r w:rsidRPr="00AC57EA">
        <w:rPr>
          <w:sz w:val="20"/>
          <w:szCs w:val="20"/>
          <w:lang w:val="en-US"/>
        </w:rPr>
        <w:t>for a</w:t>
      </w:r>
      <w:r w:rsidR="001F1593" w:rsidRPr="00AC57EA">
        <w:rPr>
          <w:sz w:val="20"/>
          <w:szCs w:val="20"/>
          <w:lang w:val="en-US"/>
        </w:rPr>
        <w:t>s</w:t>
      </w:r>
      <w:r w:rsidRPr="00AC57EA">
        <w:rPr>
          <w:sz w:val="20"/>
          <w:szCs w:val="20"/>
          <w:lang w:val="en-US"/>
        </w:rPr>
        <w:t xml:space="preserve"> long as necessary. When providing the psychological and/or psychiatric treatment, the specific circumstances and needs of each victim must be considered, as agreed with each of them and following an individual evaluation.</w:t>
      </w:r>
      <w:r w:rsidR="009D661E" w:rsidRPr="00AC57EA">
        <w:rPr>
          <w:sz w:val="20"/>
          <w:szCs w:val="20"/>
          <w:vertAlign w:val="superscript"/>
          <w:lang w:val="en-US"/>
        </w:rPr>
        <w:footnoteReference w:id="428"/>
      </w:r>
      <w:r w:rsidRPr="00AC57EA">
        <w:rPr>
          <w:sz w:val="20"/>
          <w:szCs w:val="20"/>
          <w:lang w:val="en-US"/>
        </w:rPr>
        <w:t xml:space="preserve"> The beneficiaries of this measure have six months from </w:t>
      </w:r>
      <w:r w:rsidR="007E72AE" w:rsidRPr="00AC57EA">
        <w:rPr>
          <w:sz w:val="20"/>
          <w:szCs w:val="20"/>
          <w:lang w:val="en-US"/>
        </w:rPr>
        <w:t>notification</w:t>
      </w:r>
      <w:r w:rsidR="009D661E" w:rsidRPr="00AC57EA">
        <w:rPr>
          <w:sz w:val="20"/>
          <w:szCs w:val="20"/>
          <w:lang w:val="en-US"/>
        </w:rPr>
        <w:t xml:space="preserve"> </w:t>
      </w:r>
      <w:r w:rsidR="00171E27" w:rsidRPr="00AC57EA">
        <w:rPr>
          <w:sz w:val="20"/>
          <w:szCs w:val="20"/>
          <w:lang w:val="en-US"/>
        </w:rPr>
        <w:t>of this judgment</w:t>
      </w:r>
      <w:r w:rsidRPr="00AC57EA">
        <w:rPr>
          <w:sz w:val="20"/>
          <w:szCs w:val="20"/>
          <w:lang w:val="en-US"/>
        </w:rPr>
        <w:t xml:space="preserve"> to </w:t>
      </w:r>
      <w:r w:rsidR="001F1593" w:rsidRPr="00AC57EA">
        <w:rPr>
          <w:sz w:val="20"/>
          <w:szCs w:val="20"/>
          <w:lang w:val="en-US"/>
        </w:rPr>
        <w:t>advise</w:t>
      </w:r>
      <w:r w:rsidRPr="00AC57EA">
        <w:rPr>
          <w:sz w:val="20"/>
          <w:szCs w:val="20"/>
          <w:lang w:val="en-US"/>
        </w:rPr>
        <w:t xml:space="preserve"> the State that they wish to receive psychological and/or psychiatric treatment.</w:t>
      </w:r>
      <w:r w:rsidR="009D661E" w:rsidRPr="00AC57EA">
        <w:rPr>
          <w:sz w:val="20"/>
          <w:szCs w:val="20"/>
          <w:vertAlign w:val="superscript"/>
          <w:lang w:val="en-US"/>
        </w:rPr>
        <w:footnoteReference w:id="429"/>
      </w:r>
      <w:r w:rsidRPr="00AC57EA">
        <w:rPr>
          <w:sz w:val="20"/>
          <w:szCs w:val="20"/>
          <w:lang w:val="en-US"/>
        </w:rPr>
        <w:t xml:space="preserve"> Meanwhile, the State must provide the psychological and/or psychiatric treatment requested within three months of receiving the corresponding request.</w:t>
      </w:r>
    </w:p>
    <w:p w14:paraId="276148E5" w14:textId="77777777" w:rsidR="009D661E" w:rsidRPr="00AC57EA" w:rsidRDefault="009D661E" w:rsidP="009D661E">
      <w:pPr>
        <w:spacing w:line="240" w:lineRule="auto"/>
        <w:rPr>
          <w:rFonts w:eastAsia="MS Mincho"/>
          <w:sz w:val="20"/>
          <w:szCs w:val="20"/>
          <w:lang w:val="en-US" w:bidi="en-US"/>
        </w:rPr>
      </w:pPr>
    </w:p>
    <w:p w14:paraId="5A363462" w14:textId="084CC13B" w:rsidR="009D661E" w:rsidRPr="00AC57EA" w:rsidRDefault="009D661E" w:rsidP="009D661E">
      <w:pPr>
        <w:pStyle w:val="Ttulo2"/>
        <w:tabs>
          <w:tab w:val="left" w:pos="1843"/>
        </w:tabs>
        <w:spacing w:before="0" w:line="240" w:lineRule="auto"/>
        <w:ind w:left="1134"/>
        <w:rPr>
          <w:rFonts w:ascii="Verdana" w:hAnsi="Verdana"/>
          <w:b w:val="0"/>
          <w:i/>
          <w:color w:val="auto"/>
          <w:sz w:val="20"/>
          <w:szCs w:val="20"/>
          <w:lang w:val="en-US"/>
        </w:rPr>
      </w:pPr>
      <w:bookmarkStart w:id="158" w:name="_Toc495658698"/>
      <w:bookmarkStart w:id="159" w:name="_Toc514172666"/>
      <w:r w:rsidRPr="00AC57EA">
        <w:rPr>
          <w:rFonts w:ascii="Verdana" w:hAnsi="Verdana"/>
          <w:b w:val="0"/>
          <w:i/>
          <w:color w:val="auto"/>
          <w:sz w:val="20"/>
          <w:szCs w:val="20"/>
          <w:lang w:val="en-US"/>
        </w:rPr>
        <w:t xml:space="preserve">C.2 </w:t>
      </w:r>
      <w:r w:rsidRPr="00AC57EA">
        <w:rPr>
          <w:rFonts w:ascii="Verdana" w:hAnsi="Verdana"/>
          <w:b w:val="0"/>
          <w:i/>
          <w:color w:val="auto"/>
          <w:sz w:val="20"/>
          <w:szCs w:val="20"/>
          <w:lang w:val="en-US"/>
        </w:rPr>
        <w:tab/>
      </w:r>
      <w:r w:rsidR="00474CE5" w:rsidRPr="00AC57EA">
        <w:rPr>
          <w:rFonts w:ascii="Verdana" w:hAnsi="Verdana"/>
          <w:b w:val="0"/>
          <w:i/>
          <w:color w:val="auto"/>
          <w:sz w:val="20"/>
          <w:szCs w:val="20"/>
          <w:lang w:val="en-US"/>
        </w:rPr>
        <w:t>Satisfaction</w:t>
      </w:r>
      <w:bookmarkEnd w:id="158"/>
      <w:bookmarkEnd w:id="159"/>
    </w:p>
    <w:p w14:paraId="6C848078" w14:textId="77777777" w:rsidR="009D661E" w:rsidRPr="00AC57EA" w:rsidRDefault="009D661E" w:rsidP="009D661E">
      <w:pPr>
        <w:autoSpaceDE w:val="0"/>
        <w:autoSpaceDN w:val="0"/>
        <w:spacing w:line="240" w:lineRule="auto"/>
        <w:rPr>
          <w:rFonts w:cs="Verdana"/>
          <w:sz w:val="20"/>
          <w:szCs w:val="20"/>
          <w:lang w:val="en-US"/>
        </w:rPr>
      </w:pPr>
    </w:p>
    <w:p w14:paraId="324178E0" w14:textId="3FD91BB3" w:rsidR="009D661E" w:rsidRPr="00AC57EA" w:rsidRDefault="009D661E" w:rsidP="009D661E">
      <w:pPr>
        <w:spacing w:line="240" w:lineRule="auto"/>
        <w:ind w:left="1985"/>
        <w:rPr>
          <w:sz w:val="20"/>
          <w:szCs w:val="20"/>
          <w:lang w:val="en-US"/>
        </w:rPr>
      </w:pPr>
      <w:r w:rsidRPr="00AC57EA">
        <w:rPr>
          <w:i/>
          <w:iCs/>
          <w:sz w:val="20"/>
          <w:szCs w:val="20"/>
          <w:lang w:val="en-US"/>
        </w:rPr>
        <w:t xml:space="preserve">a) </w:t>
      </w:r>
      <w:r w:rsidR="00474CE5" w:rsidRPr="00AC57EA">
        <w:rPr>
          <w:i/>
          <w:iCs/>
          <w:sz w:val="20"/>
          <w:szCs w:val="20"/>
          <w:lang w:val="en-US"/>
        </w:rPr>
        <w:t>Publication of the judgment</w:t>
      </w:r>
    </w:p>
    <w:p w14:paraId="14C6F7D4" w14:textId="77777777" w:rsidR="006F233B" w:rsidRPr="00AC57EA" w:rsidRDefault="006F233B" w:rsidP="009D661E">
      <w:pPr>
        <w:spacing w:line="240" w:lineRule="auto"/>
        <w:ind w:left="1985"/>
        <w:rPr>
          <w:i/>
          <w:iCs/>
          <w:sz w:val="20"/>
          <w:szCs w:val="20"/>
          <w:lang w:val="en-US"/>
        </w:rPr>
      </w:pPr>
    </w:p>
    <w:p w14:paraId="63232ED4" w14:textId="6B793FD5" w:rsidR="00362AA6" w:rsidRPr="00AC57EA" w:rsidRDefault="00171E27" w:rsidP="009D661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 xml:space="preserve">The </w:t>
      </w:r>
      <w:r w:rsidRPr="00AC57EA">
        <w:rPr>
          <w:rFonts w:eastAsia="MS Mincho"/>
          <w:b/>
          <w:bCs/>
          <w:i/>
          <w:iCs/>
          <w:sz w:val="20"/>
          <w:szCs w:val="20"/>
          <w:lang w:val="en-US" w:bidi="en-US"/>
        </w:rPr>
        <w:t>representatives</w:t>
      </w:r>
      <w:r w:rsidR="009D661E" w:rsidRPr="00AC57EA">
        <w:rPr>
          <w:rFonts w:eastAsia="MS Mincho"/>
          <w:b/>
          <w:sz w:val="20"/>
          <w:szCs w:val="20"/>
          <w:lang w:val="en-US" w:bidi="en-US"/>
        </w:rPr>
        <w:t xml:space="preserve"> </w:t>
      </w:r>
      <w:r w:rsidR="00362AA6" w:rsidRPr="00AC57EA">
        <w:rPr>
          <w:rFonts w:eastAsia="MS Mincho"/>
          <w:sz w:val="20"/>
          <w:szCs w:val="20"/>
          <w:lang w:val="en-US" w:bidi="en-US"/>
        </w:rPr>
        <w:t>asked</w:t>
      </w:r>
      <w:r w:rsidR="009D661E" w:rsidRPr="00AC57EA">
        <w:rPr>
          <w:rFonts w:eastAsia="MS Mincho"/>
          <w:sz w:val="20"/>
          <w:szCs w:val="20"/>
          <w:lang w:val="en-US" w:bidi="en-US"/>
        </w:rPr>
        <w:t xml:space="preserve"> </w:t>
      </w:r>
      <w:r w:rsidR="00B7258C" w:rsidRPr="00AC57EA">
        <w:rPr>
          <w:rFonts w:eastAsia="MS Mincho"/>
          <w:sz w:val="20"/>
          <w:szCs w:val="20"/>
          <w:lang w:val="en-US" w:bidi="en-US"/>
        </w:rPr>
        <w:t>the Court</w:t>
      </w:r>
      <w:r w:rsidR="00362AA6" w:rsidRPr="00AC57EA">
        <w:rPr>
          <w:rFonts w:eastAsia="MS Mincho"/>
          <w:sz w:val="20"/>
          <w:szCs w:val="20"/>
          <w:lang w:val="en-US" w:bidi="en-US"/>
        </w:rPr>
        <w:t xml:space="preserve"> to order the State to publish a summary of the judgment in the official gazette and in a national newspaper with widespread circulation within six months of notification of the judgment. It also asked that the Court order the State to publish the judgment on an official website for one year.</w:t>
      </w:r>
    </w:p>
    <w:p w14:paraId="12AFCEAE" w14:textId="77777777" w:rsidR="009D661E" w:rsidRPr="00AC57EA" w:rsidRDefault="009D661E" w:rsidP="006F233B">
      <w:pPr>
        <w:tabs>
          <w:tab w:val="left" w:pos="3675"/>
        </w:tabs>
        <w:spacing w:line="240" w:lineRule="auto"/>
        <w:rPr>
          <w:sz w:val="20"/>
          <w:szCs w:val="20"/>
          <w:lang w:val="en-US"/>
        </w:rPr>
      </w:pPr>
    </w:p>
    <w:p w14:paraId="7D98A4DA" w14:textId="6C7242D0" w:rsidR="009D661E" w:rsidRPr="00AC57EA" w:rsidRDefault="006F233B" w:rsidP="009D661E">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rFonts w:eastAsia="MS Mincho"/>
          <w:sz w:val="20"/>
          <w:szCs w:val="20"/>
          <w:lang w:val="en-US" w:bidi="en-US"/>
        </w:rPr>
        <w:t>N</w:t>
      </w:r>
      <w:r w:rsidR="00362AA6" w:rsidRPr="00AC57EA">
        <w:rPr>
          <w:rFonts w:eastAsia="MS Mincho"/>
          <w:sz w:val="20"/>
          <w:szCs w:val="20"/>
          <w:lang w:val="en-US" w:bidi="en-US"/>
        </w:rPr>
        <w:t>either</w:t>
      </w:r>
      <w:r w:rsidRPr="00AC57EA">
        <w:rPr>
          <w:rFonts w:eastAsia="MS Mincho"/>
          <w:sz w:val="20"/>
          <w:szCs w:val="20"/>
          <w:lang w:val="en-US" w:bidi="en-US"/>
        </w:rPr>
        <w:t xml:space="preserve"> </w:t>
      </w:r>
      <w:r w:rsidR="00EC52D7" w:rsidRPr="00AC57EA">
        <w:rPr>
          <w:rFonts w:eastAsia="MS Mincho"/>
          <w:sz w:val="20"/>
          <w:szCs w:val="20"/>
          <w:lang w:val="en-US" w:bidi="en-US"/>
        </w:rPr>
        <w:t xml:space="preserve">the </w:t>
      </w:r>
      <w:r w:rsidR="00EC52D7" w:rsidRPr="00AC57EA">
        <w:rPr>
          <w:rFonts w:eastAsia="MS Mincho"/>
          <w:b/>
          <w:bCs/>
          <w:i/>
          <w:iCs/>
          <w:sz w:val="20"/>
          <w:szCs w:val="20"/>
          <w:lang w:val="en-US" w:bidi="en-US"/>
        </w:rPr>
        <w:t>State</w:t>
      </w:r>
      <w:r w:rsidR="009D661E" w:rsidRPr="00AC57EA">
        <w:rPr>
          <w:rFonts w:eastAsia="MS Mincho"/>
          <w:sz w:val="20"/>
          <w:szCs w:val="20"/>
          <w:lang w:val="en-US" w:bidi="en-US"/>
        </w:rPr>
        <w:t xml:space="preserve"> </w:t>
      </w:r>
      <w:r w:rsidRPr="00AC57EA">
        <w:rPr>
          <w:rFonts w:eastAsia="MS Mincho"/>
          <w:sz w:val="20"/>
          <w:szCs w:val="20"/>
          <w:lang w:val="en-US" w:bidi="en-US"/>
        </w:rPr>
        <w:t>n</w:t>
      </w:r>
      <w:r w:rsidR="00362AA6" w:rsidRPr="00AC57EA">
        <w:rPr>
          <w:rFonts w:eastAsia="MS Mincho"/>
          <w:sz w:val="20"/>
          <w:szCs w:val="20"/>
          <w:lang w:val="en-US" w:bidi="en-US"/>
        </w:rPr>
        <w:t xml:space="preserve">or </w:t>
      </w:r>
      <w:r w:rsidR="00B7258C" w:rsidRPr="00AC57EA">
        <w:rPr>
          <w:rFonts w:eastAsia="MS Mincho"/>
          <w:sz w:val="20"/>
          <w:szCs w:val="20"/>
          <w:lang w:val="en-US" w:bidi="en-US"/>
        </w:rPr>
        <w:t xml:space="preserve">the </w:t>
      </w:r>
      <w:r w:rsidR="00B7258C" w:rsidRPr="00AC57EA">
        <w:rPr>
          <w:rFonts w:eastAsia="MS Mincho"/>
          <w:b/>
          <w:bCs/>
          <w:i/>
          <w:iCs/>
          <w:sz w:val="20"/>
          <w:szCs w:val="20"/>
          <w:lang w:val="en-US" w:bidi="en-US"/>
        </w:rPr>
        <w:t>Commission</w:t>
      </w:r>
      <w:r w:rsidRPr="00AC57EA">
        <w:rPr>
          <w:rFonts w:eastAsia="MS Mincho"/>
          <w:b/>
          <w:bCs/>
          <w:i/>
          <w:iCs/>
          <w:sz w:val="20"/>
          <w:szCs w:val="20"/>
          <w:lang w:val="en-US" w:bidi="en-US"/>
        </w:rPr>
        <w:t xml:space="preserve"> </w:t>
      </w:r>
      <w:r w:rsidR="00362AA6" w:rsidRPr="00AC57EA">
        <w:rPr>
          <w:rFonts w:eastAsia="MS Mincho"/>
          <w:sz w:val="20"/>
          <w:szCs w:val="20"/>
          <w:lang w:val="en-US" w:bidi="en-US"/>
        </w:rPr>
        <w:t>submitted specific arguments on this point</w:t>
      </w:r>
      <w:r w:rsidR="009D661E" w:rsidRPr="00AC57EA">
        <w:rPr>
          <w:rFonts w:eastAsia="MS Mincho"/>
          <w:sz w:val="20"/>
          <w:szCs w:val="20"/>
          <w:lang w:val="en-US" w:bidi="en-US"/>
        </w:rPr>
        <w:t>.</w:t>
      </w:r>
    </w:p>
    <w:p w14:paraId="63F92F83" w14:textId="77777777" w:rsidR="009D661E" w:rsidRPr="00AC57EA" w:rsidRDefault="009D661E" w:rsidP="009D661E">
      <w:pPr>
        <w:tabs>
          <w:tab w:val="left" w:pos="4300"/>
        </w:tabs>
        <w:spacing w:line="240" w:lineRule="auto"/>
        <w:textAlignment w:val="auto"/>
        <w:rPr>
          <w:rFonts w:eastAsia="MS Mincho"/>
          <w:b/>
          <w:sz w:val="20"/>
          <w:szCs w:val="20"/>
          <w:lang w:val="en-US" w:bidi="en-US"/>
        </w:rPr>
      </w:pPr>
    </w:p>
    <w:p w14:paraId="69A09937" w14:textId="0EBD7C04" w:rsidR="009D661E" w:rsidRPr="00AC57EA" w:rsidRDefault="00B7258C" w:rsidP="009D661E">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rFonts w:eastAsia="MS Mincho"/>
          <w:sz w:val="20"/>
          <w:szCs w:val="20"/>
          <w:lang w:val="en-US" w:bidi="en-US"/>
        </w:rPr>
        <w:t>The Court</w:t>
      </w:r>
      <w:r w:rsidR="009D661E" w:rsidRPr="00AC57EA">
        <w:rPr>
          <w:rFonts w:eastAsia="MS Mincho" w:cs="Verdana"/>
          <w:sz w:val="20"/>
          <w:szCs w:val="20"/>
          <w:lang w:val="en-US" w:bidi="en-US"/>
        </w:rPr>
        <w:t xml:space="preserve"> </w:t>
      </w:r>
      <w:r w:rsidR="00362AA6" w:rsidRPr="00AC57EA">
        <w:rPr>
          <w:rFonts w:eastAsia="MS Mincho" w:cs="Verdana"/>
          <w:sz w:val="20"/>
          <w:szCs w:val="20"/>
          <w:lang w:val="en-US" w:bidi="en-US"/>
        </w:rPr>
        <w:t>finds, as it has in other cases,</w:t>
      </w:r>
      <w:r w:rsidR="009D661E" w:rsidRPr="00AC57EA">
        <w:rPr>
          <w:rFonts w:eastAsia="MS Mincho"/>
          <w:sz w:val="20"/>
          <w:szCs w:val="20"/>
          <w:vertAlign w:val="superscript"/>
          <w:lang w:val="en-US" w:bidi="en-US"/>
        </w:rPr>
        <w:footnoteReference w:id="430"/>
      </w:r>
      <w:r w:rsidR="009D661E" w:rsidRPr="00AC57EA">
        <w:rPr>
          <w:rFonts w:eastAsia="MS Mincho" w:cs="Verdana"/>
          <w:sz w:val="20"/>
          <w:szCs w:val="20"/>
          <w:lang w:val="en-US" w:bidi="en-US"/>
        </w:rPr>
        <w:t xml:space="preserve">, </w:t>
      </w:r>
      <w:r w:rsidR="00362AA6" w:rsidRPr="00AC57EA">
        <w:rPr>
          <w:rFonts w:eastAsia="MS Mincho" w:cs="Verdana"/>
          <w:sz w:val="20"/>
          <w:szCs w:val="20"/>
          <w:lang w:val="en-US" w:bidi="en-US"/>
        </w:rPr>
        <w:t>that,</w:t>
      </w:r>
      <w:r w:rsidR="00362AA6" w:rsidRPr="00AC57EA">
        <w:rPr>
          <w:sz w:val="20"/>
          <w:szCs w:val="20"/>
          <w:lang w:val="en-US"/>
        </w:rPr>
        <w:t xml:space="preserve"> within six months</w:t>
      </w:r>
      <w:r w:rsidR="00362AA6" w:rsidRPr="00AC57EA">
        <w:rPr>
          <w:rFonts w:eastAsia="MS Mincho" w:cs="Verdana"/>
          <w:sz w:val="20"/>
          <w:szCs w:val="20"/>
          <w:lang w:val="en-US" w:bidi="en-US"/>
        </w:rPr>
        <w:t>, of notification of this judgment,</w:t>
      </w:r>
      <w:r w:rsidR="009D661E" w:rsidRPr="00AC57EA">
        <w:rPr>
          <w:rFonts w:eastAsia="MS Mincho" w:cs="Verdana"/>
          <w:sz w:val="20"/>
          <w:szCs w:val="20"/>
          <w:lang w:val="en-US" w:bidi="en-US"/>
        </w:rPr>
        <w:t xml:space="preserve"> </w:t>
      </w:r>
      <w:r w:rsidR="00EC52D7" w:rsidRPr="00AC57EA">
        <w:rPr>
          <w:rFonts w:eastAsia="MS Mincho" w:cs="Verdana"/>
          <w:sz w:val="20"/>
          <w:szCs w:val="20"/>
          <w:lang w:val="en-US" w:bidi="en-US"/>
        </w:rPr>
        <w:t xml:space="preserve">the State </w:t>
      </w:r>
      <w:r w:rsidR="00362AA6" w:rsidRPr="00AC57EA">
        <w:rPr>
          <w:rFonts w:eastAsia="MS Mincho" w:cs="Verdana"/>
          <w:sz w:val="20"/>
          <w:szCs w:val="20"/>
          <w:lang w:val="en-US" w:bidi="en-US"/>
        </w:rPr>
        <w:t>must publish</w:t>
      </w:r>
      <w:r w:rsidR="009D661E" w:rsidRPr="00AC57EA">
        <w:rPr>
          <w:rFonts w:eastAsia="MS Mincho" w:cs="Verdana"/>
          <w:sz w:val="20"/>
          <w:szCs w:val="20"/>
          <w:lang w:val="en-US" w:bidi="en-US"/>
        </w:rPr>
        <w:t xml:space="preserve">, </w:t>
      </w:r>
      <w:r w:rsidR="00362AA6" w:rsidRPr="00AC57EA">
        <w:rPr>
          <w:sz w:val="20"/>
          <w:szCs w:val="20"/>
          <w:lang w:val="en-US"/>
        </w:rPr>
        <w:t>if</w:t>
      </w:r>
      <w:r w:rsidR="00E25B13" w:rsidRPr="00AC57EA">
        <w:rPr>
          <w:sz w:val="20"/>
          <w:szCs w:val="20"/>
          <w:lang w:val="en-US"/>
        </w:rPr>
        <w:t xml:space="preserve"> V.R.P. a</w:t>
      </w:r>
      <w:r w:rsidR="00362AA6" w:rsidRPr="00AC57EA">
        <w:rPr>
          <w:sz w:val="20"/>
          <w:szCs w:val="20"/>
          <w:lang w:val="en-US"/>
        </w:rPr>
        <w:t>uthorizes this</w:t>
      </w:r>
      <w:r w:rsidR="009D661E" w:rsidRPr="00AC57EA">
        <w:rPr>
          <w:rFonts w:eastAsia="MS Mincho" w:cs="Verdana"/>
          <w:sz w:val="20"/>
          <w:szCs w:val="20"/>
          <w:lang w:val="en-US" w:bidi="en-US"/>
        </w:rPr>
        <w:t xml:space="preserve">: </w:t>
      </w:r>
      <w:r w:rsidR="00362AA6" w:rsidRPr="00AC57EA">
        <w:rPr>
          <w:rFonts w:eastAsia="MS Mincho" w:cs="Verdana"/>
          <w:sz w:val="20"/>
          <w:szCs w:val="20"/>
          <w:lang w:val="en-US" w:bidi="en-US"/>
        </w:rPr>
        <w:t>(</w:t>
      </w:r>
      <w:r w:rsidR="009D661E" w:rsidRPr="00AC57EA">
        <w:rPr>
          <w:rFonts w:eastAsia="MS Mincho" w:cs="Verdana"/>
          <w:sz w:val="20"/>
          <w:szCs w:val="20"/>
          <w:lang w:val="en-US" w:bidi="en-US"/>
        </w:rPr>
        <w:t xml:space="preserve">a) </w:t>
      </w:r>
      <w:r w:rsidR="00362AA6" w:rsidRPr="00AC57EA">
        <w:rPr>
          <w:rFonts w:eastAsia="MS Mincho" w:cs="Verdana"/>
          <w:sz w:val="20"/>
          <w:szCs w:val="20"/>
          <w:lang w:val="en-US" w:bidi="en-US"/>
        </w:rPr>
        <w:t>the official summary</w:t>
      </w:r>
      <w:r w:rsidR="009D661E" w:rsidRPr="00AC57EA">
        <w:rPr>
          <w:rFonts w:eastAsia="MS Mincho" w:cs="Verdana"/>
          <w:sz w:val="20"/>
          <w:szCs w:val="20"/>
          <w:lang w:val="en-US" w:bidi="en-US"/>
        </w:rPr>
        <w:t xml:space="preserve"> </w:t>
      </w:r>
      <w:r w:rsidR="00171E27" w:rsidRPr="00AC57EA">
        <w:rPr>
          <w:rFonts w:eastAsia="MS Mincho" w:cs="Verdana"/>
          <w:sz w:val="20"/>
          <w:szCs w:val="20"/>
          <w:lang w:val="en-US" w:bidi="en-US"/>
        </w:rPr>
        <w:t>of this judgment</w:t>
      </w:r>
      <w:r w:rsidR="009D661E" w:rsidRPr="00AC57EA">
        <w:rPr>
          <w:rFonts w:eastAsia="MS Mincho" w:cs="Verdana"/>
          <w:sz w:val="20"/>
          <w:szCs w:val="20"/>
          <w:lang w:val="en-US" w:bidi="en-US"/>
        </w:rPr>
        <w:t xml:space="preserve"> </w:t>
      </w:r>
      <w:r w:rsidR="00362AA6" w:rsidRPr="00AC57EA">
        <w:rPr>
          <w:rFonts w:eastAsia="MS Mincho" w:cs="Verdana"/>
          <w:sz w:val="20"/>
          <w:szCs w:val="20"/>
          <w:lang w:val="en-US" w:bidi="en-US"/>
        </w:rPr>
        <w:t>prepared by</w:t>
      </w:r>
      <w:r w:rsidR="009D661E" w:rsidRPr="00AC57EA">
        <w:rPr>
          <w:rFonts w:eastAsia="MS Mincho" w:cs="Verdana"/>
          <w:sz w:val="20"/>
          <w:szCs w:val="20"/>
          <w:lang w:val="en-US" w:bidi="en-US"/>
        </w:rPr>
        <w:t xml:space="preserve"> </w:t>
      </w:r>
      <w:r w:rsidRPr="00AC57EA">
        <w:rPr>
          <w:rFonts w:eastAsia="MS Mincho" w:cs="Verdana"/>
          <w:sz w:val="20"/>
          <w:szCs w:val="20"/>
          <w:lang w:val="en-US" w:bidi="en-US"/>
        </w:rPr>
        <w:t>the Court</w:t>
      </w:r>
      <w:r w:rsidR="009D661E" w:rsidRPr="00AC57EA">
        <w:rPr>
          <w:rFonts w:eastAsia="MS Mincho" w:cs="Verdana"/>
          <w:sz w:val="20"/>
          <w:szCs w:val="20"/>
          <w:lang w:val="en-US" w:bidi="en-US"/>
        </w:rPr>
        <w:t xml:space="preserve">, </w:t>
      </w:r>
      <w:r w:rsidR="00362AA6" w:rsidRPr="00AC57EA">
        <w:rPr>
          <w:rFonts w:eastAsia="MS Mincho" w:cs="Verdana"/>
          <w:sz w:val="20"/>
          <w:szCs w:val="20"/>
          <w:lang w:val="en-US" w:bidi="en-US"/>
        </w:rPr>
        <w:t xml:space="preserve">once, in the Official </w:t>
      </w:r>
      <w:r w:rsidR="001F1593" w:rsidRPr="00AC57EA">
        <w:rPr>
          <w:rFonts w:eastAsia="MS Mincho" w:cs="Verdana"/>
          <w:sz w:val="20"/>
          <w:szCs w:val="20"/>
          <w:lang w:val="en-US" w:bidi="en-US"/>
        </w:rPr>
        <w:t>G</w:t>
      </w:r>
      <w:r w:rsidR="00362AA6" w:rsidRPr="00AC57EA">
        <w:rPr>
          <w:rFonts w:eastAsia="MS Mincho" w:cs="Verdana"/>
          <w:sz w:val="20"/>
          <w:szCs w:val="20"/>
          <w:lang w:val="en-US" w:bidi="en-US"/>
        </w:rPr>
        <w:t>azette, in an appropriate and legible font</w:t>
      </w:r>
      <w:r w:rsidR="009D661E" w:rsidRPr="00AC57EA">
        <w:rPr>
          <w:rFonts w:eastAsia="MS Mincho" w:cs="Verdana"/>
          <w:sz w:val="20"/>
          <w:szCs w:val="20"/>
          <w:lang w:val="en-US" w:bidi="en-US"/>
        </w:rPr>
        <w:t xml:space="preserve">; </w:t>
      </w:r>
      <w:r w:rsidR="00362AA6" w:rsidRPr="00AC57EA">
        <w:rPr>
          <w:rFonts w:eastAsia="MS Mincho" w:cs="Verdana"/>
          <w:sz w:val="20"/>
          <w:szCs w:val="20"/>
          <w:lang w:val="en-US" w:bidi="en-US"/>
        </w:rPr>
        <w:t>(</w:t>
      </w:r>
      <w:r w:rsidR="009D661E" w:rsidRPr="00AC57EA">
        <w:rPr>
          <w:rFonts w:eastAsia="MS Mincho" w:cs="Verdana"/>
          <w:sz w:val="20"/>
          <w:szCs w:val="20"/>
          <w:lang w:val="en-US" w:bidi="en-US"/>
        </w:rPr>
        <w:t xml:space="preserve">b) </w:t>
      </w:r>
      <w:r w:rsidR="00362AA6" w:rsidRPr="00AC57EA">
        <w:rPr>
          <w:rFonts w:eastAsia="MS Mincho" w:cs="Verdana"/>
          <w:sz w:val="20"/>
          <w:szCs w:val="20"/>
          <w:lang w:val="en-US" w:bidi="en-US"/>
        </w:rPr>
        <w:t>the official summary of this judgment prepared by the Court, once</w:t>
      </w:r>
      <w:r w:rsidR="009D661E" w:rsidRPr="00AC57EA">
        <w:rPr>
          <w:rFonts w:eastAsia="MS Mincho" w:cs="Verdana"/>
          <w:sz w:val="20"/>
          <w:szCs w:val="20"/>
          <w:lang w:val="en-US" w:bidi="en-US"/>
        </w:rPr>
        <w:t>,</w:t>
      </w:r>
      <w:r w:rsidR="00362AA6" w:rsidRPr="00AC57EA">
        <w:rPr>
          <w:rFonts w:eastAsia="MS Mincho" w:cs="Verdana"/>
          <w:sz w:val="20"/>
          <w:szCs w:val="20"/>
          <w:lang w:val="en-US" w:bidi="en-US"/>
        </w:rPr>
        <w:t xml:space="preserve"> in a national newspaper with widespread circulation in an appropriate and legible font, and (c) this judgment in its entirety, available for one year, on an official website of the State, in a way that is accessible to the public from the home page.</w:t>
      </w:r>
    </w:p>
    <w:p w14:paraId="5122D102" w14:textId="77777777" w:rsidR="009D661E" w:rsidRPr="00AC57EA" w:rsidRDefault="009D661E" w:rsidP="009D661E">
      <w:pPr>
        <w:tabs>
          <w:tab w:val="left" w:pos="567"/>
        </w:tabs>
        <w:spacing w:line="240" w:lineRule="auto"/>
        <w:textAlignment w:val="auto"/>
        <w:rPr>
          <w:rFonts w:eastAsia="MS Mincho"/>
          <w:b/>
          <w:sz w:val="20"/>
          <w:szCs w:val="20"/>
          <w:lang w:val="en-US" w:bidi="en-US"/>
        </w:rPr>
      </w:pPr>
    </w:p>
    <w:p w14:paraId="3FB9277F" w14:textId="6B4774A2" w:rsidR="009D661E" w:rsidRPr="00AC57EA" w:rsidRDefault="0035148B" w:rsidP="009D661E">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sz w:val="20"/>
          <w:szCs w:val="20"/>
          <w:lang w:val="en-US"/>
        </w:rPr>
        <w:t xml:space="preserve">The State </w:t>
      </w:r>
      <w:r w:rsidR="00362AA6" w:rsidRPr="00AC57EA">
        <w:rPr>
          <w:sz w:val="20"/>
          <w:szCs w:val="20"/>
          <w:lang w:val="en-US"/>
        </w:rPr>
        <w:t>must advise the Court immediately when it has made each of the publications ordered, regardless of the one-year time frame to present its first report established in the twenty-fifth operative paragraph of this judgment</w:t>
      </w:r>
      <w:r w:rsidR="009D661E" w:rsidRPr="00AC57EA">
        <w:rPr>
          <w:sz w:val="20"/>
          <w:szCs w:val="20"/>
          <w:lang w:val="en-US"/>
        </w:rPr>
        <w:t>.</w:t>
      </w:r>
    </w:p>
    <w:p w14:paraId="3D2D10F3" w14:textId="77777777" w:rsidR="009D661E" w:rsidRPr="00AC57EA" w:rsidRDefault="009D661E" w:rsidP="009D661E">
      <w:pPr>
        <w:tabs>
          <w:tab w:val="left" w:pos="567"/>
        </w:tabs>
        <w:spacing w:line="240" w:lineRule="auto"/>
        <w:textAlignment w:val="auto"/>
        <w:rPr>
          <w:rFonts w:eastAsia="MS Mincho"/>
          <w:sz w:val="20"/>
          <w:szCs w:val="20"/>
          <w:lang w:val="en-US" w:bidi="en-US"/>
        </w:rPr>
      </w:pPr>
    </w:p>
    <w:p w14:paraId="04EFFDA4" w14:textId="23192F42" w:rsidR="009D661E" w:rsidRPr="00AC57EA" w:rsidRDefault="009D661E" w:rsidP="009D661E">
      <w:pPr>
        <w:spacing w:line="240" w:lineRule="auto"/>
        <w:ind w:left="1985"/>
        <w:rPr>
          <w:i/>
          <w:iCs/>
          <w:sz w:val="20"/>
          <w:szCs w:val="20"/>
          <w:lang w:val="en-US"/>
        </w:rPr>
      </w:pPr>
      <w:r w:rsidRPr="00AC57EA">
        <w:rPr>
          <w:i/>
          <w:iCs/>
          <w:sz w:val="20"/>
          <w:szCs w:val="20"/>
          <w:lang w:val="en-US"/>
        </w:rPr>
        <w:t xml:space="preserve">b) </w:t>
      </w:r>
      <w:r w:rsidR="00362AA6" w:rsidRPr="00AC57EA">
        <w:rPr>
          <w:i/>
          <w:iCs/>
          <w:sz w:val="20"/>
          <w:szCs w:val="20"/>
          <w:lang w:val="en-US"/>
        </w:rPr>
        <w:t>Scholarships</w:t>
      </w:r>
    </w:p>
    <w:p w14:paraId="05E23B5F" w14:textId="77777777" w:rsidR="009D661E" w:rsidRPr="00AC57EA" w:rsidRDefault="009D661E" w:rsidP="009D661E">
      <w:pPr>
        <w:tabs>
          <w:tab w:val="left" w:pos="567"/>
        </w:tabs>
        <w:spacing w:line="240" w:lineRule="auto"/>
        <w:textAlignment w:val="auto"/>
        <w:rPr>
          <w:rFonts w:eastAsia="MS Mincho"/>
          <w:sz w:val="20"/>
          <w:szCs w:val="20"/>
          <w:lang w:val="en-US" w:bidi="en-US"/>
        </w:rPr>
      </w:pPr>
    </w:p>
    <w:p w14:paraId="2E3E174D" w14:textId="25B8601F" w:rsidR="00C1550B" w:rsidRPr="00AC57EA" w:rsidRDefault="00171E27" w:rsidP="00C1550B">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iCs/>
          <w:sz w:val="20"/>
          <w:szCs w:val="20"/>
          <w:lang w:val="en-US" w:bidi="en-US"/>
        </w:rPr>
        <w:t xml:space="preserve">The </w:t>
      </w:r>
      <w:r w:rsidRPr="00AC57EA">
        <w:rPr>
          <w:rFonts w:eastAsia="MS Mincho"/>
          <w:b/>
          <w:bCs/>
          <w:i/>
          <w:sz w:val="20"/>
          <w:szCs w:val="20"/>
          <w:lang w:val="en-US" w:bidi="en-US"/>
        </w:rPr>
        <w:t>representatives</w:t>
      </w:r>
      <w:r w:rsidR="009D661E" w:rsidRPr="00AC57EA">
        <w:rPr>
          <w:rFonts w:eastAsia="MS Mincho"/>
          <w:sz w:val="20"/>
          <w:szCs w:val="20"/>
          <w:lang w:val="en-US" w:bidi="en-US"/>
        </w:rPr>
        <w:t xml:space="preserve"> </w:t>
      </w:r>
      <w:r w:rsidR="00C1550B" w:rsidRPr="00AC57EA">
        <w:rPr>
          <w:rFonts w:eastAsia="MS Mincho"/>
          <w:sz w:val="20"/>
          <w:szCs w:val="20"/>
          <w:lang w:val="en-US" w:bidi="en-US"/>
        </w:rPr>
        <w:t>asked, as a way of re-establishing the life projects of the victims who had not concluded their higher education, that the Court order the State to provide them with the necessary means to do this. Regarding V.R.P., taking into account that she has still been unable to conclude her studies and is unable to apply for a scholarship in Nicaragua because</w:t>
      </w:r>
      <w:r w:rsidR="00E62451" w:rsidRPr="00AC57EA">
        <w:rPr>
          <w:rFonts w:eastAsia="MS Mincho"/>
          <w:sz w:val="20"/>
          <w:szCs w:val="20"/>
          <w:lang w:val="en-US" w:bidi="en-US"/>
        </w:rPr>
        <w:t xml:space="preserve"> she</w:t>
      </w:r>
      <w:r w:rsidR="00C1550B" w:rsidRPr="00AC57EA">
        <w:rPr>
          <w:rFonts w:eastAsia="MS Mincho"/>
          <w:sz w:val="20"/>
          <w:szCs w:val="20"/>
          <w:lang w:val="en-US" w:bidi="en-US"/>
        </w:rPr>
        <w:t xml:space="preserve"> resides outside that country, they asked that she be allocated a prudent amount of </w:t>
      </w:r>
      <w:r w:rsidR="004D4F16" w:rsidRPr="00AC57EA">
        <w:rPr>
          <w:rFonts w:eastAsia="MS Mincho"/>
          <w:sz w:val="20"/>
          <w:szCs w:val="20"/>
          <w:lang w:val="en-US" w:bidi="en-US"/>
        </w:rPr>
        <w:t>US$150</w:t>
      </w:r>
      <w:r w:rsidR="00474CE5" w:rsidRPr="00AC57EA">
        <w:rPr>
          <w:rFonts w:eastAsia="MS Mincho"/>
          <w:sz w:val="20"/>
          <w:szCs w:val="20"/>
          <w:lang w:val="en-US" w:bidi="en-US"/>
        </w:rPr>
        <w:t>,000.00</w:t>
      </w:r>
      <w:r w:rsidR="004D4F16" w:rsidRPr="00AC57EA">
        <w:rPr>
          <w:rFonts w:eastAsia="MS Mincho"/>
          <w:sz w:val="20"/>
          <w:szCs w:val="20"/>
          <w:lang w:val="en-US" w:bidi="en-US"/>
        </w:rPr>
        <w:t xml:space="preserve"> </w:t>
      </w:r>
      <w:r w:rsidR="00C1550B" w:rsidRPr="00AC57EA">
        <w:rPr>
          <w:rFonts w:eastAsia="MS Mincho"/>
          <w:sz w:val="20"/>
          <w:szCs w:val="20"/>
          <w:lang w:val="en-US" w:bidi="en-US"/>
        </w:rPr>
        <w:t xml:space="preserve">to cover her studies and repayment of student loans. In the case of </w:t>
      </w:r>
      <w:r w:rsidR="009D661E" w:rsidRPr="00AC57EA">
        <w:rPr>
          <w:rFonts w:eastAsia="MS Mincho"/>
          <w:sz w:val="20"/>
          <w:szCs w:val="20"/>
          <w:lang w:val="en-US" w:bidi="en-US"/>
        </w:rPr>
        <w:t>V.A.R.P.</w:t>
      </w:r>
      <w:r w:rsidR="00C1550B" w:rsidRPr="00AC57EA">
        <w:rPr>
          <w:rFonts w:eastAsia="MS Mincho"/>
          <w:sz w:val="20"/>
          <w:szCs w:val="20"/>
          <w:lang w:val="en-US" w:bidi="en-US"/>
        </w:rPr>
        <w:t>, they asked that the State provide him with a scholarship and funds to cover the necessary educational expenses so that he is able to pursue university or higher education studies in a center with recognized academic quality chosen by mutual agreement between the State and the victim.</w:t>
      </w:r>
    </w:p>
    <w:p w14:paraId="1DE1135C" w14:textId="77777777" w:rsidR="009D661E" w:rsidRPr="00AC57EA" w:rsidRDefault="009D661E" w:rsidP="00C1550B">
      <w:pPr>
        <w:spacing w:line="240" w:lineRule="auto"/>
        <w:rPr>
          <w:rFonts w:eastAsia="MS Mincho"/>
          <w:sz w:val="20"/>
          <w:szCs w:val="20"/>
          <w:lang w:val="en-US" w:bidi="en-US"/>
        </w:rPr>
      </w:pPr>
    </w:p>
    <w:p w14:paraId="497FACC0" w14:textId="7020263D" w:rsidR="00C1550B" w:rsidRPr="00AC57EA" w:rsidRDefault="0064446E" w:rsidP="009D661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Re</w:t>
      </w:r>
      <w:r w:rsidR="00C1550B" w:rsidRPr="00AC57EA">
        <w:rPr>
          <w:rFonts w:eastAsia="MS Mincho"/>
          <w:sz w:val="20"/>
          <w:szCs w:val="20"/>
          <w:lang w:val="en-US" w:bidi="en-US"/>
        </w:rPr>
        <w:t xml:space="preserve">garding the request that V.R.P. be granted a sum of money, the </w:t>
      </w:r>
      <w:r w:rsidR="00C1550B" w:rsidRPr="00AC57EA">
        <w:rPr>
          <w:rFonts w:eastAsia="MS Mincho"/>
          <w:b/>
          <w:bCs/>
          <w:i/>
          <w:iCs/>
          <w:sz w:val="20"/>
          <w:szCs w:val="20"/>
          <w:lang w:val="en-US" w:bidi="en-US"/>
        </w:rPr>
        <w:t>State</w:t>
      </w:r>
      <w:r w:rsidR="00C1550B" w:rsidRPr="00AC57EA">
        <w:rPr>
          <w:rFonts w:eastAsia="MS Mincho"/>
          <w:sz w:val="20"/>
          <w:szCs w:val="20"/>
          <w:lang w:val="en-US" w:bidi="en-US"/>
        </w:rPr>
        <w:t xml:space="preserve"> indicated that there was no justification for the amount requested and that, if the Court considered that it should pay any compensation, this should be calculation based on national parameters. The State added that the Court could not be used as a mechanism for resolving all aspects of the life of the presumed victims and that, since they had been given asylum in the United States and had left Nicaragua voluntarily</w:t>
      </w:r>
      <w:r w:rsidR="008B23F9" w:rsidRPr="00AC57EA">
        <w:rPr>
          <w:rFonts w:eastAsia="MS Mincho"/>
          <w:sz w:val="20"/>
          <w:szCs w:val="20"/>
          <w:lang w:val="en-US" w:bidi="en-US"/>
        </w:rPr>
        <w:t>, they enjoyed “other prerogatives and amenities.”</w:t>
      </w:r>
    </w:p>
    <w:p w14:paraId="3575357F" w14:textId="77777777" w:rsidR="0064446E" w:rsidRPr="00AC57EA" w:rsidRDefault="0064446E" w:rsidP="0064446E">
      <w:pPr>
        <w:tabs>
          <w:tab w:val="left" w:pos="567"/>
        </w:tabs>
        <w:spacing w:line="240" w:lineRule="auto"/>
        <w:textAlignment w:val="auto"/>
        <w:rPr>
          <w:sz w:val="20"/>
          <w:szCs w:val="20"/>
          <w:lang w:val="en-US"/>
        </w:rPr>
      </w:pPr>
    </w:p>
    <w:p w14:paraId="5F7C98A5" w14:textId="6547346E" w:rsidR="008B23F9" w:rsidRPr="00AC57EA" w:rsidRDefault="00EC52D7" w:rsidP="009D661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The State</w:t>
      </w:r>
      <w:r w:rsidR="009D661E" w:rsidRPr="00AC57EA">
        <w:rPr>
          <w:rFonts w:eastAsia="MS Mincho"/>
          <w:sz w:val="20"/>
          <w:szCs w:val="20"/>
          <w:lang w:val="en-US" w:bidi="en-US"/>
        </w:rPr>
        <w:t xml:space="preserve"> a</w:t>
      </w:r>
      <w:r w:rsidR="008B23F9" w:rsidRPr="00AC57EA">
        <w:rPr>
          <w:rFonts w:eastAsia="MS Mincho"/>
          <w:sz w:val="20"/>
          <w:szCs w:val="20"/>
          <w:lang w:val="en-US" w:bidi="en-US"/>
        </w:rPr>
        <w:t>rgued that it could not be attributed with any obligation with regard to V.A.R.P. because his status as a victim had not been accredited in either the Admissibility Report or the Merits Report of the Commission. It indicated that it was surprised by the request to grant a scholarship and educational expenses, because at the date of the answering brief, V.A.R.P. was over 34 years of age and, in addition, could and still can have access to higher education in Nicaragua, because the national universities are almost free and entry is merely conditional on passing the admission examination.</w:t>
      </w:r>
    </w:p>
    <w:p w14:paraId="3E7870F0" w14:textId="77777777" w:rsidR="009D661E" w:rsidRPr="00AC57EA" w:rsidRDefault="009D661E" w:rsidP="009D661E">
      <w:pPr>
        <w:tabs>
          <w:tab w:val="left" w:pos="567"/>
        </w:tabs>
        <w:spacing w:line="240" w:lineRule="auto"/>
        <w:textAlignment w:val="auto"/>
        <w:rPr>
          <w:sz w:val="20"/>
          <w:szCs w:val="20"/>
          <w:lang w:val="en-US"/>
        </w:rPr>
      </w:pPr>
    </w:p>
    <w:p w14:paraId="2D916FF2" w14:textId="2C489F28" w:rsidR="009D661E" w:rsidRPr="00AC57EA" w:rsidRDefault="00B7258C" w:rsidP="009D661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 xml:space="preserve">The </w:t>
      </w:r>
      <w:r w:rsidRPr="00AC57EA">
        <w:rPr>
          <w:rFonts w:eastAsia="MS Mincho"/>
          <w:b/>
          <w:bCs/>
          <w:i/>
          <w:iCs/>
          <w:sz w:val="20"/>
          <w:szCs w:val="20"/>
          <w:lang w:val="en-US" w:bidi="en-US"/>
        </w:rPr>
        <w:t>Commission</w:t>
      </w:r>
      <w:r w:rsidR="009D661E" w:rsidRPr="00AC57EA">
        <w:rPr>
          <w:rFonts w:eastAsia="MS Mincho"/>
          <w:sz w:val="20"/>
          <w:szCs w:val="20"/>
          <w:lang w:val="en-US" w:bidi="en-US"/>
        </w:rPr>
        <w:t xml:space="preserve"> </w:t>
      </w:r>
      <w:r w:rsidR="008B23F9" w:rsidRPr="00AC57EA">
        <w:rPr>
          <w:rFonts w:eastAsia="MS Mincho"/>
          <w:sz w:val="20"/>
          <w:szCs w:val="20"/>
          <w:lang w:val="en-US" w:bidi="en-US"/>
        </w:rPr>
        <w:t>did not refer specifically to this measure of reparation.</w:t>
      </w:r>
    </w:p>
    <w:p w14:paraId="3F8058B4" w14:textId="77777777" w:rsidR="009D661E" w:rsidRPr="00AC57EA" w:rsidRDefault="009D661E" w:rsidP="009D661E">
      <w:pPr>
        <w:tabs>
          <w:tab w:val="left" w:pos="567"/>
        </w:tabs>
        <w:spacing w:line="240" w:lineRule="auto"/>
        <w:textAlignment w:val="auto"/>
        <w:rPr>
          <w:sz w:val="20"/>
          <w:szCs w:val="20"/>
          <w:lang w:val="en-US"/>
        </w:rPr>
      </w:pPr>
    </w:p>
    <w:p w14:paraId="39D7B74D" w14:textId="38CD35AD" w:rsidR="009D661E" w:rsidRPr="00AC57EA" w:rsidRDefault="00B7258C" w:rsidP="008B23F9">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The Court</w:t>
      </w:r>
      <w:r w:rsidR="009D661E" w:rsidRPr="00AC57EA">
        <w:rPr>
          <w:sz w:val="20"/>
          <w:szCs w:val="20"/>
          <w:lang w:val="en-US"/>
        </w:rPr>
        <w:t xml:space="preserve"> ha</w:t>
      </w:r>
      <w:r w:rsidR="008B23F9" w:rsidRPr="00AC57EA">
        <w:rPr>
          <w:sz w:val="20"/>
          <w:szCs w:val="20"/>
          <w:lang w:val="en-US"/>
        </w:rPr>
        <w:t xml:space="preserve">s established in this judgment that the facts of the case had serious effects on </w:t>
      </w:r>
      <w:r w:rsidR="009D661E" w:rsidRPr="00AC57EA">
        <w:rPr>
          <w:sz w:val="20"/>
          <w:szCs w:val="20"/>
          <w:lang w:val="en-US"/>
        </w:rPr>
        <w:t>V.R.P.</w:t>
      </w:r>
      <w:r w:rsidR="00171E27" w:rsidRPr="00AC57EA">
        <w:rPr>
          <w:sz w:val="20"/>
          <w:szCs w:val="20"/>
          <w:lang w:val="en-US"/>
        </w:rPr>
        <w:t xml:space="preserve"> and </w:t>
      </w:r>
      <w:r w:rsidR="008B23F9" w:rsidRPr="00AC57EA">
        <w:rPr>
          <w:sz w:val="20"/>
          <w:szCs w:val="20"/>
          <w:lang w:val="en-US"/>
        </w:rPr>
        <w:t>the members of her family</w:t>
      </w:r>
      <w:r w:rsidR="00E62451" w:rsidRPr="00AC57EA">
        <w:rPr>
          <w:sz w:val="20"/>
          <w:szCs w:val="20"/>
          <w:lang w:val="en-US"/>
        </w:rPr>
        <w:t xml:space="preserve"> that</w:t>
      </w:r>
      <w:r w:rsidR="008B23F9" w:rsidRPr="00AC57EA">
        <w:rPr>
          <w:sz w:val="20"/>
          <w:szCs w:val="20"/>
          <w:lang w:val="en-US"/>
        </w:rPr>
        <w:t xml:space="preserve"> have persisted over time and that resulted in significant changes both in their lives and in their personal and social relationships, impairing their personal development </w:t>
      </w:r>
      <w:r w:rsidR="009D661E" w:rsidRPr="00AC57EA">
        <w:rPr>
          <w:sz w:val="20"/>
          <w:szCs w:val="20"/>
          <w:lang w:val="en-US"/>
        </w:rPr>
        <w:t>(</w:t>
      </w:r>
      <w:r w:rsidR="009D661E" w:rsidRPr="00AC57EA">
        <w:rPr>
          <w:i/>
          <w:sz w:val="20"/>
          <w:szCs w:val="20"/>
          <w:lang w:val="en-US"/>
        </w:rPr>
        <w:t>supra</w:t>
      </w:r>
      <w:r w:rsidR="009D661E" w:rsidRPr="00AC57EA">
        <w:rPr>
          <w:sz w:val="20"/>
          <w:szCs w:val="20"/>
          <w:lang w:val="en-US"/>
        </w:rPr>
        <w:t xml:space="preserve"> </w:t>
      </w:r>
      <w:r w:rsidR="00171E27" w:rsidRPr="00AC57EA">
        <w:rPr>
          <w:sz w:val="20"/>
          <w:szCs w:val="20"/>
          <w:lang w:val="en-US"/>
        </w:rPr>
        <w:t>paras.</w:t>
      </w:r>
      <w:r w:rsidR="009D661E" w:rsidRPr="00AC57EA">
        <w:rPr>
          <w:sz w:val="20"/>
          <w:szCs w:val="20"/>
          <w:lang w:val="en-US"/>
        </w:rPr>
        <w:t xml:space="preserve"> </w:t>
      </w:r>
      <w:r w:rsidR="0044295D" w:rsidRPr="00AC57EA">
        <w:rPr>
          <w:sz w:val="20"/>
          <w:szCs w:val="20"/>
          <w:lang w:val="en-US"/>
        </w:rPr>
        <w:t>25</w:t>
      </w:r>
      <w:r w:rsidR="00171E27" w:rsidRPr="00AC57EA">
        <w:rPr>
          <w:sz w:val="20"/>
          <w:szCs w:val="20"/>
          <w:lang w:val="en-US"/>
        </w:rPr>
        <w:t xml:space="preserve"> and </w:t>
      </w:r>
      <w:r w:rsidR="0044295D" w:rsidRPr="00AC57EA">
        <w:rPr>
          <w:sz w:val="20"/>
          <w:szCs w:val="20"/>
          <w:lang w:val="en-US"/>
        </w:rPr>
        <w:t>299</w:t>
      </w:r>
      <w:r w:rsidR="00171E27" w:rsidRPr="00AC57EA">
        <w:rPr>
          <w:sz w:val="20"/>
          <w:szCs w:val="20"/>
          <w:lang w:val="en-US"/>
        </w:rPr>
        <w:t xml:space="preserve"> and </w:t>
      </w:r>
      <w:r w:rsidR="00B61370" w:rsidRPr="00AC57EA">
        <w:rPr>
          <w:sz w:val="20"/>
          <w:szCs w:val="20"/>
          <w:lang w:val="en-US"/>
        </w:rPr>
        <w:t>Chapter</w:t>
      </w:r>
      <w:r w:rsidR="0044295D" w:rsidRPr="00AC57EA">
        <w:rPr>
          <w:sz w:val="20"/>
          <w:szCs w:val="20"/>
          <w:lang w:val="en-US"/>
        </w:rPr>
        <w:t xml:space="preserve"> VIII-3</w:t>
      </w:r>
      <w:r w:rsidR="009D661E" w:rsidRPr="00AC57EA">
        <w:rPr>
          <w:sz w:val="20"/>
          <w:szCs w:val="20"/>
          <w:lang w:val="en-US"/>
        </w:rPr>
        <w:t>).</w:t>
      </w:r>
      <w:r w:rsidR="009D661E" w:rsidRPr="00AC57EA">
        <w:rPr>
          <w:rFonts w:cs="Arial"/>
          <w:sz w:val="20"/>
          <w:szCs w:val="20"/>
          <w:lang w:val="en-US"/>
        </w:rPr>
        <w:t xml:space="preserve"> </w:t>
      </w:r>
      <w:r w:rsidR="008B23F9" w:rsidRPr="00AC57EA">
        <w:rPr>
          <w:rFonts w:cs="Arial"/>
          <w:sz w:val="20"/>
          <w:szCs w:val="20"/>
          <w:lang w:val="en-US"/>
        </w:rPr>
        <w:t>I</w:t>
      </w:r>
      <w:r w:rsidR="009D661E" w:rsidRPr="00AC57EA">
        <w:rPr>
          <w:rFonts w:cs="Arial"/>
          <w:sz w:val="20"/>
          <w:szCs w:val="20"/>
          <w:lang w:val="en-US"/>
        </w:rPr>
        <w:t xml:space="preserve">n particular, </w:t>
      </w:r>
      <w:r w:rsidRPr="00AC57EA">
        <w:rPr>
          <w:rFonts w:cs="Arial"/>
          <w:sz w:val="20"/>
          <w:szCs w:val="20"/>
          <w:lang w:val="en-US"/>
        </w:rPr>
        <w:t>the Court</w:t>
      </w:r>
      <w:r w:rsidR="009D661E" w:rsidRPr="00AC57EA">
        <w:rPr>
          <w:rFonts w:cs="Arial"/>
          <w:sz w:val="20"/>
          <w:szCs w:val="20"/>
          <w:lang w:val="en-US"/>
        </w:rPr>
        <w:t xml:space="preserve"> </w:t>
      </w:r>
      <w:r w:rsidR="008B23F9" w:rsidRPr="00AC57EA">
        <w:rPr>
          <w:rFonts w:cs="Arial"/>
          <w:sz w:val="20"/>
          <w:szCs w:val="20"/>
          <w:lang w:val="en-US"/>
        </w:rPr>
        <w:t xml:space="preserve">underscores that the events </w:t>
      </w:r>
      <w:r w:rsidR="00E62451" w:rsidRPr="00AC57EA">
        <w:rPr>
          <w:rFonts w:cs="Arial"/>
          <w:sz w:val="20"/>
          <w:szCs w:val="20"/>
          <w:lang w:val="en-US"/>
        </w:rPr>
        <w:t xml:space="preserve">occurred </w:t>
      </w:r>
      <w:r w:rsidR="008B23F9" w:rsidRPr="00AC57EA">
        <w:rPr>
          <w:rFonts w:cs="Arial"/>
          <w:sz w:val="20"/>
          <w:szCs w:val="20"/>
          <w:lang w:val="en-US"/>
        </w:rPr>
        <w:t xml:space="preserve">during V.R.P.’s school years, and she was obliged to </w:t>
      </w:r>
      <w:r w:rsidR="00817C9D" w:rsidRPr="00AC57EA">
        <w:rPr>
          <w:rFonts w:cs="Arial"/>
          <w:sz w:val="20"/>
          <w:szCs w:val="20"/>
          <w:lang w:val="en-US"/>
        </w:rPr>
        <w:t>leave school and, subsequently, move to the United States. According to her statement during the hearing, currently she is attending university in the United States “to try and help children who have similar experiences.” In addition, her brother, V.A.R.P., stated that the stigmatization and revictimization experienced during the criminal proceedings, as well as the subsequent break-up of the family</w:t>
      </w:r>
      <w:r w:rsidR="00E62451" w:rsidRPr="00AC57EA">
        <w:rPr>
          <w:rFonts w:cs="Arial"/>
          <w:sz w:val="20"/>
          <w:szCs w:val="20"/>
          <w:lang w:val="en-US"/>
        </w:rPr>
        <w:t>,</w:t>
      </w:r>
      <w:r w:rsidR="00817C9D" w:rsidRPr="00AC57EA">
        <w:rPr>
          <w:rFonts w:cs="Arial"/>
          <w:sz w:val="20"/>
          <w:szCs w:val="20"/>
          <w:lang w:val="en-US"/>
        </w:rPr>
        <w:t xml:space="preserve"> made it impossible for him to conclude his university education.</w:t>
      </w:r>
      <w:r w:rsidR="000F093D" w:rsidRPr="00AC57EA">
        <w:rPr>
          <w:rStyle w:val="Refdenotaalpie"/>
          <w:rFonts w:cs="Arial"/>
          <w:sz w:val="20"/>
          <w:szCs w:val="20"/>
          <w:lang w:val="en-US"/>
        </w:rPr>
        <w:footnoteReference w:id="431"/>
      </w:r>
    </w:p>
    <w:p w14:paraId="239FCA82" w14:textId="77777777" w:rsidR="009D661E" w:rsidRPr="00AC57EA" w:rsidRDefault="009D661E" w:rsidP="009D661E">
      <w:pPr>
        <w:pStyle w:val="Prrafodelista"/>
        <w:spacing w:line="240" w:lineRule="auto"/>
        <w:rPr>
          <w:rFonts w:cs="Arial"/>
          <w:sz w:val="20"/>
          <w:szCs w:val="20"/>
          <w:lang w:val="en-US"/>
        </w:rPr>
      </w:pPr>
    </w:p>
    <w:p w14:paraId="4428A648" w14:textId="22027097" w:rsidR="009D661E" w:rsidRPr="00AC57EA" w:rsidRDefault="00817C9D" w:rsidP="00817C9D">
      <w:pPr>
        <w:numPr>
          <w:ilvl w:val="0"/>
          <w:numId w:val="2"/>
        </w:numPr>
        <w:tabs>
          <w:tab w:val="left" w:pos="567"/>
          <w:tab w:val="num" w:pos="5057"/>
        </w:tabs>
        <w:spacing w:line="240" w:lineRule="auto"/>
        <w:ind w:left="0" w:firstLine="0"/>
        <w:textAlignment w:val="auto"/>
        <w:rPr>
          <w:rFonts w:eastAsia="MS Mincho"/>
          <w:b/>
          <w:sz w:val="20"/>
          <w:szCs w:val="20"/>
          <w:lang w:val="en-US" w:bidi="en-US"/>
        </w:rPr>
      </w:pPr>
      <w:r w:rsidRPr="00AC57EA">
        <w:rPr>
          <w:rFonts w:cs="Arial"/>
          <w:sz w:val="20"/>
          <w:szCs w:val="20"/>
          <w:lang w:val="en-US"/>
        </w:rPr>
        <w:t>Based on the foregoing, as it has in other cases,</w:t>
      </w:r>
      <w:r w:rsidR="009D661E" w:rsidRPr="00AC57EA">
        <w:rPr>
          <w:rStyle w:val="Refdenotaalpie"/>
          <w:rFonts w:eastAsia="Calibri" w:cs="Arial"/>
          <w:sz w:val="20"/>
          <w:szCs w:val="20"/>
          <w:lang w:val="en-US"/>
        </w:rPr>
        <w:footnoteReference w:id="432"/>
      </w:r>
      <w:r w:rsidR="009D661E" w:rsidRPr="00AC57EA">
        <w:rPr>
          <w:rFonts w:cs="Arial"/>
          <w:sz w:val="20"/>
          <w:szCs w:val="20"/>
          <w:lang w:val="en-US"/>
        </w:rPr>
        <w:t xml:space="preserve"> </w:t>
      </w:r>
      <w:r w:rsidR="00B7258C" w:rsidRPr="00AC57EA">
        <w:rPr>
          <w:rFonts w:cs="Arial"/>
          <w:sz w:val="20"/>
          <w:szCs w:val="20"/>
          <w:lang w:val="en-US"/>
        </w:rPr>
        <w:t>the Court</w:t>
      </w:r>
      <w:r w:rsidR="009D661E" w:rsidRPr="00AC57EA">
        <w:rPr>
          <w:rFonts w:cs="Arial"/>
          <w:sz w:val="20"/>
          <w:szCs w:val="20"/>
          <w:lang w:val="en-US"/>
        </w:rPr>
        <w:t xml:space="preserve"> </w:t>
      </w:r>
      <w:r w:rsidRPr="00AC57EA">
        <w:rPr>
          <w:rFonts w:cs="Arial"/>
          <w:sz w:val="20"/>
          <w:szCs w:val="20"/>
          <w:lang w:val="en-US"/>
        </w:rPr>
        <w:t xml:space="preserve">finds it appropriate to order, as a measure of </w:t>
      </w:r>
      <w:r w:rsidR="00474CE5" w:rsidRPr="00AC57EA">
        <w:rPr>
          <w:rFonts w:cs="Arial"/>
          <w:sz w:val="20"/>
          <w:szCs w:val="20"/>
          <w:lang w:val="en-US"/>
        </w:rPr>
        <w:t>satisfaction</w:t>
      </w:r>
      <w:r w:rsidR="009D661E" w:rsidRPr="00AC57EA">
        <w:rPr>
          <w:rFonts w:cs="Arial"/>
          <w:sz w:val="20"/>
          <w:szCs w:val="20"/>
          <w:lang w:val="en-US"/>
        </w:rPr>
        <w:t xml:space="preserve"> </w:t>
      </w:r>
      <w:r w:rsidRPr="00AC57EA">
        <w:rPr>
          <w:rFonts w:cs="Arial"/>
          <w:sz w:val="20"/>
          <w:szCs w:val="20"/>
          <w:lang w:val="en-US"/>
        </w:rPr>
        <w:t>in this case, that</w:t>
      </w:r>
      <w:r w:rsidR="009D661E" w:rsidRPr="00AC57EA">
        <w:rPr>
          <w:rFonts w:cs="Arial"/>
          <w:sz w:val="20"/>
          <w:szCs w:val="20"/>
          <w:lang w:val="en-US"/>
        </w:rPr>
        <w:t xml:space="preserve"> </w:t>
      </w:r>
      <w:r w:rsidR="00EC52D7" w:rsidRPr="00AC57EA">
        <w:rPr>
          <w:rFonts w:cs="Arial"/>
          <w:sz w:val="20"/>
          <w:szCs w:val="20"/>
          <w:lang w:val="en-US"/>
        </w:rPr>
        <w:t>the State</w:t>
      </w:r>
      <w:r w:rsidR="009D661E" w:rsidRPr="00AC57EA">
        <w:rPr>
          <w:rFonts w:cs="Arial"/>
          <w:sz w:val="20"/>
          <w:szCs w:val="20"/>
          <w:lang w:val="en-US"/>
        </w:rPr>
        <w:t xml:space="preserve"> </w:t>
      </w:r>
      <w:r w:rsidRPr="00AC57EA">
        <w:rPr>
          <w:rFonts w:cs="Arial"/>
          <w:sz w:val="20"/>
          <w:szCs w:val="20"/>
          <w:lang w:val="en-US"/>
        </w:rPr>
        <w:t>grant</w:t>
      </w:r>
      <w:r w:rsidR="009D661E" w:rsidRPr="00AC57EA">
        <w:rPr>
          <w:rFonts w:cs="Arial"/>
          <w:sz w:val="20"/>
          <w:szCs w:val="20"/>
          <w:lang w:val="en-US"/>
        </w:rPr>
        <w:t xml:space="preserve"> V.R.P.</w:t>
      </w:r>
      <w:r w:rsidR="009D661E" w:rsidRPr="00AC57EA">
        <w:rPr>
          <w:sz w:val="20"/>
          <w:szCs w:val="20"/>
          <w:lang w:val="en-US"/>
        </w:rPr>
        <w:t xml:space="preserve">, </w:t>
      </w:r>
      <w:r w:rsidRPr="00AC57EA">
        <w:rPr>
          <w:sz w:val="20"/>
          <w:szCs w:val="20"/>
          <w:lang w:val="en-US"/>
        </w:rPr>
        <w:t>once</w:t>
      </w:r>
      <w:r w:rsidR="009D661E" w:rsidRPr="00AC57EA">
        <w:rPr>
          <w:sz w:val="20"/>
          <w:szCs w:val="20"/>
          <w:lang w:val="en-US"/>
        </w:rPr>
        <w:t xml:space="preserve">, </w:t>
      </w:r>
      <w:r w:rsidR="00E62451" w:rsidRPr="00AC57EA">
        <w:rPr>
          <w:sz w:val="20"/>
          <w:szCs w:val="20"/>
          <w:lang w:val="en-US"/>
        </w:rPr>
        <w:t>the</w:t>
      </w:r>
      <w:r w:rsidRPr="00AC57EA">
        <w:rPr>
          <w:sz w:val="20"/>
          <w:szCs w:val="20"/>
          <w:lang w:val="en-US"/>
        </w:rPr>
        <w:t xml:space="preserve"> sum of</w:t>
      </w:r>
      <w:r w:rsidR="009D661E" w:rsidRPr="00AC57EA">
        <w:rPr>
          <w:sz w:val="20"/>
          <w:szCs w:val="20"/>
          <w:lang w:val="en-US"/>
        </w:rPr>
        <w:t xml:space="preserve"> US$</w:t>
      </w:r>
      <w:r w:rsidR="00FB01D2" w:rsidRPr="00AC57EA">
        <w:rPr>
          <w:sz w:val="20"/>
          <w:szCs w:val="20"/>
          <w:lang w:val="en-US"/>
        </w:rPr>
        <w:t>1</w:t>
      </w:r>
      <w:r w:rsidR="00FC3BF6" w:rsidRPr="00AC57EA">
        <w:rPr>
          <w:sz w:val="20"/>
          <w:szCs w:val="20"/>
          <w:lang w:val="en-US"/>
        </w:rPr>
        <w:t>5</w:t>
      </w:r>
      <w:r w:rsidR="00FB01D2" w:rsidRPr="00AC57EA">
        <w:rPr>
          <w:sz w:val="20"/>
          <w:szCs w:val="20"/>
          <w:lang w:val="en-US"/>
        </w:rPr>
        <w:t>0</w:t>
      </w:r>
      <w:r w:rsidR="00474CE5" w:rsidRPr="00AC57EA">
        <w:rPr>
          <w:sz w:val="20"/>
          <w:szCs w:val="20"/>
          <w:lang w:val="en-US"/>
        </w:rPr>
        <w:t>,000.00</w:t>
      </w:r>
      <w:r w:rsidR="009D661E" w:rsidRPr="00AC57EA">
        <w:rPr>
          <w:sz w:val="20"/>
          <w:szCs w:val="20"/>
          <w:lang w:val="en-US"/>
        </w:rPr>
        <w:t xml:space="preserve"> (</w:t>
      </w:r>
      <w:r w:rsidRPr="00AC57EA">
        <w:rPr>
          <w:sz w:val="20"/>
          <w:szCs w:val="20"/>
          <w:lang w:val="en-US"/>
        </w:rPr>
        <w:t>one hundred and fifty</w:t>
      </w:r>
      <w:r w:rsidR="009D661E" w:rsidRPr="00AC57EA">
        <w:rPr>
          <w:sz w:val="20"/>
          <w:szCs w:val="20"/>
          <w:lang w:val="en-US"/>
        </w:rPr>
        <w:t xml:space="preserve"> </w:t>
      </w:r>
      <w:r w:rsidR="006B773E" w:rsidRPr="00AC57EA">
        <w:rPr>
          <w:sz w:val="20"/>
          <w:szCs w:val="20"/>
          <w:lang w:val="en-US"/>
        </w:rPr>
        <w:t>thousand United States dollars</w:t>
      </w:r>
      <w:r w:rsidR="009D661E" w:rsidRPr="00AC57EA">
        <w:rPr>
          <w:sz w:val="20"/>
          <w:szCs w:val="20"/>
          <w:lang w:val="en-US"/>
        </w:rPr>
        <w:t xml:space="preserve">), </w:t>
      </w:r>
      <w:r w:rsidRPr="00AC57EA">
        <w:rPr>
          <w:sz w:val="20"/>
          <w:szCs w:val="20"/>
          <w:lang w:val="en-US"/>
        </w:rPr>
        <w:t>to be able to cover the necessary expenses to conclude her professional training in the place where she resides. The State has one year from</w:t>
      </w:r>
      <w:r w:rsidRPr="00AC57EA">
        <w:rPr>
          <w:rFonts w:eastAsia="MS Mincho"/>
          <w:b/>
          <w:sz w:val="20"/>
          <w:szCs w:val="20"/>
          <w:lang w:val="en-US" w:bidi="en-US"/>
        </w:rPr>
        <w:t xml:space="preserve"> </w:t>
      </w:r>
      <w:r w:rsidR="007E72AE" w:rsidRPr="00AC57EA">
        <w:rPr>
          <w:rFonts w:eastAsia="MS Mincho"/>
          <w:sz w:val="20"/>
          <w:szCs w:val="20"/>
          <w:lang w:val="en-US" w:bidi="en-US"/>
        </w:rPr>
        <w:t>notification</w:t>
      </w:r>
      <w:r w:rsidR="009D661E" w:rsidRPr="00AC57EA">
        <w:rPr>
          <w:rFonts w:eastAsia="MS Mincho"/>
          <w:sz w:val="20"/>
          <w:szCs w:val="20"/>
          <w:lang w:val="en-US" w:bidi="en-US"/>
        </w:rPr>
        <w:t xml:space="preserve"> </w:t>
      </w:r>
      <w:r w:rsidR="00171E27" w:rsidRPr="00AC57EA">
        <w:rPr>
          <w:rFonts w:eastAsia="MS Mincho"/>
          <w:sz w:val="20"/>
          <w:szCs w:val="20"/>
          <w:lang w:val="en-US" w:bidi="en-US"/>
        </w:rPr>
        <w:t>of this judgment</w:t>
      </w:r>
      <w:r w:rsidRPr="00AC57EA">
        <w:rPr>
          <w:rFonts w:eastAsia="MS Mincho"/>
          <w:sz w:val="20"/>
          <w:szCs w:val="20"/>
          <w:lang w:val="en-US" w:bidi="en-US"/>
        </w:rPr>
        <w:t xml:space="preserve"> to pay V.R.P. the amount ordered.</w:t>
      </w:r>
    </w:p>
    <w:p w14:paraId="667FF5D1" w14:textId="77777777" w:rsidR="009D661E" w:rsidRPr="00AC57EA" w:rsidRDefault="009D661E" w:rsidP="009D661E">
      <w:pPr>
        <w:pStyle w:val="Prrafodelista"/>
        <w:spacing w:line="240" w:lineRule="auto"/>
        <w:rPr>
          <w:rFonts w:eastAsia="MS Mincho"/>
          <w:b/>
          <w:sz w:val="20"/>
          <w:szCs w:val="20"/>
          <w:lang w:val="en-US" w:bidi="en-US"/>
        </w:rPr>
      </w:pPr>
    </w:p>
    <w:p w14:paraId="56062EB6" w14:textId="035BF9B9" w:rsidR="009D661E" w:rsidRPr="00AC57EA" w:rsidRDefault="00817C9D" w:rsidP="00817C9D">
      <w:pPr>
        <w:numPr>
          <w:ilvl w:val="0"/>
          <w:numId w:val="2"/>
        </w:numPr>
        <w:tabs>
          <w:tab w:val="left" w:pos="567"/>
          <w:tab w:val="num" w:pos="5057"/>
        </w:tabs>
        <w:spacing w:line="240" w:lineRule="auto"/>
        <w:ind w:left="0" w:firstLine="0"/>
        <w:textAlignment w:val="auto"/>
        <w:rPr>
          <w:rFonts w:cs="Verdana"/>
          <w:sz w:val="20"/>
          <w:szCs w:val="20"/>
          <w:lang w:val="en-US"/>
        </w:rPr>
      </w:pPr>
      <w:r w:rsidRPr="00AC57EA">
        <w:rPr>
          <w:rFonts w:cs="Arial"/>
          <w:sz w:val="20"/>
          <w:szCs w:val="20"/>
          <w:lang w:val="en-US"/>
        </w:rPr>
        <w:t xml:space="preserve">Furthermore, </w:t>
      </w:r>
      <w:r w:rsidR="00B7258C" w:rsidRPr="00AC57EA">
        <w:rPr>
          <w:rFonts w:cs="Arial"/>
          <w:sz w:val="20"/>
          <w:szCs w:val="20"/>
          <w:lang w:val="en-US"/>
        </w:rPr>
        <w:t>the Court</w:t>
      </w:r>
      <w:r w:rsidR="009D661E" w:rsidRPr="00AC57EA">
        <w:rPr>
          <w:rFonts w:cs="Arial"/>
          <w:sz w:val="20"/>
          <w:szCs w:val="20"/>
          <w:lang w:val="en-US"/>
        </w:rPr>
        <w:t xml:space="preserve"> </w:t>
      </w:r>
      <w:r w:rsidRPr="00AC57EA">
        <w:rPr>
          <w:rFonts w:cs="Arial"/>
          <w:sz w:val="20"/>
          <w:szCs w:val="20"/>
          <w:lang w:val="en-US"/>
        </w:rPr>
        <w:t>establishes that the</w:t>
      </w:r>
      <w:r w:rsidR="00EC52D7" w:rsidRPr="00AC57EA">
        <w:rPr>
          <w:rFonts w:cs="Arial"/>
          <w:sz w:val="20"/>
          <w:szCs w:val="20"/>
          <w:lang w:val="en-US"/>
        </w:rPr>
        <w:t xml:space="preserve"> State </w:t>
      </w:r>
      <w:r w:rsidRPr="00AC57EA">
        <w:rPr>
          <w:rFonts w:cs="Arial"/>
          <w:sz w:val="20"/>
          <w:szCs w:val="20"/>
          <w:lang w:val="en-US"/>
        </w:rPr>
        <w:t xml:space="preserve">must grant V.A.R.P a scholarship in a Nicaraguan public institution, to be agreed between him and the State, so that he may pursue university or higher technical studies, or </w:t>
      </w:r>
      <w:r w:rsidR="004A0B59" w:rsidRPr="00AC57EA">
        <w:rPr>
          <w:rFonts w:cs="Arial"/>
          <w:sz w:val="20"/>
          <w:szCs w:val="20"/>
          <w:lang w:val="en-US"/>
        </w:rPr>
        <w:t xml:space="preserve">professional training. The State must award this scholarship as soon as the beneficiary requests it and until the conclusion of his university or higher technical studies and </w:t>
      </w:r>
      <w:r w:rsidR="00E62451" w:rsidRPr="00AC57EA">
        <w:rPr>
          <w:rFonts w:cs="Arial"/>
          <w:sz w:val="20"/>
          <w:szCs w:val="20"/>
          <w:lang w:val="en-US"/>
        </w:rPr>
        <w:t xml:space="preserve">it </w:t>
      </w:r>
      <w:r w:rsidR="004A0B59" w:rsidRPr="00AC57EA">
        <w:rPr>
          <w:rFonts w:cs="Arial"/>
          <w:sz w:val="20"/>
          <w:szCs w:val="20"/>
          <w:lang w:val="en-US"/>
        </w:rPr>
        <w:t xml:space="preserve">must cover all the expenses until he completes these studies, including educational materials. In addition, this measure should be implemented as soon as possible following notification of this judgment, so that the beneficiary may commence his studies the following academic year if he so wishes. The victim or his representatives have six months from </w:t>
      </w:r>
      <w:r w:rsidR="004A0B59" w:rsidRPr="00AC57EA">
        <w:rPr>
          <w:sz w:val="20"/>
          <w:szCs w:val="20"/>
          <w:lang w:val="en-US"/>
        </w:rPr>
        <w:t xml:space="preserve">notification of this judgment to advise the State of his intention </w:t>
      </w:r>
      <w:r w:rsidR="00E62451" w:rsidRPr="00AC57EA">
        <w:rPr>
          <w:sz w:val="20"/>
          <w:szCs w:val="20"/>
          <w:lang w:val="en-US"/>
        </w:rPr>
        <w:t>to</w:t>
      </w:r>
      <w:r w:rsidR="004A0B59" w:rsidRPr="00AC57EA">
        <w:rPr>
          <w:sz w:val="20"/>
          <w:szCs w:val="20"/>
          <w:lang w:val="en-US"/>
        </w:rPr>
        <w:t xml:space="preserve"> receiv</w:t>
      </w:r>
      <w:r w:rsidR="00E62451" w:rsidRPr="00AC57EA">
        <w:rPr>
          <w:sz w:val="20"/>
          <w:szCs w:val="20"/>
          <w:lang w:val="en-US"/>
        </w:rPr>
        <w:t>e</w:t>
      </w:r>
      <w:r w:rsidR="004A0B59" w:rsidRPr="00AC57EA">
        <w:rPr>
          <w:sz w:val="20"/>
          <w:szCs w:val="20"/>
          <w:lang w:val="en-US"/>
        </w:rPr>
        <w:t xml:space="preserve"> this scholarship.</w:t>
      </w:r>
    </w:p>
    <w:p w14:paraId="463AE983" w14:textId="77777777" w:rsidR="009D661E" w:rsidRPr="00AC57EA" w:rsidRDefault="009D661E" w:rsidP="009D661E">
      <w:pPr>
        <w:tabs>
          <w:tab w:val="left" w:pos="720"/>
        </w:tabs>
        <w:spacing w:line="240" w:lineRule="auto"/>
        <w:ind w:right="-90"/>
        <w:rPr>
          <w:rFonts w:cs="Verdana"/>
          <w:sz w:val="20"/>
          <w:szCs w:val="20"/>
          <w:lang w:val="en-US"/>
        </w:rPr>
      </w:pPr>
    </w:p>
    <w:p w14:paraId="5D1D27EC" w14:textId="246B0037" w:rsidR="00047EC8" w:rsidRPr="00AC57EA" w:rsidRDefault="009D661E" w:rsidP="00DF3D71">
      <w:pPr>
        <w:pStyle w:val="Ttulo2"/>
        <w:tabs>
          <w:tab w:val="left" w:pos="1843"/>
        </w:tabs>
        <w:spacing w:before="0" w:line="240" w:lineRule="auto"/>
        <w:ind w:left="1134"/>
        <w:rPr>
          <w:i/>
          <w:color w:val="auto"/>
          <w:sz w:val="20"/>
          <w:szCs w:val="20"/>
          <w:lang w:val="en-US"/>
        </w:rPr>
      </w:pPr>
      <w:bookmarkStart w:id="160" w:name="_Toc495658699"/>
      <w:bookmarkStart w:id="161" w:name="_Toc514172667"/>
      <w:r w:rsidRPr="00AC57EA">
        <w:rPr>
          <w:rFonts w:ascii="Verdana" w:hAnsi="Verdana"/>
          <w:b w:val="0"/>
          <w:i/>
          <w:color w:val="auto"/>
          <w:sz w:val="20"/>
          <w:szCs w:val="20"/>
          <w:lang w:val="en-US"/>
        </w:rPr>
        <w:t xml:space="preserve">C.3 </w:t>
      </w:r>
      <w:r w:rsidRPr="00AC57EA">
        <w:rPr>
          <w:rFonts w:ascii="Verdana" w:hAnsi="Verdana"/>
          <w:b w:val="0"/>
          <w:i/>
          <w:color w:val="auto"/>
          <w:sz w:val="20"/>
          <w:szCs w:val="20"/>
          <w:lang w:val="en-US"/>
        </w:rPr>
        <w:tab/>
      </w:r>
      <w:r w:rsidR="00474CE5" w:rsidRPr="00AC57EA">
        <w:rPr>
          <w:rFonts w:ascii="Verdana" w:hAnsi="Verdana"/>
          <w:b w:val="0"/>
          <w:i/>
          <w:color w:val="auto"/>
          <w:sz w:val="20"/>
          <w:szCs w:val="20"/>
          <w:lang w:val="en-US"/>
        </w:rPr>
        <w:t>Guarantees of non-repetition</w:t>
      </w:r>
      <w:bookmarkEnd w:id="160"/>
      <w:bookmarkEnd w:id="161"/>
    </w:p>
    <w:p w14:paraId="429160B3" w14:textId="77777777" w:rsidR="00047EC8" w:rsidRPr="00AC57EA" w:rsidRDefault="00047EC8" w:rsidP="006A271A">
      <w:pPr>
        <w:spacing w:line="240" w:lineRule="auto"/>
        <w:rPr>
          <w:i/>
          <w:sz w:val="20"/>
          <w:szCs w:val="20"/>
          <w:lang w:val="en-US"/>
        </w:rPr>
      </w:pPr>
    </w:p>
    <w:p w14:paraId="5E37964E" w14:textId="0E81E448" w:rsidR="009D661E" w:rsidRPr="00AC57EA" w:rsidRDefault="004A0B59" w:rsidP="006A271A">
      <w:pPr>
        <w:pStyle w:val="Prrafodelista"/>
        <w:numPr>
          <w:ilvl w:val="0"/>
          <w:numId w:val="18"/>
        </w:numPr>
        <w:spacing w:line="240" w:lineRule="auto"/>
        <w:rPr>
          <w:lang w:val="en-US"/>
        </w:rPr>
      </w:pPr>
      <w:r w:rsidRPr="00AC57EA">
        <w:rPr>
          <w:i/>
          <w:sz w:val="20"/>
          <w:szCs w:val="20"/>
          <w:lang w:val="en-US"/>
        </w:rPr>
        <w:t>Measures to reinforce institutional capacity to address sexual violence against</w:t>
      </w:r>
      <w:r w:rsidR="00A224C6" w:rsidRPr="00AC57EA">
        <w:rPr>
          <w:i/>
          <w:sz w:val="20"/>
          <w:szCs w:val="20"/>
          <w:lang w:val="en-US"/>
        </w:rPr>
        <w:t xml:space="preserve"> </w:t>
      </w:r>
      <w:r w:rsidR="001567A9" w:rsidRPr="00AC57EA">
        <w:rPr>
          <w:i/>
          <w:sz w:val="20"/>
          <w:szCs w:val="20"/>
          <w:lang w:val="en-US"/>
        </w:rPr>
        <w:t>children and adolescents</w:t>
      </w:r>
      <w:r w:rsidRPr="00AC57EA">
        <w:rPr>
          <w:i/>
          <w:sz w:val="20"/>
          <w:szCs w:val="20"/>
          <w:lang w:val="en-US"/>
        </w:rPr>
        <w:t xml:space="preserve"> comprehensively</w:t>
      </w:r>
    </w:p>
    <w:p w14:paraId="158E2207" w14:textId="77777777" w:rsidR="009D661E" w:rsidRPr="00AC57EA" w:rsidRDefault="009D661E" w:rsidP="006A271A">
      <w:pPr>
        <w:tabs>
          <w:tab w:val="left" w:pos="567"/>
        </w:tabs>
        <w:spacing w:line="240" w:lineRule="auto"/>
        <w:textAlignment w:val="auto"/>
        <w:rPr>
          <w:rFonts w:eastAsia="MS Mincho"/>
          <w:sz w:val="20"/>
          <w:szCs w:val="20"/>
          <w:lang w:val="en-US" w:bidi="en-US"/>
        </w:rPr>
      </w:pPr>
    </w:p>
    <w:p w14:paraId="08BC2B68" w14:textId="0912B96B" w:rsidR="009D661E" w:rsidRPr="00AC57EA" w:rsidRDefault="00B7258C"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Commission</w:t>
      </w:r>
      <w:r w:rsidR="009D661E" w:rsidRPr="00AC57EA">
        <w:rPr>
          <w:rFonts w:eastAsia="MS Mincho"/>
          <w:sz w:val="20"/>
          <w:szCs w:val="20"/>
          <w:lang w:val="en-US" w:bidi="en-US"/>
        </w:rPr>
        <w:t xml:space="preserve"> </w:t>
      </w:r>
      <w:r w:rsidR="004A0B59" w:rsidRPr="00AC57EA">
        <w:rPr>
          <w:rFonts w:eastAsia="MS Mincho"/>
          <w:sz w:val="20"/>
          <w:szCs w:val="20"/>
          <w:lang w:val="en-US" w:bidi="en-US"/>
        </w:rPr>
        <w:t>asked</w:t>
      </w:r>
      <w:r w:rsidR="009D661E" w:rsidRPr="00AC57EA">
        <w:rPr>
          <w:sz w:val="20"/>
          <w:szCs w:val="20"/>
          <w:lang w:val="en-US"/>
        </w:rPr>
        <w:t xml:space="preserve"> </w:t>
      </w:r>
      <w:r w:rsidRPr="00AC57EA">
        <w:rPr>
          <w:sz w:val="20"/>
          <w:szCs w:val="20"/>
          <w:lang w:val="en-US"/>
        </w:rPr>
        <w:t>the Court</w:t>
      </w:r>
      <w:r w:rsidR="009D661E" w:rsidRPr="00AC57EA">
        <w:rPr>
          <w:sz w:val="20"/>
          <w:szCs w:val="20"/>
          <w:lang w:val="en-US"/>
        </w:rPr>
        <w:t xml:space="preserve"> </w:t>
      </w:r>
      <w:r w:rsidR="004A0B59" w:rsidRPr="00AC57EA">
        <w:rPr>
          <w:sz w:val="20"/>
          <w:szCs w:val="20"/>
          <w:lang w:val="en-US"/>
        </w:rPr>
        <w:t xml:space="preserve">to order the State to adopt public policies and integrated institutional programs to combat violence against women and girls as a form of discrimination, and to promote the elimination of discriminatory socio-cultural patterns that prevent their full access to justice. </w:t>
      </w:r>
    </w:p>
    <w:p w14:paraId="35D9E57C" w14:textId="77777777" w:rsidR="009D661E" w:rsidRPr="00AC57EA" w:rsidRDefault="009D661E" w:rsidP="009D661E">
      <w:pPr>
        <w:tabs>
          <w:tab w:val="left" w:pos="567"/>
        </w:tabs>
        <w:spacing w:line="240" w:lineRule="auto"/>
        <w:textAlignment w:val="auto"/>
        <w:rPr>
          <w:rFonts w:eastAsia="MS Mincho"/>
          <w:sz w:val="20"/>
          <w:szCs w:val="20"/>
          <w:lang w:val="en-US" w:bidi="en-US"/>
        </w:rPr>
      </w:pPr>
    </w:p>
    <w:p w14:paraId="3B812442" w14:textId="381A7282" w:rsidR="004A0B59" w:rsidRPr="00AC57EA" w:rsidRDefault="004A0B59"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It also asked that the Court order the State to reinforce institutional capacity to combat impunity in cases of rape and other forms of sexual violence against women and girls</w:t>
      </w:r>
      <w:r w:rsidR="009E17FB" w:rsidRPr="00AC57EA">
        <w:rPr>
          <w:rFonts w:eastAsia="MS Mincho"/>
          <w:sz w:val="20"/>
          <w:szCs w:val="20"/>
          <w:lang w:val="en-US" w:bidi="en-US"/>
        </w:rPr>
        <w:t xml:space="preserve"> by means of effective criminal investigations with a gender-based perspective, thus ensuring the appropriate punishment and redress.</w:t>
      </w:r>
    </w:p>
    <w:p w14:paraId="217554BE" w14:textId="77777777" w:rsidR="009D661E" w:rsidRPr="00AC57EA" w:rsidRDefault="009D661E" w:rsidP="009D661E">
      <w:pPr>
        <w:tabs>
          <w:tab w:val="left" w:pos="0"/>
          <w:tab w:val="num" w:pos="11028"/>
        </w:tabs>
        <w:spacing w:line="240" w:lineRule="auto"/>
        <w:ind w:right="-90"/>
        <w:rPr>
          <w:rFonts w:eastAsia="MS Mincho"/>
          <w:sz w:val="20"/>
          <w:szCs w:val="20"/>
          <w:lang w:val="en-US" w:bidi="en-US"/>
        </w:rPr>
      </w:pPr>
    </w:p>
    <w:p w14:paraId="2D40BD64" w14:textId="7AC53A49" w:rsidR="009D661E" w:rsidRPr="00AC57EA" w:rsidRDefault="00171E27" w:rsidP="009D661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iCs/>
          <w:sz w:val="20"/>
          <w:szCs w:val="20"/>
          <w:lang w:val="en-US" w:bidi="en-US"/>
        </w:rPr>
        <w:t xml:space="preserve">The </w:t>
      </w:r>
      <w:r w:rsidRPr="00AC57EA">
        <w:rPr>
          <w:rFonts w:eastAsia="MS Mincho"/>
          <w:b/>
          <w:bCs/>
          <w:i/>
          <w:sz w:val="20"/>
          <w:szCs w:val="20"/>
          <w:lang w:val="en-US" w:bidi="en-US"/>
        </w:rPr>
        <w:t>representatives</w:t>
      </w:r>
      <w:r w:rsidR="009D661E" w:rsidRPr="00AC57EA">
        <w:rPr>
          <w:rFonts w:eastAsia="MS Mincho"/>
          <w:sz w:val="20"/>
          <w:szCs w:val="20"/>
          <w:lang w:val="en-US" w:bidi="en-US"/>
        </w:rPr>
        <w:t xml:space="preserve"> </w:t>
      </w:r>
      <w:r w:rsidR="009E17FB" w:rsidRPr="00AC57EA">
        <w:rPr>
          <w:rFonts w:eastAsia="MS Mincho"/>
          <w:sz w:val="20"/>
          <w:szCs w:val="20"/>
          <w:lang w:val="en-US" w:bidi="en-US"/>
        </w:rPr>
        <w:t>asked</w:t>
      </w:r>
      <w:r w:rsidR="009D661E" w:rsidRPr="00AC57EA">
        <w:rPr>
          <w:rFonts w:eastAsia="MS Mincho"/>
          <w:sz w:val="20"/>
          <w:szCs w:val="20"/>
          <w:lang w:val="en-US" w:bidi="en-US"/>
        </w:rPr>
        <w:t xml:space="preserve"> </w:t>
      </w:r>
      <w:r w:rsidR="00B7258C" w:rsidRPr="00AC57EA">
        <w:rPr>
          <w:rFonts w:eastAsia="MS Mincho"/>
          <w:sz w:val="20"/>
          <w:szCs w:val="20"/>
          <w:lang w:val="en-US" w:bidi="en-US"/>
        </w:rPr>
        <w:t>the Court</w:t>
      </w:r>
      <w:r w:rsidR="009D661E" w:rsidRPr="00AC57EA">
        <w:rPr>
          <w:rFonts w:eastAsia="MS Mincho"/>
          <w:sz w:val="20"/>
          <w:szCs w:val="20"/>
          <w:lang w:val="en-US" w:bidi="en-US"/>
        </w:rPr>
        <w:t xml:space="preserve"> </w:t>
      </w:r>
      <w:r w:rsidR="009E17FB" w:rsidRPr="00AC57EA">
        <w:rPr>
          <w:rFonts w:eastAsia="MS Mincho"/>
          <w:sz w:val="20"/>
          <w:szCs w:val="20"/>
          <w:lang w:val="en-US" w:bidi="en-US"/>
        </w:rPr>
        <w:t xml:space="preserve">to order the State to adapt its domestic laws to the minimum standards </w:t>
      </w:r>
      <w:r w:rsidR="00B7258C" w:rsidRPr="00AC57EA">
        <w:rPr>
          <w:rFonts w:eastAsia="MS Mincho"/>
          <w:sz w:val="20"/>
          <w:szCs w:val="20"/>
          <w:lang w:val="en-US" w:bidi="en-US"/>
        </w:rPr>
        <w:t>of the American Convention on Human Rights</w:t>
      </w:r>
      <w:r w:rsidR="009D661E" w:rsidRPr="00AC57EA">
        <w:rPr>
          <w:rFonts w:eastAsia="MS Mincho"/>
          <w:sz w:val="20"/>
          <w:szCs w:val="20"/>
          <w:lang w:val="en-US" w:bidi="en-US"/>
        </w:rPr>
        <w:t>,</w:t>
      </w:r>
      <w:r w:rsidR="00E62451" w:rsidRPr="00AC57EA">
        <w:rPr>
          <w:rFonts w:eastAsia="MS Mincho"/>
          <w:sz w:val="20"/>
          <w:szCs w:val="20"/>
          <w:lang w:val="en-US" w:bidi="en-US"/>
        </w:rPr>
        <w:t xml:space="preserve"> in order</w:t>
      </w:r>
      <w:r w:rsidR="009D661E" w:rsidRPr="00AC57EA">
        <w:rPr>
          <w:rFonts w:eastAsia="MS Mincho"/>
          <w:sz w:val="20"/>
          <w:szCs w:val="20"/>
          <w:lang w:val="en-US" w:bidi="en-US"/>
        </w:rPr>
        <w:t xml:space="preserve"> </w:t>
      </w:r>
      <w:r w:rsidR="009E17FB" w:rsidRPr="00AC57EA">
        <w:rPr>
          <w:rFonts w:eastAsia="MS Mincho"/>
          <w:sz w:val="20"/>
          <w:szCs w:val="20"/>
          <w:lang w:val="en-US" w:bidi="en-US"/>
        </w:rPr>
        <w:t>to ensure due process, especially in cases involv</w:t>
      </w:r>
      <w:r w:rsidR="00E62451" w:rsidRPr="00AC57EA">
        <w:rPr>
          <w:rFonts w:eastAsia="MS Mincho"/>
          <w:sz w:val="20"/>
          <w:szCs w:val="20"/>
          <w:lang w:val="en-US" w:bidi="en-US"/>
        </w:rPr>
        <w:t>ing</w:t>
      </w:r>
      <w:r w:rsidR="009E17FB" w:rsidRPr="00AC57EA">
        <w:rPr>
          <w:rFonts w:eastAsia="MS Mincho"/>
          <w:sz w:val="20"/>
          <w:szCs w:val="20"/>
          <w:lang w:val="en-US" w:bidi="en-US"/>
        </w:rPr>
        <w:t xml:space="preserve"> minors. They indicated that the corresponding proceedings should be </w:t>
      </w:r>
      <w:r w:rsidR="00E62451" w:rsidRPr="00AC57EA">
        <w:rPr>
          <w:rFonts w:eastAsia="MS Mincho"/>
          <w:sz w:val="20"/>
          <w:szCs w:val="20"/>
          <w:lang w:val="en-US" w:bidi="en-US"/>
        </w:rPr>
        <w:t xml:space="preserve">conducted </w:t>
      </w:r>
      <w:r w:rsidR="009E17FB" w:rsidRPr="00AC57EA">
        <w:rPr>
          <w:rFonts w:eastAsia="MS Mincho"/>
          <w:sz w:val="20"/>
          <w:szCs w:val="20"/>
          <w:lang w:val="en-US" w:bidi="en-US"/>
        </w:rPr>
        <w:t>by quali</w:t>
      </w:r>
      <w:r w:rsidR="00E62451" w:rsidRPr="00AC57EA">
        <w:rPr>
          <w:rFonts w:eastAsia="MS Mincho"/>
          <w:sz w:val="20"/>
          <w:szCs w:val="20"/>
          <w:lang w:val="en-US" w:bidi="en-US"/>
        </w:rPr>
        <w:t>f</w:t>
      </w:r>
      <w:r w:rsidR="009E17FB" w:rsidRPr="00AC57EA">
        <w:rPr>
          <w:rFonts w:eastAsia="MS Mincho"/>
          <w:sz w:val="20"/>
          <w:szCs w:val="20"/>
          <w:lang w:val="en-US" w:bidi="en-US"/>
        </w:rPr>
        <w:t xml:space="preserve">ied individuals and that the State should </w:t>
      </w:r>
      <w:r w:rsidR="00E62451" w:rsidRPr="00AC57EA">
        <w:rPr>
          <w:rFonts w:eastAsia="MS Mincho"/>
          <w:sz w:val="20"/>
          <w:szCs w:val="20"/>
          <w:lang w:val="en-US" w:bidi="en-US"/>
        </w:rPr>
        <w:t xml:space="preserve">adopt </w:t>
      </w:r>
      <w:r w:rsidR="009E17FB" w:rsidRPr="00AC57EA">
        <w:rPr>
          <w:rFonts w:eastAsia="MS Mincho"/>
          <w:sz w:val="20"/>
          <w:szCs w:val="20"/>
          <w:lang w:val="en-US" w:bidi="en-US"/>
        </w:rPr>
        <w:t>a series of measures of protection pursuant to international law</w:t>
      </w:r>
      <w:r w:rsidR="00E62451" w:rsidRPr="00AC57EA">
        <w:rPr>
          <w:rFonts w:eastAsia="MS Mincho"/>
          <w:sz w:val="20"/>
          <w:szCs w:val="20"/>
          <w:lang w:val="en-US" w:bidi="en-US"/>
        </w:rPr>
        <w:t xml:space="preserve"> </w:t>
      </w:r>
      <w:r w:rsidR="009E17FB" w:rsidRPr="00AC57EA">
        <w:rPr>
          <w:rFonts w:eastAsia="MS Mincho"/>
          <w:sz w:val="20"/>
          <w:szCs w:val="20"/>
          <w:lang w:val="en-US" w:bidi="en-US"/>
        </w:rPr>
        <w:t>to avoid the revictimization</w:t>
      </w:r>
      <w:r w:rsidR="00E62451" w:rsidRPr="00AC57EA">
        <w:rPr>
          <w:rFonts w:eastAsia="MS Mincho"/>
          <w:sz w:val="20"/>
          <w:szCs w:val="20"/>
          <w:lang w:val="en-US" w:bidi="en-US"/>
        </w:rPr>
        <w:t xml:space="preserve"> of children and adolescents during criminal proceedings.</w:t>
      </w:r>
      <w:r w:rsidR="009D661E" w:rsidRPr="00AC57EA">
        <w:rPr>
          <w:rFonts w:eastAsia="MS Mincho"/>
          <w:sz w:val="20"/>
          <w:szCs w:val="20"/>
          <w:lang w:val="en-US" w:bidi="en-US"/>
        </w:rPr>
        <w:t xml:space="preserve"> </w:t>
      </w:r>
      <w:r w:rsidR="009E17FB" w:rsidRPr="00AC57EA">
        <w:rPr>
          <w:rFonts w:eastAsia="MS Mincho"/>
          <w:sz w:val="20"/>
          <w:szCs w:val="20"/>
          <w:lang w:val="en-US" w:bidi="en-US"/>
        </w:rPr>
        <w:t>They also indicated that the protection provided by the State should not be limited judicial proceeding</w:t>
      </w:r>
      <w:r w:rsidR="00E62451" w:rsidRPr="00AC57EA">
        <w:rPr>
          <w:rFonts w:eastAsia="MS Mincho"/>
          <w:sz w:val="20"/>
          <w:szCs w:val="20"/>
          <w:lang w:val="en-US" w:bidi="en-US"/>
        </w:rPr>
        <w:t>s</w:t>
      </w:r>
      <w:r w:rsidR="009E17FB" w:rsidRPr="00AC57EA">
        <w:rPr>
          <w:rFonts w:eastAsia="MS Mincho"/>
          <w:sz w:val="20"/>
          <w:szCs w:val="20"/>
          <w:lang w:val="en-US" w:bidi="en-US"/>
        </w:rPr>
        <w:t>; rather administrative measures should be adopted to safeguard victims of incest in order to achieve their social reintegration.</w:t>
      </w:r>
    </w:p>
    <w:p w14:paraId="27AE70EF" w14:textId="77777777" w:rsidR="009D661E" w:rsidRPr="00AC57EA" w:rsidRDefault="009D661E" w:rsidP="009D661E">
      <w:pPr>
        <w:pStyle w:val="Prrafodelista"/>
        <w:spacing w:line="240" w:lineRule="auto"/>
        <w:rPr>
          <w:sz w:val="20"/>
          <w:szCs w:val="20"/>
          <w:lang w:val="en-US"/>
        </w:rPr>
      </w:pPr>
    </w:p>
    <w:p w14:paraId="043F1E33" w14:textId="4F06F2B4" w:rsidR="009E17FB" w:rsidRPr="00AC57EA" w:rsidRDefault="00EC52D7"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9D661E" w:rsidRPr="00AC57EA">
        <w:rPr>
          <w:rFonts w:eastAsia="MS Mincho"/>
          <w:sz w:val="20"/>
          <w:szCs w:val="20"/>
          <w:lang w:val="en-US" w:bidi="en-US"/>
        </w:rPr>
        <w:t xml:space="preserve"> a</w:t>
      </w:r>
      <w:r w:rsidR="009E17FB" w:rsidRPr="00AC57EA">
        <w:rPr>
          <w:rFonts w:eastAsia="MS Mincho"/>
          <w:sz w:val="20"/>
          <w:szCs w:val="20"/>
          <w:lang w:val="en-US" w:bidi="en-US"/>
        </w:rPr>
        <w:t xml:space="preserve">rgued that, to combat violence against women and girls, it had updated its legislation, making it more effective and protective for the victim </w:t>
      </w:r>
      <w:r w:rsidR="00E62451" w:rsidRPr="00AC57EA">
        <w:rPr>
          <w:rFonts w:eastAsia="MS Mincho"/>
          <w:sz w:val="20"/>
          <w:szCs w:val="20"/>
          <w:lang w:val="en-US" w:bidi="en-US"/>
        </w:rPr>
        <w:t>by</w:t>
      </w:r>
      <w:r w:rsidR="009E17FB" w:rsidRPr="00AC57EA">
        <w:rPr>
          <w:rFonts w:eastAsia="MS Mincho"/>
          <w:sz w:val="20"/>
          <w:szCs w:val="20"/>
          <w:lang w:val="en-US" w:bidi="en-US"/>
        </w:rPr>
        <w:t xml:space="preserve"> substitut</w:t>
      </w:r>
      <w:r w:rsidR="00E62451" w:rsidRPr="00AC57EA">
        <w:rPr>
          <w:rFonts w:eastAsia="MS Mincho"/>
          <w:sz w:val="20"/>
          <w:szCs w:val="20"/>
          <w:lang w:val="en-US" w:bidi="en-US"/>
        </w:rPr>
        <w:t>ing</w:t>
      </w:r>
      <w:r w:rsidR="009E17FB" w:rsidRPr="00AC57EA">
        <w:rPr>
          <w:rFonts w:eastAsia="MS Mincho"/>
          <w:sz w:val="20"/>
          <w:szCs w:val="20"/>
          <w:lang w:val="en-US" w:bidi="en-US"/>
        </w:rPr>
        <w:t xml:space="preserve"> the inquisitorial system by oral and public ways of delivering justice, in addition to increasing the punishments for offenses. It added that, in 2001, the Criminal Procedure Code had been promulgated by Law No. 406, based on the </w:t>
      </w:r>
      <w:r w:rsidR="00247857" w:rsidRPr="00AC57EA">
        <w:rPr>
          <w:sz w:val="20"/>
          <w:szCs w:val="20"/>
          <w:lang w:val="en-US"/>
        </w:rPr>
        <w:t xml:space="preserve">principles of orality and immediacy that guaranteed the victim access to justice and the accused the right to be tried without delay. Also, in 2008, the Nicaraguan Criminal Code had been promulgated </w:t>
      </w:r>
      <w:r w:rsidR="00EF7271" w:rsidRPr="00AC57EA">
        <w:rPr>
          <w:sz w:val="20"/>
          <w:szCs w:val="20"/>
          <w:lang w:val="en-US"/>
        </w:rPr>
        <w:t>and this</w:t>
      </w:r>
      <w:r w:rsidR="00247857" w:rsidRPr="00AC57EA">
        <w:rPr>
          <w:sz w:val="20"/>
          <w:szCs w:val="20"/>
          <w:lang w:val="en-US"/>
        </w:rPr>
        <w:t xml:space="preserve"> increased the penalties for various offenses and constituted an instrument </w:t>
      </w:r>
      <w:r w:rsidR="00EF7271" w:rsidRPr="00AC57EA">
        <w:rPr>
          <w:sz w:val="20"/>
          <w:szCs w:val="20"/>
          <w:lang w:val="en-US"/>
        </w:rPr>
        <w:t>for the</w:t>
      </w:r>
      <w:r w:rsidR="00247857" w:rsidRPr="00AC57EA">
        <w:rPr>
          <w:sz w:val="20"/>
          <w:szCs w:val="20"/>
          <w:lang w:val="en-US"/>
        </w:rPr>
        <w:t xml:space="preserve"> prevent</w:t>
      </w:r>
      <w:r w:rsidR="00EF7271" w:rsidRPr="00AC57EA">
        <w:rPr>
          <w:sz w:val="20"/>
          <w:szCs w:val="20"/>
          <w:lang w:val="en-US"/>
        </w:rPr>
        <w:t>ion</w:t>
      </w:r>
      <w:r w:rsidR="00247857" w:rsidRPr="00AC57EA">
        <w:rPr>
          <w:sz w:val="20"/>
          <w:szCs w:val="20"/>
          <w:lang w:val="en-US"/>
        </w:rPr>
        <w:t xml:space="preserve"> and eliminat</w:t>
      </w:r>
      <w:r w:rsidR="00EF7271" w:rsidRPr="00AC57EA">
        <w:rPr>
          <w:sz w:val="20"/>
          <w:szCs w:val="20"/>
          <w:lang w:val="en-US"/>
        </w:rPr>
        <w:t>ion of</w:t>
      </w:r>
      <w:r w:rsidR="00247857" w:rsidRPr="00AC57EA">
        <w:rPr>
          <w:sz w:val="20"/>
          <w:szCs w:val="20"/>
          <w:lang w:val="en-US"/>
        </w:rPr>
        <w:t xml:space="preserve"> sexual abuse, especially </w:t>
      </w:r>
      <w:r w:rsidR="00EF7271" w:rsidRPr="00AC57EA">
        <w:rPr>
          <w:sz w:val="20"/>
          <w:szCs w:val="20"/>
          <w:lang w:val="en-US"/>
        </w:rPr>
        <w:t>of</w:t>
      </w:r>
      <w:r w:rsidR="00247857" w:rsidRPr="00AC57EA">
        <w:rPr>
          <w:sz w:val="20"/>
          <w:szCs w:val="20"/>
          <w:lang w:val="en-US"/>
        </w:rPr>
        <w:t xml:space="preserve"> </w:t>
      </w:r>
      <w:r w:rsidR="003C0AC1" w:rsidRPr="00AC57EA">
        <w:rPr>
          <w:sz w:val="20"/>
          <w:szCs w:val="20"/>
          <w:lang w:val="en-US"/>
        </w:rPr>
        <w:t>female child</w:t>
      </w:r>
      <w:r w:rsidR="00247857" w:rsidRPr="00AC57EA">
        <w:rPr>
          <w:sz w:val="20"/>
          <w:szCs w:val="20"/>
          <w:lang w:val="en-US"/>
        </w:rPr>
        <w:t xml:space="preserve">ren and adolescents and women. Furthermore, it indicated that the main objective of Law No. 779 was to protect women’s rights and to guarantee them a life free of violence, pursuant to the principles of </w:t>
      </w:r>
      <w:r w:rsidR="00247857" w:rsidRPr="00AC57EA">
        <w:rPr>
          <w:rFonts w:eastAsia="MS Mincho"/>
          <w:sz w:val="20"/>
          <w:szCs w:val="20"/>
          <w:lang w:val="en-US" w:bidi="en-US"/>
        </w:rPr>
        <w:t xml:space="preserve">equality and non-discrimination. That law had created new criminal offenses, and also safety measures. </w:t>
      </w:r>
      <w:r w:rsidR="00EF7271" w:rsidRPr="00AC57EA">
        <w:rPr>
          <w:rFonts w:eastAsia="MS Mincho"/>
          <w:sz w:val="20"/>
          <w:szCs w:val="20"/>
          <w:lang w:val="en-US" w:bidi="en-US"/>
        </w:rPr>
        <w:t>In addition, t</w:t>
      </w:r>
      <w:r w:rsidR="00247857" w:rsidRPr="00AC57EA">
        <w:rPr>
          <w:rFonts w:eastAsia="MS Mincho"/>
          <w:sz w:val="20"/>
          <w:szCs w:val="20"/>
          <w:lang w:val="en-US" w:bidi="en-US"/>
        </w:rPr>
        <w:t>he State indicated that it had established a public policy to strengthen the family and to prevent violence</w:t>
      </w:r>
      <w:r w:rsidR="00EF7271" w:rsidRPr="00AC57EA">
        <w:rPr>
          <w:rFonts w:eastAsia="MS Mincho"/>
          <w:sz w:val="20"/>
          <w:szCs w:val="20"/>
          <w:lang w:val="en-US" w:bidi="en-US"/>
        </w:rPr>
        <w:t>,</w:t>
      </w:r>
      <w:r w:rsidR="00247857" w:rsidRPr="00AC57EA">
        <w:rPr>
          <w:rFonts w:eastAsia="MS Mincho"/>
          <w:sz w:val="20"/>
          <w:szCs w:val="20"/>
          <w:lang w:val="en-US" w:bidi="en-US"/>
        </w:rPr>
        <w:t xml:space="preserve"> aimed at the promotion, protection and restitution of the human rights of </w:t>
      </w:r>
      <w:r w:rsidR="00EF7271" w:rsidRPr="00AC57EA">
        <w:rPr>
          <w:rFonts w:eastAsia="MS Mincho"/>
          <w:sz w:val="20"/>
          <w:szCs w:val="20"/>
          <w:lang w:val="en-US" w:bidi="en-US"/>
        </w:rPr>
        <w:t xml:space="preserve">the </w:t>
      </w:r>
      <w:r w:rsidR="00247857" w:rsidRPr="00AC57EA">
        <w:rPr>
          <w:rFonts w:eastAsia="MS Mincho"/>
          <w:sz w:val="20"/>
          <w:szCs w:val="20"/>
          <w:lang w:val="en-US" w:bidi="en-US"/>
        </w:rPr>
        <w:t>family, women, children and adolescents, guaranteeing them a life free of violence and establishing comprehensive measures to prevent, punish and progressively eradicate violence by assisting victims and promoting changes in socio-cultural patterns. This policy included strategies of prevention, assistance, interinstitutional coordination, institutional r</w:t>
      </w:r>
      <w:r w:rsidR="00D64440" w:rsidRPr="00AC57EA">
        <w:rPr>
          <w:rFonts w:eastAsia="MS Mincho"/>
          <w:sz w:val="20"/>
          <w:szCs w:val="20"/>
          <w:lang w:val="en-US" w:bidi="en-US"/>
        </w:rPr>
        <w:t xml:space="preserve">einforcement, </w:t>
      </w:r>
      <w:r w:rsidR="00CF1A4D" w:rsidRPr="00AC57EA">
        <w:rPr>
          <w:rFonts w:eastAsia="MS Mincho"/>
          <w:sz w:val="20"/>
          <w:szCs w:val="20"/>
          <w:lang w:val="en-US" w:bidi="en-US"/>
        </w:rPr>
        <w:t>communication and, finally, community and territorial coordination.</w:t>
      </w:r>
    </w:p>
    <w:p w14:paraId="318B8D69" w14:textId="77777777" w:rsidR="009D661E" w:rsidRPr="00AC57EA" w:rsidRDefault="009D661E" w:rsidP="009D661E">
      <w:pPr>
        <w:tabs>
          <w:tab w:val="left" w:pos="567"/>
        </w:tabs>
        <w:spacing w:line="240" w:lineRule="auto"/>
        <w:textAlignment w:val="auto"/>
        <w:rPr>
          <w:rFonts w:eastAsia="MS Mincho"/>
          <w:sz w:val="20"/>
          <w:szCs w:val="20"/>
          <w:lang w:val="en-US" w:bidi="en-US"/>
        </w:rPr>
      </w:pPr>
    </w:p>
    <w:p w14:paraId="23E2B052" w14:textId="5A86E392" w:rsidR="00CF1A4D" w:rsidRPr="00AC57EA" w:rsidRDefault="00F91E64"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Nicaragua a</w:t>
      </w:r>
      <w:r w:rsidR="00CF1A4D" w:rsidRPr="00AC57EA">
        <w:rPr>
          <w:rFonts w:eastAsia="MS Mincho"/>
          <w:sz w:val="20"/>
          <w:szCs w:val="20"/>
          <w:lang w:val="en-US" w:bidi="en-US"/>
        </w:rPr>
        <w:t>dded that, in order to reduce impunity, it had been developing, through the Judiciary, policies, programs and best practices that reflected the recognition of the rights of persons in a vulnerable situation who use the judicial services, in addition to applying the contents</w:t>
      </w:r>
      <w:r w:rsidR="00EF7271" w:rsidRPr="00AC57EA">
        <w:rPr>
          <w:rFonts w:eastAsia="MS Mincho"/>
          <w:sz w:val="20"/>
          <w:szCs w:val="20"/>
          <w:lang w:val="en-US" w:bidi="en-US"/>
        </w:rPr>
        <w:t xml:space="preserve"> </w:t>
      </w:r>
      <w:r w:rsidR="00CF1A4D" w:rsidRPr="00AC57EA">
        <w:rPr>
          <w:rFonts w:eastAsia="MS Mincho"/>
          <w:sz w:val="20"/>
          <w:szCs w:val="20"/>
          <w:lang w:val="en-US" w:bidi="en-US"/>
        </w:rPr>
        <w:t>of the 100 Brasilia Rules. It explained that the Judiciary had a Ten-year Strategic Plan 2012-2021 to increase access to justice</w:t>
      </w:r>
      <w:r w:rsidR="00EF7271" w:rsidRPr="00AC57EA">
        <w:rPr>
          <w:rFonts w:eastAsia="MS Mincho"/>
          <w:sz w:val="20"/>
          <w:szCs w:val="20"/>
          <w:lang w:val="en-US" w:bidi="en-US"/>
        </w:rPr>
        <w:t xml:space="preserve"> for the population</w:t>
      </w:r>
      <w:r w:rsidR="00CF1A4D" w:rsidRPr="00AC57EA">
        <w:rPr>
          <w:rFonts w:eastAsia="MS Mincho"/>
          <w:sz w:val="20"/>
          <w:szCs w:val="20"/>
          <w:lang w:val="en-US" w:bidi="en-US"/>
        </w:rPr>
        <w:t xml:space="preserve">, especially </w:t>
      </w:r>
      <w:r w:rsidR="00EF7271" w:rsidRPr="00AC57EA">
        <w:rPr>
          <w:rFonts w:eastAsia="MS Mincho"/>
          <w:sz w:val="20"/>
          <w:szCs w:val="20"/>
          <w:lang w:val="en-US" w:bidi="en-US"/>
        </w:rPr>
        <w:t>for</w:t>
      </w:r>
      <w:r w:rsidR="00CF1A4D" w:rsidRPr="00AC57EA">
        <w:rPr>
          <w:rFonts w:eastAsia="MS Mincho"/>
          <w:sz w:val="20"/>
          <w:szCs w:val="20"/>
          <w:lang w:val="en-US" w:bidi="en-US"/>
        </w:rPr>
        <w:t xml:space="preserve"> those in a vulnerable situation, with a gender-based focus and perspective. The main guidelines of this plan were: </w:t>
      </w:r>
      <w:r w:rsidR="00EF7271" w:rsidRPr="00AC57EA">
        <w:rPr>
          <w:rFonts w:eastAsia="MS Mincho"/>
          <w:sz w:val="20"/>
          <w:szCs w:val="20"/>
          <w:lang w:val="en-US" w:bidi="en-US"/>
        </w:rPr>
        <w:t xml:space="preserve">to </w:t>
      </w:r>
      <w:r w:rsidR="00CF1A4D" w:rsidRPr="00AC57EA">
        <w:rPr>
          <w:rFonts w:eastAsia="MS Mincho"/>
          <w:sz w:val="20"/>
          <w:szCs w:val="20"/>
          <w:lang w:val="en-US" w:bidi="en-US"/>
        </w:rPr>
        <w:t>continu</w:t>
      </w:r>
      <w:r w:rsidR="00EF7271" w:rsidRPr="00AC57EA">
        <w:rPr>
          <w:rFonts w:eastAsia="MS Mincho"/>
          <w:sz w:val="20"/>
          <w:szCs w:val="20"/>
          <w:lang w:val="en-US" w:bidi="en-US"/>
        </w:rPr>
        <w:t>e</w:t>
      </w:r>
      <w:r w:rsidR="00CF1A4D" w:rsidRPr="00AC57EA">
        <w:rPr>
          <w:rFonts w:eastAsia="MS Mincho"/>
          <w:sz w:val="20"/>
          <w:szCs w:val="20"/>
          <w:lang w:val="en-US" w:bidi="en-US"/>
        </w:rPr>
        <w:t xml:space="preserve"> reducing the delay in the administration of justice; </w:t>
      </w:r>
      <w:r w:rsidR="00EF7271" w:rsidRPr="00AC57EA">
        <w:rPr>
          <w:rFonts w:eastAsia="MS Mincho"/>
          <w:sz w:val="20"/>
          <w:szCs w:val="20"/>
          <w:lang w:val="en-US" w:bidi="en-US"/>
        </w:rPr>
        <w:t xml:space="preserve">to </w:t>
      </w:r>
      <w:r w:rsidR="00CF1A4D" w:rsidRPr="00AC57EA">
        <w:rPr>
          <w:rFonts w:eastAsia="MS Mincho"/>
          <w:sz w:val="20"/>
          <w:szCs w:val="20"/>
          <w:lang w:val="en-US" w:bidi="en-US"/>
        </w:rPr>
        <w:t xml:space="preserve">guarantee the parties the certainty that their cases will </w:t>
      </w:r>
      <w:r w:rsidR="00272944" w:rsidRPr="00AC57EA">
        <w:rPr>
          <w:rFonts w:eastAsia="MS Mincho"/>
          <w:sz w:val="20"/>
          <w:szCs w:val="20"/>
          <w:lang w:val="en-US" w:bidi="en-US"/>
        </w:rPr>
        <w:t>be decided in keeping with the law and with impartiality</w:t>
      </w:r>
      <w:r w:rsidR="00EF7271" w:rsidRPr="00AC57EA">
        <w:rPr>
          <w:rFonts w:eastAsia="MS Mincho"/>
          <w:sz w:val="20"/>
          <w:szCs w:val="20"/>
          <w:lang w:val="en-US" w:bidi="en-US"/>
        </w:rPr>
        <w:t>;</w:t>
      </w:r>
      <w:r w:rsidR="00272944" w:rsidRPr="00AC57EA">
        <w:rPr>
          <w:rFonts w:eastAsia="MS Mincho"/>
          <w:sz w:val="20"/>
          <w:szCs w:val="20"/>
          <w:lang w:val="en-US" w:bidi="en-US"/>
        </w:rPr>
        <w:t xml:space="preserve"> </w:t>
      </w:r>
      <w:r w:rsidR="00EF7271" w:rsidRPr="00AC57EA">
        <w:rPr>
          <w:rFonts w:eastAsia="MS Mincho"/>
          <w:sz w:val="20"/>
          <w:szCs w:val="20"/>
          <w:lang w:val="en-US" w:bidi="en-US"/>
        </w:rPr>
        <w:t xml:space="preserve">to </w:t>
      </w:r>
      <w:r w:rsidR="00272944" w:rsidRPr="00AC57EA">
        <w:rPr>
          <w:rFonts w:eastAsia="MS Mincho"/>
          <w:sz w:val="20"/>
          <w:szCs w:val="20"/>
          <w:lang w:val="en-US" w:bidi="en-US"/>
        </w:rPr>
        <w:t>facilitate access to justice without any discrimination and, lastly, to develop inter-institutional coordination between the Judiciary and the other branches of the State. Nicaragua indicated that awareness-raising and specialized training for judicial officials had facilitated access to justice</w:t>
      </w:r>
      <w:r w:rsidR="00EF7271" w:rsidRPr="00AC57EA">
        <w:rPr>
          <w:rFonts w:eastAsia="MS Mincho"/>
          <w:sz w:val="20"/>
          <w:szCs w:val="20"/>
          <w:lang w:val="en-US" w:bidi="en-US"/>
        </w:rPr>
        <w:t>,</w:t>
      </w:r>
      <w:r w:rsidR="00272944" w:rsidRPr="00AC57EA">
        <w:rPr>
          <w:rFonts w:eastAsia="MS Mincho"/>
          <w:sz w:val="20"/>
          <w:szCs w:val="20"/>
          <w:lang w:val="en-US" w:bidi="en-US"/>
        </w:rPr>
        <w:t xml:space="preserve"> </w:t>
      </w:r>
      <w:r w:rsidR="00EF7271" w:rsidRPr="00AC57EA">
        <w:rPr>
          <w:rFonts w:eastAsia="MS Mincho"/>
          <w:sz w:val="20"/>
          <w:szCs w:val="20"/>
          <w:lang w:val="en-US" w:bidi="en-US"/>
        </w:rPr>
        <w:t>giving</w:t>
      </w:r>
      <w:r w:rsidR="00272944" w:rsidRPr="00AC57EA">
        <w:rPr>
          <w:rFonts w:eastAsia="MS Mincho"/>
          <w:sz w:val="20"/>
          <w:szCs w:val="20"/>
          <w:lang w:val="en-US" w:bidi="en-US"/>
        </w:rPr>
        <w:t xml:space="preserve"> victims greater confidence in the system for the administration of justice, especially women and children. Thus, it had gradually created special courts for gender-based violence, the family</w:t>
      </w:r>
      <w:r w:rsidR="00EF7271" w:rsidRPr="00AC57EA">
        <w:rPr>
          <w:rFonts w:eastAsia="MS Mincho"/>
          <w:sz w:val="20"/>
          <w:szCs w:val="20"/>
          <w:lang w:val="en-US" w:bidi="en-US"/>
        </w:rPr>
        <w:t>,</w:t>
      </w:r>
      <w:r w:rsidR="00272944" w:rsidRPr="00AC57EA">
        <w:rPr>
          <w:rFonts w:eastAsia="MS Mincho"/>
          <w:sz w:val="20"/>
          <w:szCs w:val="20"/>
          <w:lang w:val="en-US" w:bidi="en-US"/>
        </w:rPr>
        <w:t xml:space="preserve"> and criminal justice for adolescents in the country’s 17 departments. The State also alleged that, in 2005, the Special Unit to combat crimes involving gender-based violence, with national jurisdiction, had been created within the Public Prosecution Service, with </w:t>
      </w:r>
      <w:r w:rsidR="00186AA5" w:rsidRPr="00AC57EA">
        <w:rPr>
          <w:rFonts w:eastAsia="MS Mincho"/>
          <w:sz w:val="20"/>
          <w:szCs w:val="20"/>
          <w:lang w:val="en-US" w:bidi="en-US"/>
        </w:rPr>
        <w:t xml:space="preserve">specialized prosecutors in each departmental office, which </w:t>
      </w:r>
      <w:r w:rsidR="00EF7271" w:rsidRPr="00AC57EA">
        <w:rPr>
          <w:rFonts w:eastAsia="MS Mincho"/>
          <w:sz w:val="20"/>
          <w:szCs w:val="20"/>
          <w:lang w:val="en-US" w:bidi="en-US"/>
        </w:rPr>
        <w:t>instituted</w:t>
      </w:r>
      <w:r w:rsidR="00186AA5" w:rsidRPr="00AC57EA">
        <w:rPr>
          <w:rFonts w:eastAsia="MS Mincho"/>
          <w:sz w:val="20"/>
          <w:szCs w:val="20"/>
          <w:lang w:val="en-US" w:bidi="en-US"/>
        </w:rPr>
        <w:t xml:space="preserve"> criminal actions </w:t>
      </w:r>
      <w:r w:rsidR="00EF7271" w:rsidRPr="00AC57EA">
        <w:rPr>
          <w:rFonts w:eastAsia="MS Mincho"/>
          <w:sz w:val="20"/>
          <w:szCs w:val="20"/>
          <w:lang w:val="en-US" w:bidi="en-US"/>
        </w:rPr>
        <w:t xml:space="preserve">to </w:t>
      </w:r>
      <w:r w:rsidR="00186AA5" w:rsidRPr="00AC57EA">
        <w:rPr>
          <w:rFonts w:eastAsia="MS Mincho"/>
          <w:sz w:val="20"/>
          <w:szCs w:val="20"/>
          <w:lang w:val="en-US" w:bidi="en-US"/>
        </w:rPr>
        <w:t>defend the rights of the victims from the investigation until the conclusion of the judicial proceedings.</w:t>
      </w:r>
    </w:p>
    <w:p w14:paraId="527495B1" w14:textId="77777777" w:rsidR="009D661E" w:rsidRPr="00AC57EA" w:rsidRDefault="009D661E" w:rsidP="009D661E">
      <w:pPr>
        <w:pStyle w:val="Prrafodelista"/>
        <w:spacing w:line="240" w:lineRule="auto"/>
        <w:ind w:left="0"/>
        <w:rPr>
          <w:rFonts w:eastAsia="MS Mincho"/>
          <w:sz w:val="20"/>
          <w:szCs w:val="20"/>
          <w:lang w:val="en-US" w:bidi="en-US"/>
        </w:rPr>
      </w:pPr>
    </w:p>
    <w:p w14:paraId="5D9F9B97" w14:textId="36A4359D" w:rsidR="009D661E" w:rsidRPr="00AC57EA" w:rsidRDefault="002223C8" w:rsidP="009D661E">
      <w:pPr>
        <w:pStyle w:val="Prrafodelista"/>
        <w:spacing w:line="240" w:lineRule="auto"/>
        <w:ind w:left="0" w:firstLine="720"/>
        <w:rPr>
          <w:rFonts w:eastAsia="MS Mincho"/>
          <w:i/>
          <w:sz w:val="20"/>
          <w:szCs w:val="20"/>
          <w:lang w:val="en-US" w:bidi="en-US"/>
        </w:rPr>
      </w:pPr>
      <w:r w:rsidRPr="00AC57EA">
        <w:rPr>
          <w:rFonts w:eastAsia="MS Mincho"/>
          <w:i/>
          <w:sz w:val="20"/>
          <w:szCs w:val="20"/>
          <w:lang w:val="en-US" w:bidi="en-US"/>
        </w:rPr>
        <w:t>Considerations</w:t>
      </w:r>
      <w:r w:rsidR="00B7258C" w:rsidRPr="00AC57EA">
        <w:rPr>
          <w:rFonts w:eastAsia="MS Mincho"/>
          <w:i/>
          <w:sz w:val="20"/>
          <w:szCs w:val="20"/>
          <w:lang w:val="en-US" w:bidi="en-US"/>
        </w:rPr>
        <w:t xml:space="preserve"> of the Court</w:t>
      </w:r>
    </w:p>
    <w:p w14:paraId="4F20C619" w14:textId="77777777" w:rsidR="009D661E" w:rsidRPr="00AC57EA" w:rsidRDefault="009D661E" w:rsidP="009D661E">
      <w:pPr>
        <w:pStyle w:val="Prrafodelista"/>
        <w:spacing w:line="240" w:lineRule="auto"/>
        <w:ind w:left="0"/>
        <w:rPr>
          <w:rFonts w:eastAsia="MS Mincho"/>
          <w:i/>
          <w:sz w:val="20"/>
          <w:szCs w:val="20"/>
          <w:lang w:val="en-US" w:bidi="en-US"/>
        </w:rPr>
      </w:pPr>
    </w:p>
    <w:p w14:paraId="375C898B" w14:textId="0A0BD2BE" w:rsidR="00632FC4" w:rsidRPr="00AC57EA" w:rsidRDefault="00B7258C" w:rsidP="00186AA5">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The Court</w:t>
      </w:r>
      <w:r w:rsidR="00AE1EEC" w:rsidRPr="00AC57EA">
        <w:rPr>
          <w:sz w:val="20"/>
          <w:szCs w:val="20"/>
          <w:lang w:val="en-US"/>
        </w:rPr>
        <w:t xml:space="preserve"> not</w:t>
      </w:r>
      <w:r w:rsidR="00186AA5" w:rsidRPr="00AC57EA">
        <w:rPr>
          <w:sz w:val="20"/>
          <w:szCs w:val="20"/>
          <w:lang w:val="en-US"/>
        </w:rPr>
        <w:t>es that the State forwarded various documents on domestic legislation relating to its efforts to prevent, punish and eradicate gender-based violence, in particular rape, by</w:t>
      </w:r>
      <w:r w:rsidR="004A6098" w:rsidRPr="00AC57EA">
        <w:rPr>
          <w:sz w:val="20"/>
          <w:szCs w:val="20"/>
          <w:lang w:val="en-US"/>
        </w:rPr>
        <w:t xml:space="preserve"> means of, </w:t>
      </w:r>
      <w:r w:rsidR="004A6098" w:rsidRPr="00AC57EA">
        <w:rPr>
          <w:i/>
          <w:iCs/>
          <w:sz w:val="20"/>
          <w:szCs w:val="20"/>
          <w:lang w:val="en-US"/>
        </w:rPr>
        <w:t>inter alia,</w:t>
      </w:r>
      <w:r w:rsidR="004A6098" w:rsidRPr="00AC57EA">
        <w:rPr>
          <w:sz w:val="20"/>
          <w:szCs w:val="20"/>
          <w:lang w:val="en-US"/>
        </w:rPr>
        <w:t xml:space="preserve"> </w:t>
      </w:r>
      <w:r w:rsidR="00186AA5" w:rsidRPr="00AC57EA">
        <w:rPr>
          <w:sz w:val="20"/>
          <w:szCs w:val="20"/>
          <w:lang w:val="en-US"/>
        </w:rPr>
        <w:t xml:space="preserve">legislation, circulars and directives issued by the Prosecutor General, </w:t>
      </w:r>
      <w:r w:rsidR="004A6098" w:rsidRPr="00AC57EA">
        <w:rPr>
          <w:sz w:val="20"/>
          <w:szCs w:val="20"/>
          <w:lang w:val="en-US"/>
        </w:rPr>
        <w:t xml:space="preserve">procedural </w:t>
      </w:r>
      <w:r w:rsidR="00186AA5" w:rsidRPr="00AC57EA">
        <w:rPr>
          <w:sz w:val="20"/>
          <w:szCs w:val="20"/>
          <w:lang w:val="en-US"/>
        </w:rPr>
        <w:t>manuals for the National Police, technical norms, protocols and presidential decrees. The Court also notes that some of th</w:t>
      </w:r>
      <w:r w:rsidR="004A6098" w:rsidRPr="00AC57EA">
        <w:rPr>
          <w:sz w:val="20"/>
          <w:szCs w:val="20"/>
          <w:lang w:val="en-US"/>
        </w:rPr>
        <w:t>ese documents</w:t>
      </w:r>
      <w:r w:rsidR="00186AA5" w:rsidRPr="00AC57EA">
        <w:rPr>
          <w:sz w:val="20"/>
          <w:szCs w:val="20"/>
          <w:lang w:val="en-US"/>
        </w:rPr>
        <w:t xml:space="preserve"> include general criteria on assistance and treatment f</w:t>
      </w:r>
      <w:r w:rsidR="004A6098" w:rsidRPr="00AC57EA">
        <w:rPr>
          <w:sz w:val="20"/>
          <w:szCs w:val="20"/>
          <w:lang w:val="en-US"/>
        </w:rPr>
        <w:t>or</w:t>
      </w:r>
      <w:r w:rsidR="00186AA5" w:rsidRPr="00AC57EA">
        <w:rPr>
          <w:sz w:val="20"/>
          <w:szCs w:val="20"/>
          <w:lang w:val="en-US"/>
        </w:rPr>
        <w:t xml:space="preserve"> children and adolescents who are victims of sexual and </w:t>
      </w:r>
      <w:r w:rsidR="001A3355" w:rsidRPr="00AC57EA">
        <w:rPr>
          <w:sz w:val="20"/>
          <w:szCs w:val="20"/>
          <w:lang w:val="en-US"/>
        </w:rPr>
        <w:t>intrafamily violence</w:t>
      </w:r>
      <w:r w:rsidR="00186AA5" w:rsidRPr="00AC57EA">
        <w:rPr>
          <w:sz w:val="20"/>
          <w:szCs w:val="20"/>
          <w:lang w:val="en-US"/>
        </w:rPr>
        <w:t>.</w:t>
      </w:r>
      <w:r w:rsidR="00AE1EEC" w:rsidRPr="00AC57EA">
        <w:rPr>
          <w:rStyle w:val="Refdenotaalpie"/>
          <w:sz w:val="20"/>
          <w:szCs w:val="20"/>
          <w:lang w:val="en-US"/>
        </w:rPr>
        <w:footnoteReference w:id="433"/>
      </w:r>
    </w:p>
    <w:p w14:paraId="741578E1" w14:textId="77777777" w:rsidR="00632FC4" w:rsidRPr="00AC57EA" w:rsidRDefault="00632FC4" w:rsidP="00DF3D71">
      <w:pPr>
        <w:tabs>
          <w:tab w:val="left" w:pos="567"/>
        </w:tabs>
        <w:spacing w:line="240" w:lineRule="auto"/>
        <w:textAlignment w:val="auto"/>
        <w:rPr>
          <w:sz w:val="20"/>
          <w:szCs w:val="20"/>
          <w:lang w:val="en-US"/>
        </w:rPr>
      </w:pPr>
    </w:p>
    <w:p w14:paraId="76CB3257" w14:textId="113ACA37" w:rsidR="009D661E" w:rsidRPr="00AC57EA" w:rsidRDefault="002B7000" w:rsidP="009E269F">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Also, under</w:t>
      </w:r>
      <w:r w:rsidR="00632FC4" w:rsidRPr="00AC57EA">
        <w:rPr>
          <w:sz w:val="20"/>
          <w:szCs w:val="20"/>
          <w:lang w:val="en-US"/>
        </w:rPr>
        <w:t xml:space="preserve"> </w:t>
      </w:r>
      <w:r w:rsidR="00B24106" w:rsidRPr="00AC57EA">
        <w:rPr>
          <w:sz w:val="20"/>
          <w:szCs w:val="20"/>
          <w:lang w:val="en-US"/>
        </w:rPr>
        <w:t>Law No.</w:t>
      </w:r>
      <w:r w:rsidR="00632FC4" w:rsidRPr="00AC57EA">
        <w:rPr>
          <w:sz w:val="20"/>
          <w:szCs w:val="20"/>
          <w:lang w:val="en-US"/>
        </w:rPr>
        <w:t xml:space="preserve"> 779, </w:t>
      </w:r>
      <w:r w:rsidR="00980760" w:rsidRPr="00AC57EA">
        <w:rPr>
          <w:sz w:val="20"/>
          <w:szCs w:val="20"/>
          <w:lang w:val="en-US"/>
        </w:rPr>
        <w:t>“</w:t>
      </w:r>
      <w:r w:rsidRPr="00AC57EA">
        <w:rPr>
          <w:sz w:val="20"/>
          <w:szCs w:val="20"/>
          <w:lang w:val="en-US"/>
        </w:rPr>
        <w:t xml:space="preserve">Comprehensive Law to combat violence against women and amendments to Law No. 641, ‘Criminal Code’” and its regulatory decree, district courts were created that specialized in matters </w:t>
      </w:r>
      <w:r w:rsidR="004A6098" w:rsidRPr="00AC57EA">
        <w:rPr>
          <w:sz w:val="20"/>
          <w:szCs w:val="20"/>
          <w:lang w:val="en-US"/>
        </w:rPr>
        <w:t>relating to</w:t>
      </w:r>
      <w:r w:rsidRPr="00AC57EA">
        <w:rPr>
          <w:sz w:val="20"/>
          <w:szCs w:val="20"/>
          <w:lang w:val="en-US"/>
        </w:rPr>
        <w:t xml:space="preserve"> violence, composed of a judge specialized in this area, as well as by </w:t>
      </w:r>
      <w:r w:rsidR="004A6098" w:rsidRPr="00AC57EA">
        <w:rPr>
          <w:sz w:val="20"/>
          <w:szCs w:val="20"/>
          <w:lang w:val="en-US"/>
        </w:rPr>
        <w:t xml:space="preserve">an </w:t>
      </w:r>
      <w:r w:rsidRPr="00AC57EA">
        <w:rPr>
          <w:sz w:val="20"/>
          <w:szCs w:val="20"/>
          <w:lang w:val="en-US"/>
        </w:rPr>
        <w:t xml:space="preserve">interdisciplinary team for </w:t>
      </w:r>
      <w:r w:rsidR="004A6098" w:rsidRPr="00AC57EA">
        <w:rPr>
          <w:sz w:val="20"/>
          <w:szCs w:val="20"/>
          <w:lang w:val="en-US"/>
        </w:rPr>
        <w:t>assisting</w:t>
      </w:r>
      <w:r w:rsidRPr="00AC57EA">
        <w:rPr>
          <w:sz w:val="20"/>
          <w:szCs w:val="20"/>
          <w:lang w:val="en-US"/>
        </w:rPr>
        <w:t xml:space="preserve"> victim</w:t>
      </w:r>
      <w:r w:rsidR="004A6098" w:rsidRPr="00AC57EA">
        <w:rPr>
          <w:sz w:val="20"/>
          <w:szCs w:val="20"/>
          <w:lang w:val="en-US"/>
        </w:rPr>
        <w:t>s</w:t>
      </w:r>
      <w:r w:rsidRPr="00AC57EA">
        <w:rPr>
          <w:sz w:val="20"/>
          <w:szCs w:val="20"/>
          <w:lang w:val="en-US"/>
        </w:rPr>
        <w:t xml:space="preserve"> composed of</w:t>
      </w:r>
      <w:r w:rsidR="004A6098" w:rsidRPr="00AC57EA">
        <w:rPr>
          <w:sz w:val="20"/>
          <w:szCs w:val="20"/>
          <w:lang w:val="en-US"/>
        </w:rPr>
        <w:t>,</w:t>
      </w:r>
      <w:r w:rsidRPr="00AC57EA">
        <w:rPr>
          <w:sz w:val="20"/>
          <w:szCs w:val="20"/>
          <w:lang w:val="en-US"/>
        </w:rPr>
        <w:t xml:space="preserve"> at least</w:t>
      </w:r>
      <w:r w:rsidR="004A6098" w:rsidRPr="00AC57EA">
        <w:rPr>
          <w:sz w:val="20"/>
          <w:szCs w:val="20"/>
          <w:lang w:val="en-US"/>
        </w:rPr>
        <w:t>,</w:t>
      </w:r>
      <w:r w:rsidRPr="00AC57EA">
        <w:rPr>
          <w:sz w:val="20"/>
          <w:szCs w:val="20"/>
          <w:lang w:val="en-US"/>
        </w:rPr>
        <w:t xml:space="preserve"> a psychologist and a social worker, responsible for providing specialized assistance, </w:t>
      </w:r>
      <w:r w:rsidR="004A6098" w:rsidRPr="00AC57EA">
        <w:rPr>
          <w:sz w:val="20"/>
          <w:szCs w:val="20"/>
          <w:lang w:val="en-US"/>
        </w:rPr>
        <w:t>for</w:t>
      </w:r>
      <w:r w:rsidRPr="00AC57EA">
        <w:rPr>
          <w:sz w:val="20"/>
          <w:szCs w:val="20"/>
          <w:lang w:val="en-US"/>
        </w:rPr>
        <w:t xml:space="preserve"> support</w:t>
      </w:r>
      <w:r w:rsidR="004A6098" w:rsidRPr="00AC57EA">
        <w:rPr>
          <w:sz w:val="20"/>
          <w:szCs w:val="20"/>
          <w:lang w:val="en-US"/>
        </w:rPr>
        <w:t>ing</w:t>
      </w:r>
      <w:r w:rsidRPr="00AC57EA">
        <w:rPr>
          <w:sz w:val="20"/>
          <w:szCs w:val="20"/>
          <w:lang w:val="en-US"/>
        </w:rPr>
        <w:t xml:space="preserve"> the jurisdictional function in the hearings, and </w:t>
      </w:r>
      <w:r w:rsidR="004A6098" w:rsidRPr="00AC57EA">
        <w:rPr>
          <w:sz w:val="20"/>
          <w:szCs w:val="20"/>
          <w:lang w:val="en-US"/>
        </w:rPr>
        <w:t>for</w:t>
      </w:r>
      <w:r w:rsidRPr="00AC57EA">
        <w:rPr>
          <w:sz w:val="20"/>
          <w:szCs w:val="20"/>
          <w:lang w:val="en-US"/>
        </w:rPr>
        <w:t xml:space="preserve"> monitoring and control</w:t>
      </w:r>
      <w:r w:rsidR="004A6098" w:rsidRPr="00AC57EA">
        <w:rPr>
          <w:sz w:val="20"/>
          <w:szCs w:val="20"/>
          <w:lang w:val="en-US"/>
        </w:rPr>
        <w:t>ling</w:t>
      </w:r>
      <w:r w:rsidRPr="00AC57EA">
        <w:rPr>
          <w:sz w:val="20"/>
          <w:szCs w:val="20"/>
          <w:lang w:val="en-US"/>
        </w:rPr>
        <w:t xml:space="preserve"> the measures of protection imposed by the court.</w:t>
      </w:r>
      <w:r w:rsidR="000C09FE" w:rsidRPr="00AC57EA">
        <w:rPr>
          <w:rStyle w:val="Refdenotaalpie"/>
          <w:sz w:val="20"/>
          <w:szCs w:val="20"/>
          <w:lang w:val="en-US"/>
        </w:rPr>
        <w:footnoteReference w:id="434"/>
      </w:r>
      <w:r w:rsidRPr="00AC57EA">
        <w:rPr>
          <w:sz w:val="20"/>
          <w:szCs w:val="20"/>
          <w:lang w:val="en-US"/>
        </w:rPr>
        <w:t xml:space="preserve"> Similarly, </w:t>
      </w:r>
      <w:r w:rsidR="009E269F" w:rsidRPr="00AC57EA">
        <w:rPr>
          <w:sz w:val="20"/>
          <w:szCs w:val="20"/>
          <w:lang w:val="en-US"/>
        </w:rPr>
        <w:t xml:space="preserve">according to </w:t>
      </w:r>
      <w:r w:rsidR="004A6098" w:rsidRPr="00AC57EA">
        <w:rPr>
          <w:sz w:val="20"/>
          <w:szCs w:val="20"/>
          <w:lang w:val="en-US"/>
        </w:rPr>
        <w:t>these</w:t>
      </w:r>
      <w:r w:rsidR="009E269F" w:rsidRPr="00AC57EA">
        <w:rPr>
          <w:sz w:val="20"/>
          <w:szCs w:val="20"/>
          <w:lang w:val="en-US"/>
        </w:rPr>
        <w:t xml:space="preserve"> regulations and a decree, Nicaragua adopted a public policy to strengthen the Nicaraguan family and to prevent violence, establishing different strategies (for prevention, assistance, institutional coordination, institutional strengthening, and community and territorial coordination, communication, investigation and redress) to prevent violence. It also established the inclusion in educational, health</w:t>
      </w:r>
      <w:r w:rsidR="00690301" w:rsidRPr="00AC57EA">
        <w:rPr>
          <w:sz w:val="20"/>
          <w:szCs w:val="20"/>
          <w:lang w:val="en-US"/>
        </w:rPr>
        <w:t xml:space="preserve"> care</w:t>
      </w:r>
      <w:r w:rsidR="009E269F" w:rsidRPr="00AC57EA">
        <w:rPr>
          <w:sz w:val="20"/>
          <w:szCs w:val="20"/>
          <w:lang w:val="en-US"/>
        </w:rPr>
        <w:t xml:space="preserve">, and institutional systems, among others, </w:t>
      </w:r>
      <w:r w:rsidR="00690301" w:rsidRPr="00AC57EA">
        <w:rPr>
          <w:sz w:val="20"/>
          <w:szCs w:val="20"/>
          <w:lang w:val="en-US"/>
        </w:rPr>
        <w:t xml:space="preserve">training </w:t>
      </w:r>
      <w:r w:rsidR="009E269F" w:rsidRPr="00AC57EA">
        <w:rPr>
          <w:sz w:val="20"/>
          <w:szCs w:val="20"/>
          <w:lang w:val="en-US"/>
        </w:rPr>
        <w:t>action</w:t>
      </w:r>
      <w:r w:rsidR="00690301" w:rsidRPr="00AC57EA">
        <w:rPr>
          <w:sz w:val="20"/>
          <w:szCs w:val="20"/>
          <w:lang w:val="en-US"/>
        </w:rPr>
        <w:t>s</w:t>
      </w:r>
      <w:r w:rsidR="009E269F" w:rsidRPr="00AC57EA">
        <w:rPr>
          <w:sz w:val="20"/>
          <w:szCs w:val="20"/>
          <w:lang w:val="en-US"/>
        </w:rPr>
        <w:t xml:space="preserve"> with a human rights perspective that promoted equality and non-discrimination between men and women, and </w:t>
      </w:r>
      <w:r w:rsidR="00690301" w:rsidRPr="00AC57EA">
        <w:rPr>
          <w:sz w:val="20"/>
          <w:szCs w:val="20"/>
          <w:lang w:val="en-US"/>
        </w:rPr>
        <w:t>encouraged</w:t>
      </w:r>
      <w:r w:rsidR="009E269F" w:rsidRPr="00AC57EA">
        <w:rPr>
          <w:sz w:val="20"/>
          <w:szCs w:val="20"/>
          <w:lang w:val="en-US"/>
        </w:rPr>
        <w:t xml:space="preserve"> changes in socio-cultural patter</w:t>
      </w:r>
      <w:r w:rsidR="00690301" w:rsidRPr="00AC57EA">
        <w:rPr>
          <w:sz w:val="20"/>
          <w:szCs w:val="20"/>
          <w:lang w:val="en-US"/>
        </w:rPr>
        <w:t>n</w:t>
      </w:r>
      <w:r w:rsidR="009E269F" w:rsidRPr="00AC57EA">
        <w:rPr>
          <w:sz w:val="20"/>
          <w:szCs w:val="20"/>
          <w:lang w:val="en-US"/>
        </w:rPr>
        <w:t>s.</w:t>
      </w:r>
      <w:r w:rsidR="009D661E" w:rsidRPr="00AC57EA">
        <w:rPr>
          <w:rStyle w:val="Refdenotaalpie"/>
          <w:sz w:val="20"/>
          <w:szCs w:val="20"/>
          <w:lang w:val="en-US"/>
        </w:rPr>
        <w:footnoteReference w:id="435"/>
      </w:r>
    </w:p>
    <w:p w14:paraId="6C57354E" w14:textId="77777777" w:rsidR="009D661E" w:rsidRPr="00AC57EA" w:rsidRDefault="009D661E" w:rsidP="009D661E">
      <w:pPr>
        <w:tabs>
          <w:tab w:val="left" w:pos="567"/>
        </w:tabs>
        <w:spacing w:line="240" w:lineRule="auto"/>
        <w:textAlignment w:val="auto"/>
        <w:rPr>
          <w:sz w:val="20"/>
          <w:szCs w:val="20"/>
          <w:lang w:val="en-US"/>
        </w:rPr>
      </w:pPr>
    </w:p>
    <w:p w14:paraId="68A4DB5B" w14:textId="1D846C08" w:rsidR="009D661E" w:rsidRPr="00AC57EA" w:rsidRDefault="00B7258C" w:rsidP="009E269F">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The Court</w:t>
      </w:r>
      <w:r w:rsidR="009D661E" w:rsidRPr="00AC57EA">
        <w:rPr>
          <w:sz w:val="20"/>
          <w:szCs w:val="20"/>
          <w:lang w:val="en-US"/>
        </w:rPr>
        <w:t xml:space="preserve"> </w:t>
      </w:r>
      <w:r w:rsidR="009E269F" w:rsidRPr="00AC57EA">
        <w:rPr>
          <w:sz w:val="20"/>
          <w:szCs w:val="20"/>
          <w:lang w:val="en-US"/>
        </w:rPr>
        <w:t xml:space="preserve">appreciates the State’s efforts to adopt laws, </w:t>
      </w:r>
      <w:r w:rsidR="00690301" w:rsidRPr="00AC57EA">
        <w:rPr>
          <w:sz w:val="20"/>
          <w:szCs w:val="20"/>
          <w:lang w:val="en-US"/>
        </w:rPr>
        <w:t xml:space="preserve">other </w:t>
      </w:r>
      <w:r w:rsidR="009E269F" w:rsidRPr="00AC57EA">
        <w:rPr>
          <w:sz w:val="20"/>
          <w:szCs w:val="20"/>
          <w:lang w:val="en-US"/>
        </w:rPr>
        <w:t xml:space="preserve">legal norms and public policies, and </w:t>
      </w:r>
      <w:r w:rsidR="00690301" w:rsidRPr="00AC57EA">
        <w:rPr>
          <w:sz w:val="20"/>
          <w:szCs w:val="20"/>
          <w:lang w:val="en-US"/>
        </w:rPr>
        <w:t xml:space="preserve">to </w:t>
      </w:r>
      <w:r w:rsidR="009E269F" w:rsidRPr="00AC57EA">
        <w:rPr>
          <w:sz w:val="20"/>
          <w:szCs w:val="20"/>
          <w:lang w:val="en-US"/>
        </w:rPr>
        <w:t>create institutions and public policies aimed at combating gender-based violence, as well as its efforts to adapt is criminal investigation and criminal proceedings system. These advances constitute structural indicators related to the adoption of measures that, in principle, have the objective of combating violence and discriminati</w:t>
      </w:r>
      <w:r w:rsidR="00690301" w:rsidRPr="00AC57EA">
        <w:rPr>
          <w:sz w:val="20"/>
          <w:szCs w:val="20"/>
          <w:lang w:val="en-US"/>
        </w:rPr>
        <w:t>on</w:t>
      </w:r>
      <w:r w:rsidR="009E269F" w:rsidRPr="00AC57EA">
        <w:rPr>
          <w:sz w:val="20"/>
          <w:szCs w:val="20"/>
          <w:lang w:val="en-US"/>
        </w:rPr>
        <w:t xml:space="preserve"> against women and </w:t>
      </w:r>
      <w:r w:rsidR="003C0AC1" w:rsidRPr="00AC57EA">
        <w:rPr>
          <w:sz w:val="20"/>
          <w:szCs w:val="20"/>
          <w:lang w:val="en-US"/>
        </w:rPr>
        <w:t>female child</w:t>
      </w:r>
      <w:r w:rsidR="009E269F" w:rsidRPr="00AC57EA">
        <w:rPr>
          <w:sz w:val="20"/>
          <w:szCs w:val="20"/>
          <w:lang w:val="en-US"/>
        </w:rPr>
        <w:t xml:space="preserve">ren, </w:t>
      </w:r>
      <w:r w:rsidR="00690301" w:rsidRPr="00AC57EA">
        <w:rPr>
          <w:sz w:val="20"/>
          <w:szCs w:val="20"/>
          <w:lang w:val="en-US"/>
        </w:rPr>
        <w:t>and</w:t>
      </w:r>
      <w:r w:rsidR="009E269F" w:rsidRPr="00AC57EA">
        <w:rPr>
          <w:sz w:val="20"/>
          <w:szCs w:val="20"/>
          <w:lang w:val="en-US"/>
        </w:rPr>
        <w:t xml:space="preserve"> their application will contribute to this</w:t>
      </w:r>
      <w:r w:rsidR="009E269F" w:rsidRPr="00AC57EA">
        <w:rPr>
          <w:rFonts w:eastAsia="Calibri"/>
          <w:sz w:val="20"/>
          <w:szCs w:val="20"/>
          <w:lang w:val="en-US"/>
        </w:rPr>
        <w:t>.</w:t>
      </w:r>
      <w:r w:rsidR="009D661E" w:rsidRPr="00AC57EA">
        <w:rPr>
          <w:rFonts w:eastAsia="Calibri" w:cs="Verdana"/>
          <w:sz w:val="20"/>
          <w:szCs w:val="20"/>
          <w:vertAlign w:val="superscript"/>
          <w:lang w:val="en-US"/>
        </w:rPr>
        <w:footnoteReference w:id="436"/>
      </w:r>
    </w:p>
    <w:p w14:paraId="1780332A" w14:textId="77777777" w:rsidR="009D661E" w:rsidRPr="00AC57EA" w:rsidRDefault="009D661E" w:rsidP="009D661E">
      <w:pPr>
        <w:tabs>
          <w:tab w:val="left" w:pos="567"/>
        </w:tabs>
        <w:spacing w:line="240" w:lineRule="auto"/>
        <w:textAlignment w:val="auto"/>
        <w:rPr>
          <w:sz w:val="20"/>
          <w:szCs w:val="20"/>
          <w:lang w:val="en-US"/>
        </w:rPr>
      </w:pPr>
    </w:p>
    <w:p w14:paraId="2C378476" w14:textId="637BF61B" w:rsidR="009D661E" w:rsidRPr="00AC57EA" w:rsidRDefault="009E269F" w:rsidP="00DF3D71">
      <w:pPr>
        <w:numPr>
          <w:ilvl w:val="0"/>
          <w:numId w:val="2"/>
        </w:numPr>
        <w:tabs>
          <w:tab w:val="left" w:pos="567"/>
          <w:tab w:val="num" w:pos="5057"/>
        </w:tabs>
        <w:spacing w:line="240" w:lineRule="auto"/>
        <w:ind w:left="0" w:firstLine="0"/>
        <w:textAlignment w:val="auto"/>
        <w:rPr>
          <w:sz w:val="20"/>
          <w:szCs w:val="20"/>
          <w:lang w:val="en-US"/>
        </w:rPr>
      </w:pPr>
      <w:r w:rsidRPr="00AC57EA">
        <w:rPr>
          <w:rFonts w:eastAsia="Calibri"/>
          <w:sz w:val="20"/>
          <w:szCs w:val="20"/>
          <w:lang w:val="en-US"/>
        </w:rPr>
        <w:t xml:space="preserve">Nevertheless, the Court finds it pertinent to order the following </w:t>
      </w:r>
      <w:r w:rsidR="00474CE5" w:rsidRPr="00AC57EA">
        <w:rPr>
          <w:rFonts w:eastAsia="Calibri"/>
          <w:sz w:val="20"/>
          <w:szCs w:val="20"/>
          <w:lang w:val="en-US"/>
        </w:rPr>
        <w:t>guarantees of non-repetition</w:t>
      </w:r>
      <w:r w:rsidR="00174377" w:rsidRPr="00AC57EA">
        <w:rPr>
          <w:rFonts w:eastAsia="Calibri"/>
          <w:sz w:val="20"/>
          <w:szCs w:val="20"/>
          <w:lang w:val="en-US"/>
        </w:rPr>
        <w:t xml:space="preserve">, </w:t>
      </w:r>
      <w:r w:rsidRPr="00AC57EA">
        <w:rPr>
          <w:rFonts w:eastAsia="Calibri"/>
          <w:sz w:val="20"/>
          <w:szCs w:val="20"/>
          <w:lang w:val="en-US"/>
        </w:rPr>
        <w:t xml:space="preserve">because they constitute measures that will </w:t>
      </w:r>
      <w:r w:rsidR="00690301" w:rsidRPr="00AC57EA">
        <w:rPr>
          <w:rFonts w:eastAsia="Calibri"/>
          <w:sz w:val="20"/>
          <w:szCs w:val="20"/>
          <w:lang w:val="en-US"/>
        </w:rPr>
        <w:t>help</w:t>
      </w:r>
      <w:r w:rsidRPr="00AC57EA">
        <w:rPr>
          <w:rFonts w:eastAsia="Calibri"/>
          <w:sz w:val="20"/>
          <w:szCs w:val="20"/>
          <w:lang w:val="en-US"/>
        </w:rPr>
        <w:t xml:space="preserve"> strengthen the State’s institutional capacities in different spheres and provide comprehensive assistance to </w:t>
      </w:r>
      <w:r w:rsidR="001567A9" w:rsidRPr="00AC57EA">
        <w:rPr>
          <w:rFonts w:eastAsia="Calibri"/>
          <w:sz w:val="20"/>
          <w:szCs w:val="20"/>
          <w:lang w:val="en-US"/>
        </w:rPr>
        <w:t>children and adolescents</w:t>
      </w:r>
      <w:r w:rsidR="009D661E" w:rsidRPr="00AC57EA">
        <w:rPr>
          <w:rFonts w:eastAsia="Calibri"/>
          <w:sz w:val="20"/>
          <w:szCs w:val="20"/>
          <w:lang w:val="en-US"/>
        </w:rPr>
        <w:t xml:space="preserve"> </w:t>
      </w:r>
      <w:r w:rsidRPr="00AC57EA">
        <w:rPr>
          <w:rFonts w:eastAsia="Calibri"/>
          <w:sz w:val="20"/>
          <w:szCs w:val="20"/>
          <w:lang w:val="en-US"/>
        </w:rPr>
        <w:t>who are victims of sexual violence and rape</w:t>
      </w:r>
      <w:r w:rsidR="009D661E" w:rsidRPr="00AC57EA">
        <w:rPr>
          <w:rFonts w:eastAsia="Calibri"/>
          <w:sz w:val="20"/>
          <w:szCs w:val="20"/>
          <w:lang w:val="en-US"/>
        </w:rPr>
        <w:t>.</w:t>
      </w:r>
    </w:p>
    <w:p w14:paraId="68E1712A" w14:textId="77777777" w:rsidR="009D661E" w:rsidRPr="00AC57EA" w:rsidRDefault="009D661E" w:rsidP="009D661E">
      <w:pPr>
        <w:pStyle w:val="Prrafodelista"/>
        <w:spacing w:line="240" w:lineRule="auto"/>
        <w:ind w:left="0"/>
        <w:rPr>
          <w:sz w:val="20"/>
          <w:szCs w:val="20"/>
          <w:lang w:val="en-US"/>
        </w:rPr>
      </w:pPr>
    </w:p>
    <w:p w14:paraId="2BBF5158" w14:textId="5657E317" w:rsidR="009D661E" w:rsidRPr="00AC57EA" w:rsidRDefault="008F7852" w:rsidP="009D661E">
      <w:pPr>
        <w:spacing w:line="240" w:lineRule="auto"/>
        <w:ind w:left="1985"/>
        <w:rPr>
          <w:i/>
          <w:iCs/>
          <w:sz w:val="20"/>
          <w:szCs w:val="20"/>
          <w:lang w:val="en-US"/>
        </w:rPr>
      </w:pPr>
      <w:r w:rsidRPr="00AC57EA">
        <w:rPr>
          <w:i/>
          <w:iCs/>
          <w:sz w:val="20"/>
          <w:szCs w:val="20"/>
          <w:lang w:val="en-US"/>
        </w:rPr>
        <w:t>a</w:t>
      </w:r>
      <w:r w:rsidR="00D8602B" w:rsidRPr="00AC57EA">
        <w:rPr>
          <w:i/>
          <w:iCs/>
          <w:sz w:val="20"/>
          <w:szCs w:val="20"/>
          <w:lang w:val="en-US"/>
        </w:rPr>
        <w:t>.1</w:t>
      </w:r>
      <w:r w:rsidR="009D661E" w:rsidRPr="00AC57EA">
        <w:rPr>
          <w:i/>
          <w:iCs/>
          <w:sz w:val="20"/>
          <w:szCs w:val="20"/>
          <w:lang w:val="en-US"/>
        </w:rPr>
        <w:t>) Adop</w:t>
      </w:r>
      <w:r w:rsidR="00BB1E0B" w:rsidRPr="00AC57EA">
        <w:rPr>
          <w:i/>
          <w:iCs/>
          <w:sz w:val="20"/>
          <w:szCs w:val="20"/>
          <w:lang w:val="en-US"/>
        </w:rPr>
        <w:t>tion of standardized</w:t>
      </w:r>
      <w:r w:rsidR="009D661E" w:rsidRPr="00AC57EA">
        <w:rPr>
          <w:i/>
          <w:iCs/>
          <w:sz w:val="20"/>
          <w:szCs w:val="20"/>
          <w:lang w:val="en-US"/>
        </w:rPr>
        <w:t xml:space="preserve"> protocols </w:t>
      </w:r>
      <w:r w:rsidR="00BB1E0B" w:rsidRPr="00AC57EA">
        <w:rPr>
          <w:i/>
          <w:iCs/>
          <w:sz w:val="20"/>
          <w:szCs w:val="20"/>
          <w:lang w:val="en-US"/>
        </w:rPr>
        <w:t>for investigation and comprehensive assistance in cases of sexual violence against</w:t>
      </w:r>
      <w:r w:rsidR="009D661E" w:rsidRPr="00AC57EA">
        <w:rPr>
          <w:i/>
          <w:iCs/>
          <w:sz w:val="20"/>
          <w:szCs w:val="20"/>
          <w:lang w:val="en-US"/>
        </w:rPr>
        <w:t xml:space="preserve"> </w:t>
      </w:r>
      <w:r w:rsidR="001567A9" w:rsidRPr="00AC57EA">
        <w:rPr>
          <w:i/>
          <w:iCs/>
          <w:sz w:val="20"/>
          <w:szCs w:val="20"/>
          <w:lang w:val="en-US"/>
        </w:rPr>
        <w:t>children and adolescents</w:t>
      </w:r>
    </w:p>
    <w:p w14:paraId="65A064D3" w14:textId="77777777" w:rsidR="009D661E" w:rsidRPr="00AC57EA" w:rsidRDefault="009D661E" w:rsidP="009D661E">
      <w:pPr>
        <w:spacing w:line="240" w:lineRule="auto"/>
        <w:rPr>
          <w:iCs/>
          <w:sz w:val="20"/>
          <w:szCs w:val="20"/>
          <w:lang w:val="en-US"/>
        </w:rPr>
      </w:pPr>
    </w:p>
    <w:p w14:paraId="5548D3E9" w14:textId="4E4AB696" w:rsidR="009D661E" w:rsidRPr="00AC57EA" w:rsidRDefault="00B7258C"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Commission</w:t>
      </w:r>
      <w:r w:rsidR="009D661E" w:rsidRPr="00AC57EA">
        <w:rPr>
          <w:rFonts w:eastAsia="MS Mincho"/>
          <w:sz w:val="20"/>
          <w:szCs w:val="20"/>
          <w:lang w:val="en-US" w:bidi="en-US"/>
        </w:rPr>
        <w:t xml:space="preserve"> </w:t>
      </w:r>
      <w:r w:rsidR="00BB1E0B" w:rsidRPr="00AC57EA">
        <w:rPr>
          <w:rFonts w:eastAsia="MS Mincho"/>
          <w:sz w:val="20"/>
          <w:szCs w:val="20"/>
          <w:lang w:val="en-US" w:bidi="en-US"/>
        </w:rPr>
        <w:t>asked</w:t>
      </w:r>
      <w:r w:rsidR="009D661E" w:rsidRPr="00AC57EA">
        <w:rPr>
          <w:sz w:val="20"/>
          <w:szCs w:val="20"/>
          <w:lang w:val="en-US"/>
        </w:rPr>
        <w:t xml:space="preserve"> </w:t>
      </w:r>
      <w:r w:rsidRPr="00AC57EA">
        <w:rPr>
          <w:sz w:val="20"/>
          <w:szCs w:val="20"/>
          <w:lang w:val="en-US"/>
        </w:rPr>
        <w:t>the Court</w:t>
      </w:r>
      <w:r w:rsidR="00BB1E0B" w:rsidRPr="00AC57EA">
        <w:rPr>
          <w:sz w:val="20"/>
          <w:szCs w:val="20"/>
          <w:lang w:val="en-US"/>
        </w:rPr>
        <w:t xml:space="preserve"> to order the State to develop investigation protocols to ensure that cases of rape and other forms of sexual violence against women and girls are duly investigated and prosecuted pursuant to the standards established in its report</w:t>
      </w:r>
      <w:r w:rsidR="00F53A54" w:rsidRPr="00AC57EA">
        <w:rPr>
          <w:sz w:val="20"/>
          <w:szCs w:val="20"/>
          <w:lang w:val="en-US"/>
        </w:rPr>
        <w:t>.</w:t>
      </w:r>
    </w:p>
    <w:p w14:paraId="65F662A4" w14:textId="77777777" w:rsidR="009D661E" w:rsidRPr="00AC57EA" w:rsidRDefault="009D661E" w:rsidP="009D661E">
      <w:pPr>
        <w:tabs>
          <w:tab w:val="left" w:pos="0"/>
          <w:tab w:val="num" w:pos="11028"/>
        </w:tabs>
        <w:spacing w:line="240" w:lineRule="auto"/>
        <w:ind w:right="-90"/>
        <w:rPr>
          <w:rFonts w:eastAsia="MS Mincho"/>
          <w:sz w:val="20"/>
          <w:szCs w:val="20"/>
          <w:lang w:val="en-US" w:bidi="en-US"/>
        </w:rPr>
      </w:pPr>
    </w:p>
    <w:p w14:paraId="383314FB" w14:textId="4C969665" w:rsidR="009D661E" w:rsidRPr="00AC57EA" w:rsidRDefault="00171E27" w:rsidP="009D661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iCs/>
          <w:sz w:val="20"/>
          <w:szCs w:val="20"/>
          <w:lang w:val="en-US" w:bidi="en-US"/>
        </w:rPr>
        <w:t xml:space="preserve">The </w:t>
      </w:r>
      <w:r w:rsidRPr="00AC57EA">
        <w:rPr>
          <w:rFonts w:eastAsia="MS Mincho"/>
          <w:b/>
          <w:bCs/>
          <w:i/>
          <w:sz w:val="20"/>
          <w:szCs w:val="20"/>
          <w:lang w:val="en-US" w:bidi="en-US"/>
        </w:rPr>
        <w:t>representatives</w:t>
      </w:r>
      <w:r w:rsidR="009D661E" w:rsidRPr="00AC57EA">
        <w:rPr>
          <w:rFonts w:eastAsia="MS Mincho"/>
          <w:sz w:val="20"/>
          <w:szCs w:val="20"/>
          <w:lang w:val="en-US" w:bidi="en-US"/>
        </w:rPr>
        <w:t xml:space="preserve"> </w:t>
      </w:r>
      <w:r w:rsidR="00133013" w:rsidRPr="00AC57EA">
        <w:rPr>
          <w:rFonts w:eastAsia="MS Mincho"/>
          <w:sz w:val="20"/>
          <w:szCs w:val="20"/>
          <w:lang w:val="en-US" w:bidi="en-US"/>
        </w:rPr>
        <w:t xml:space="preserve">asked that the State develop an investigation protocol for cases of sexual abuse against women, with special emphasis on assistance to </w:t>
      </w:r>
      <w:r w:rsidR="003C0AC1" w:rsidRPr="00AC57EA">
        <w:rPr>
          <w:rFonts w:eastAsia="MS Mincho"/>
          <w:sz w:val="20"/>
          <w:szCs w:val="20"/>
          <w:lang w:val="en-US" w:bidi="en-US"/>
        </w:rPr>
        <w:t>female child</w:t>
      </w:r>
      <w:r w:rsidR="00133013" w:rsidRPr="00AC57EA">
        <w:rPr>
          <w:rFonts w:eastAsia="MS Mincho"/>
          <w:sz w:val="20"/>
          <w:szCs w:val="20"/>
          <w:lang w:val="en-US" w:bidi="en-US"/>
        </w:rPr>
        <w:t xml:space="preserve"> victims</w:t>
      </w:r>
      <w:r w:rsidR="009D661E" w:rsidRPr="00AC57EA">
        <w:rPr>
          <w:rFonts w:eastAsia="MS Mincho"/>
          <w:sz w:val="20"/>
          <w:szCs w:val="20"/>
          <w:lang w:val="en-US" w:bidi="en-US"/>
        </w:rPr>
        <w:t>.</w:t>
      </w:r>
    </w:p>
    <w:p w14:paraId="1AB8AE23" w14:textId="77777777" w:rsidR="009D661E" w:rsidRPr="00AC57EA" w:rsidRDefault="009D661E" w:rsidP="009D661E">
      <w:pPr>
        <w:pStyle w:val="Prrafodelista"/>
        <w:spacing w:line="240" w:lineRule="auto"/>
        <w:rPr>
          <w:rFonts w:eastAsia="MS Mincho"/>
          <w:sz w:val="20"/>
          <w:szCs w:val="20"/>
          <w:lang w:val="en-US" w:bidi="en-US"/>
        </w:rPr>
      </w:pPr>
    </w:p>
    <w:p w14:paraId="04D31882" w14:textId="6AB0EED3" w:rsidR="00133013" w:rsidRPr="00AC57EA" w:rsidRDefault="00EC52D7" w:rsidP="00133013">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9D661E" w:rsidRPr="00AC57EA">
        <w:rPr>
          <w:rFonts w:eastAsia="MS Mincho"/>
          <w:b/>
          <w:bCs/>
          <w:i/>
          <w:iCs/>
          <w:sz w:val="20"/>
          <w:szCs w:val="20"/>
          <w:lang w:val="en-US" w:bidi="en-US"/>
        </w:rPr>
        <w:t xml:space="preserve"> </w:t>
      </w:r>
      <w:r w:rsidR="00133013" w:rsidRPr="00AC57EA">
        <w:rPr>
          <w:rFonts w:eastAsia="MS Mincho"/>
          <w:sz w:val="20"/>
          <w:szCs w:val="20"/>
          <w:lang w:val="en-US" w:bidi="en-US"/>
        </w:rPr>
        <w:t xml:space="preserve">indicated that this recommendations was already being complied with because </w:t>
      </w:r>
      <w:r w:rsidRPr="00AC57EA">
        <w:rPr>
          <w:rFonts w:eastAsia="MS Mincho"/>
          <w:sz w:val="20"/>
          <w:szCs w:val="20"/>
          <w:lang w:val="en-US" w:bidi="en-US"/>
        </w:rPr>
        <w:t>the State of</w:t>
      </w:r>
      <w:r w:rsidR="009D661E" w:rsidRPr="00AC57EA">
        <w:rPr>
          <w:rFonts w:eastAsia="MS Mincho"/>
          <w:sz w:val="20"/>
          <w:szCs w:val="20"/>
          <w:lang w:val="en-US" w:bidi="en-US"/>
        </w:rPr>
        <w:t xml:space="preserve"> Nicaragua</w:t>
      </w:r>
      <w:r w:rsidR="00133013" w:rsidRPr="00AC57EA">
        <w:rPr>
          <w:rFonts w:eastAsia="MS Mincho"/>
          <w:sz w:val="20"/>
          <w:szCs w:val="20"/>
          <w:lang w:val="en-US" w:bidi="en-US"/>
        </w:rPr>
        <w:t xml:space="preserve"> considered that the investigation of cases of rape and other forms of violence against women and children was important. In this regard, it had created institutional policy </w:t>
      </w:r>
      <w:r w:rsidR="003C0AC1" w:rsidRPr="00AC57EA">
        <w:rPr>
          <w:rFonts w:eastAsia="MS Mincho"/>
          <w:sz w:val="20"/>
          <w:szCs w:val="20"/>
          <w:lang w:val="en-US" w:bidi="en-US"/>
        </w:rPr>
        <w:t xml:space="preserve">instruments </w:t>
      </w:r>
      <w:r w:rsidR="00133013" w:rsidRPr="00AC57EA">
        <w:rPr>
          <w:rFonts w:eastAsia="MS Mincho"/>
          <w:sz w:val="20"/>
          <w:szCs w:val="20"/>
          <w:lang w:val="en-US" w:bidi="en-US"/>
        </w:rPr>
        <w:t xml:space="preserve">such as the Protocols </w:t>
      </w:r>
      <w:r w:rsidR="003C0AC1" w:rsidRPr="00AC57EA">
        <w:rPr>
          <w:rFonts w:eastAsia="MS Mincho"/>
          <w:sz w:val="20"/>
          <w:szCs w:val="20"/>
          <w:lang w:val="en-US" w:bidi="en-US"/>
        </w:rPr>
        <w:t>on A</w:t>
      </w:r>
      <w:r w:rsidR="00133013" w:rsidRPr="00AC57EA">
        <w:rPr>
          <w:rFonts w:eastAsia="MS Mincho"/>
          <w:sz w:val="20"/>
          <w:szCs w:val="20"/>
          <w:lang w:val="en-US" w:bidi="en-US"/>
        </w:rPr>
        <w:t xml:space="preserve">ssistance to </w:t>
      </w:r>
      <w:r w:rsidR="003C0AC1" w:rsidRPr="00AC57EA">
        <w:rPr>
          <w:rFonts w:eastAsia="MS Mincho"/>
          <w:sz w:val="20"/>
          <w:szCs w:val="20"/>
          <w:lang w:val="en-US" w:bidi="en-US"/>
        </w:rPr>
        <w:t>V</w:t>
      </w:r>
      <w:r w:rsidR="00133013" w:rsidRPr="00AC57EA">
        <w:rPr>
          <w:rFonts w:eastAsia="MS Mincho"/>
          <w:sz w:val="20"/>
          <w:szCs w:val="20"/>
          <w:lang w:val="en-US" w:bidi="en-US"/>
        </w:rPr>
        <w:t xml:space="preserve">ictims and the Protocol </w:t>
      </w:r>
      <w:r w:rsidR="00133013" w:rsidRPr="00AC57EA">
        <w:rPr>
          <w:sz w:val="20"/>
          <w:szCs w:val="20"/>
          <w:lang w:val="en-US"/>
        </w:rPr>
        <w:t xml:space="preserve">on </w:t>
      </w:r>
      <w:r w:rsidR="003C0AC1" w:rsidRPr="00AC57EA">
        <w:rPr>
          <w:sz w:val="20"/>
          <w:szCs w:val="20"/>
          <w:lang w:val="en-US"/>
        </w:rPr>
        <w:t>P</w:t>
      </w:r>
      <w:r w:rsidR="00133013" w:rsidRPr="00AC57EA">
        <w:rPr>
          <w:sz w:val="20"/>
          <w:szCs w:val="20"/>
          <w:lang w:val="en-US"/>
        </w:rPr>
        <w:t xml:space="preserve">rosecution of </w:t>
      </w:r>
      <w:r w:rsidR="003C0AC1" w:rsidRPr="00AC57EA">
        <w:rPr>
          <w:sz w:val="20"/>
          <w:szCs w:val="20"/>
          <w:lang w:val="en-US"/>
        </w:rPr>
        <w:t>G</w:t>
      </w:r>
      <w:r w:rsidR="00133013" w:rsidRPr="00AC57EA">
        <w:rPr>
          <w:sz w:val="20"/>
          <w:szCs w:val="20"/>
          <w:lang w:val="en-US"/>
        </w:rPr>
        <w:t xml:space="preserve">ender-based </w:t>
      </w:r>
      <w:r w:rsidR="003C0AC1" w:rsidRPr="00AC57EA">
        <w:rPr>
          <w:sz w:val="20"/>
          <w:szCs w:val="20"/>
          <w:lang w:val="en-US"/>
        </w:rPr>
        <w:t>V</w:t>
      </w:r>
      <w:r w:rsidR="00133013" w:rsidRPr="00AC57EA">
        <w:rPr>
          <w:sz w:val="20"/>
          <w:szCs w:val="20"/>
          <w:lang w:val="en-US"/>
        </w:rPr>
        <w:t xml:space="preserve">iolence. It explained that, in 2010, it had put in practice the Model for comprehensive assistance to victims of gender-based violence in Nicaragua (MAI), to coordinate the system of assistance to victims of domestic and sexual violence, </w:t>
      </w:r>
      <w:r w:rsidR="003C0AC1" w:rsidRPr="00AC57EA">
        <w:rPr>
          <w:sz w:val="20"/>
          <w:szCs w:val="20"/>
          <w:lang w:val="en-US"/>
        </w:rPr>
        <w:t>and this</w:t>
      </w:r>
      <w:r w:rsidR="00133013" w:rsidRPr="00AC57EA">
        <w:rPr>
          <w:sz w:val="20"/>
          <w:szCs w:val="20"/>
          <w:lang w:val="en-US"/>
        </w:rPr>
        <w:t xml:space="preserve"> allowed actions of investigation, criminal prosecution and punishment to be taken from the moment authorities were informed of the act, as well as measures of protection </w:t>
      </w:r>
      <w:r w:rsidR="00B00830" w:rsidRPr="00AC57EA">
        <w:rPr>
          <w:sz w:val="20"/>
          <w:szCs w:val="20"/>
          <w:lang w:val="en-US"/>
        </w:rPr>
        <w:t>to contribute to the victim’s</w:t>
      </w:r>
      <w:r w:rsidR="00133013" w:rsidRPr="00AC57EA">
        <w:rPr>
          <w:sz w:val="20"/>
          <w:szCs w:val="20"/>
          <w:lang w:val="en-US"/>
        </w:rPr>
        <w:t xml:space="preserve"> recovery</w:t>
      </w:r>
      <w:r w:rsidR="00B00830" w:rsidRPr="00AC57EA">
        <w:rPr>
          <w:sz w:val="20"/>
          <w:szCs w:val="20"/>
          <w:lang w:val="en-US"/>
        </w:rPr>
        <w:t xml:space="preserve">, </w:t>
      </w:r>
      <w:r w:rsidR="003C0AC1" w:rsidRPr="00AC57EA">
        <w:rPr>
          <w:sz w:val="20"/>
          <w:szCs w:val="20"/>
          <w:lang w:val="en-US"/>
        </w:rPr>
        <w:t>together with</w:t>
      </w:r>
      <w:r w:rsidR="00B00830" w:rsidRPr="00AC57EA">
        <w:rPr>
          <w:sz w:val="20"/>
          <w:szCs w:val="20"/>
          <w:lang w:val="en-US"/>
        </w:rPr>
        <w:t xml:space="preserve"> measures of restitution to redress the harm. Lastly, </w:t>
      </w:r>
      <w:r w:rsidR="001001BD" w:rsidRPr="00AC57EA">
        <w:rPr>
          <w:sz w:val="20"/>
          <w:szCs w:val="20"/>
          <w:lang w:val="en-US"/>
        </w:rPr>
        <w:t>the State</w:t>
      </w:r>
      <w:r w:rsidR="00B00830" w:rsidRPr="00AC57EA">
        <w:rPr>
          <w:sz w:val="20"/>
          <w:szCs w:val="20"/>
          <w:lang w:val="en-US"/>
        </w:rPr>
        <w:t xml:space="preserve"> indicated that it had specifically proposed the implementation of norms of assistance and action centered on victims that avoided secondary victimization, strengthened the institutional response capacity in cases of </w:t>
      </w:r>
      <w:r w:rsidR="001A3355" w:rsidRPr="00AC57EA">
        <w:rPr>
          <w:sz w:val="20"/>
          <w:szCs w:val="20"/>
          <w:lang w:val="en-US"/>
        </w:rPr>
        <w:t>intrafamily violence</w:t>
      </w:r>
      <w:r w:rsidR="00B00830" w:rsidRPr="00AC57EA">
        <w:rPr>
          <w:sz w:val="20"/>
          <w:szCs w:val="20"/>
          <w:lang w:val="en-US"/>
        </w:rPr>
        <w:t xml:space="preserve"> and sexual offenses, and protected physical, mental, sexual, and patrimonial integrity, by the application of precautionary measures in favor of the victims.</w:t>
      </w:r>
    </w:p>
    <w:p w14:paraId="431DAD64" w14:textId="77777777" w:rsidR="009D661E" w:rsidRPr="00AC57EA" w:rsidRDefault="009D661E" w:rsidP="009D661E">
      <w:pPr>
        <w:tabs>
          <w:tab w:val="left" w:pos="567"/>
        </w:tabs>
        <w:spacing w:line="240" w:lineRule="auto"/>
        <w:textAlignment w:val="auto"/>
        <w:rPr>
          <w:sz w:val="20"/>
          <w:szCs w:val="20"/>
          <w:lang w:val="en-US"/>
        </w:rPr>
      </w:pPr>
    </w:p>
    <w:p w14:paraId="37AF3DAF" w14:textId="5B7C5B8C" w:rsidR="00B00830" w:rsidRPr="00AC57EA" w:rsidRDefault="00EC52D7" w:rsidP="009D661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The State</w:t>
      </w:r>
      <w:r w:rsidR="009D661E" w:rsidRPr="00AC57EA">
        <w:rPr>
          <w:rFonts w:eastAsia="MS Mincho"/>
          <w:sz w:val="20"/>
          <w:szCs w:val="20"/>
          <w:lang w:val="en-US" w:bidi="en-US"/>
        </w:rPr>
        <w:t xml:space="preserve"> </w:t>
      </w:r>
      <w:r w:rsidR="00B00830" w:rsidRPr="00AC57EA">
        <w:rPr>
          <w:rFonts w:eastAsia="MS Mincho"/>
          <w:sz w:val="20"/>
          <w:szCs w:val="20"/>
          <w:lang w:val="en-US" w:bidi="en-US"/>
        </w:rPr>
        <w:t xml:space="preserve">also alleged that, in 2005, </w:t>
      </w:r>
      <w:r w:rsidR="00151468" w:rsidRPr="00AC57EA">
        <w:rPr>
          <w:rFonts w:eastAsia="MS Mincho"/>
          <w:sz w:val="20"/>
          <w:szCs w:val="20"/>
          <w:lang w:val="en-US" w:bidi="en-US"/>
        </w:rPr>
        <w:t>the Public Prosecution Service</w:t>
      </w:r>
      <w:r w:rsidR="009D661E" w:rsidRPr="00AC57EA">
        <w:rPr>
          <w:rFonts w:eastAsia="MS Mincho"/>
          <w:sz w:val="20"/>
          <w:szCs w:val="20"/>
          <w:lang w:val="en-US" w:bidi="en-US"/>
        </w:rPr>
        <w:t xml:space="preserve"> </w:t>
      </w:r>
      <w:r w:rsidR="00B00830" w:rsidRPr="00AC57EA">
        <w:rPr>
          <w:rFonts w:eastAsia="MS Mincho"/>
          <w:sz w:val="20"/>
          <w:szCs w:val="20"/>
          <w:lang w:val="en-US" w:bidi="en-US"/>
        </w:rPr>
        <w:t xml:space="preserve">had created the </w:t>
      </w:r>
      <w:r w:rsidR="00B00830" w:rsidRPr="00AC57EA">
        <w:rPr>
          <w:sz w:val="20"/>
          <w:szCs w:val="20"/>
          <w:lang w:val="en-US"/>
        </w:rPr>
        <w:t xml:space="preserve">Specialized unit to combat crimes of gender-based violence and the Specialized </w:t>
      </w:r>
      <w:r w:rsidR="004A6098" w:rsidRPr="00AC57EA">
        <w:rPr>
          <w:sz w:val="20"/>
          <w:szCs w:val="20"/>
          <w:lang w:val="en-US"/>
        </w:rPr>
        <w:t>Victims Assistance Unit</w:t>
      </w:r>
      <w:r w:rsidR="00B00830" w:rsidRPr="00AC57EA">
        <w:rPr>
          <w:sz w:val="20"/>
          <w:szCs w:val="20"/>
          <w:lang w:val="en-US"/>
        </w:rPr>
        <w:t xml:space="preserve">. The latter was responsible for </w:t>
      </w:r>
      <w:r w:rsidR="001001BD" w:rsidRPr="00AC57EA">
        <w:rPr>
          <w:sz w:val="20"/>
          <w:szCs w:val="20"/>
          <w:lang w:val="en-US"/>
        </w:rPr>
        <w:t>providing</w:t>
      </w:r>
      <w:r w:rsidR="00B00830" w:rsidRPr="00AC57EA">
        <w:rPr>
          <w:sz w:val="20"/>
          <w:szCs w:val="20"/>
          <w:lang w:val="en-US"/>
        </w:rPr>
        <w:t xml:space="preserve"> comprehensive assistance in legal and psychological matters,</w:t>
      </w:r>
      <w:r w:rsidR="001001BD" w:rsidRPr="00AC57EA">
        <w:rPr>
          <w:sz w:val="20"/>
          <w:szCs w:val="20"/>
          <w:lang w:val="en-US"/>
        </w:rPr>
        <w:t xml:space="preserve"> and with</w:t>
      </w:r>
      <w:r w:rsidR="00B00830" w:rsidRPr="00AC57EA">
        <w:rPr>
          <w:sz w:val="20"/>
          <w:szCs w:val="20"/>
          <w:lang w:val="en-US"/>
        </w:rPr>
        <w:t xml:space="preserve"> legal advice, social work and general support, </w:t>
      </w:r>
      <w:r w:rsidR="001001BD" w:rsidRPr="00AC57EA">
        <w:rPr>
          <w:sz w:val="20"/>
          <w:szCs w:val="20"/>
          <w:lang w:val="en-US"/>
        </w:rPr>
        <w:t>in the context of</w:t>
      </w:r>
      <w:r w:rsidR="00B00830" w:rsidRPr="00AC57EA">
        <w:rPr>
          <w:sz w:val="20"/>
          <w:szCs w:val="20"/>
          <w:lang w:val="en-US"/>
        </w:rPr>
        <w:t xml:space="preserve"> which victims underwent a process of empowerment, reinforcement of self-esteem, and emotional and legal preparation to face the criminal proceedings. </w:t>
      </w:r>
      <w:r w:rsidR="001001BD" w:rsidRPr="00AC57EA">
        <w:rPr>
          <w:sz w:val="20"/>
          <w:szCs w:val="20"/>
          <w:lang w:val="en-US"/>
        </w:rPr>
        <w:t>The State</w:t>
      </w:r>
      <w:r w:rsidR="00B00830" w:rsidRPr="00AC57EA">
        <w:rPr>
          <w:sz w:val="20"/>
          <w:szCs w:val="20"/>
          <w:lang w:val="en-US"/>
        </w:rPr>
        <w:t xml:space="preserve"> indicated that another of its achievements was the creation and operation of the comprehensive </w:t>
      </w:r>
      <w:r w:rsidR="0017433E" w:rsidRPr="00AC57EA">
        <w:rPr>
          <w:sz w:val="20"/>
          <w:szCs w:val="20"/>
          <w:lang w:val="en-US"/>
        </w:rPr>
        <w:t>forensic clinic for women and the office for assistance to victims, which have contributed to reducing impunity and secondary victimization. It added that it had been able to provide evidence to the system of justice t</w:t>
      </w:r>
      <w:r w:rsidR="001001BD" w:rsidRPr="00AC57EA">
        <w:rPr>
          <w:sz w:val="20"/>
          <w:szCs w:val="20"/>
          <w:lang w:val="en-US"/>
        </w:rPr>
        <w:t>hat verified or disproved</w:t>
      </w:r>
      <w:r w:rsidR="0017433E" w:rsidRPr="00AC57EA">
        <w:rPr>
          <w:sz w:val="20"/>
          <w:szCs w:val="20"/>
          <w:lang w:val="en-US"/>
        </w:rPr>
        <w:t xml:space="preserve"> offenses and crimes, including </w:t>
      </w:r>
      <w:r w:rsidR="001001BD" w:rsidRPr="00AC57EA">
        <w:rPr>
          <w:sz w:val="20"/>
          <w:szCs w:val="20"/>
          <w:lang w:val="en-US"/>
        </w:rPr>
        <w:t xml:space="preserve">those relating to </w:t>
      </w:r>
      <w:r w:rsidR="0017433E" w:rsidRPr="00AC57EA">
        <w:rPr>
          <w:sz w:val="20"/>
          <w:szCs w:val="20"/>
          <w:lang w:val="en-US"/>
        </w:rPr>
        <w:t xml:space="preserve">sexual freedom and integrity, people trafficking, </w:t>
      </w:r>
      <w:r w:rsidR="001A3355" w:rsidRPr="00AC57EA">
        <w:rPr>
          <w:sz w:val="20"/>
          <w:szCs w:val="20"/>
          <w:lang w:val="en-US"/>
        </w:rPr>
        <w:t>intrafamily violence</w:t>
      </w:r>
      <w:r w:rsidR="0017433E" w:rsidRPr="00AC57EA">
        <w:rPr>
          <w:sz w:val="20"/>
          <w:szCs w:val="20"/>
          <w:lang w:val="en-US"/>
        </w:rPr>
        <w:t>, and physical and mental violence.</w:t>
      </w:r>
    </w:p>
    <w:p w14:paraId="4413B521" w14:textId="77777777" w:rsidR="009D661E" w:rsidRPr="00AC57EA" w:rsidRDefault="009D661E" w:rsidP="009D661E">
      <w:pPr>
        <w:tabs>
          <w:tab w:val="left" w:pos="567"/>
        </w:tabs>
        <w:spacing w:line="240" w:lineRule="auto"/>
        <w:textAlignment w:val="auto"/>
        <w:rPr>
          <w:sz w:val="20"/>
          <w:szCs w:val="20"/>
          <w:lang w:val="en-US"/>
        </w:rPr>
      </w:pPr>
    </w:p>
    <w:p w14:paraId="43188DA7" w14:textId="5726C754" w:rsidR="00383283" w:rsidRPr="00AC57EA" w:rsidRDefault="00B7258C" w:rsidP="00186D94">
      <w:pPr>
        <w:numPr>
          <w:ilvl w:val="0"/>
          <w:numId w:val="2"/>
        </w:numPr>
        <w:tabs>
          <w:tab w:val="left" w:pos="567"/>
          <w:tab w:val="num" w:pos="5057"/>
        </w:tabs>
        <w:spacing w:line="240" w:lineRule="auto"/>
        <w:ind w:left="0" w:firstLine="0"/>
        <w:textAlignment w:val="auto"/>
        <w:rPr>
          <w:b/>
          <w:sz w:val="20"/>
          <w:szCs w:val="20"/>
          <w:lang w:val="en-US"/>
        </w:rPr>
      </w:pPr>
      <w:r w:rsidRPr="00AC57EA">
        <w:rPr>
          <w:rFonts w:eastAsia="MS Mincho"/>
          <w:sz w:val="20"/>
          <w:szCs w:val="20"/>
          <w:lang w:val="en-US" w:bidi="en-US"/>
        </w:rPr>
        <w:t>The Court</w:t>
      </w:r>
      <w:r w:rsidR="00DD1DDB" w:rsidRPr="00AC57EA">
        <w:rPr>
          <w:rFonts w:eastAsia="MS Mincho"/>
          <w:sz w:val="20"/>
          <w:szCs w:val="20"/>
          <w:lang w:val="en-US" w:bidi="en-US"/>
        </w:rPr>
        <w:t xml:space="preserve"> not</w:t>
      </w:r>
      <w:r w:rsidR="008A2954" w:rsidRPr="00AC57EA">
        <w:rPr>
          <w:rFonts w:eastAsia="MS Mincho"/>
          <w:sz w:val="20"/>
          <w:szCs w:val="20"/>
          <w:lang w:val="en-US" w:bidi="en-US"/>
        </w:rPr>
        <w:t xml:space="preserve">es that most of the legislation forwarded by the State focuses on the prevention, combat and eradication of general gender-based violence. Nevertheless, the Court has verified that the following norms include a specific section of general guidelines for case in which the victim is a child or adolescent: (a) Order No. 010/03 of the </w:t>
      </w:r>
      <w:r w:rsidR="009F405E" w:rsidRPr="00AC57EA">
        <w:rPr>
          <w:sz w:val="20"/>
          <w:szCs w:val="20"/>
          <w:lang w:val="en-US"/>
        </w:rPr>
        <w:t>of the National Police, Ministry of the Interior. “Manual of police procedures for specialized assistance to victims and survivors of intrafamily and sexual violence</w:t>
      </w:r>
      <w:r w:rsidR="00AE1EEC" w:rsidRPr="00AC57EA">
        <w:rPr>
          <w:sz w:val="20"/>
          <w:szCs w:val="20"/>
          <w:lang w:val="en-US"/>
        </w:rPr>
        <w:t>”</w:t>
      </w:r>
      <w:r w:rsidR="009F405E" w:rsidRPr="00AC57EA">
        <w:rPr>
          <w:sz w:val="20"/>
          <w:szCs w:val="20"/>
          <w:lang w:val="en-US"/>
        </w:rPr>
        <w:t>;</w:t>
      </w:r>
      <w:r w:rsidR="00AE1EEC" w:rsidRPr="00AC57EA">
        <w:rPr>
          <w:rStyle w:val="Refdenotaalpie"/>
          <w:sz w:val="20"/>
          <w:szCs w:val="20"/>
          <w:lang w:val="en-US"/>
        </w:rPr>
        <w:footnoteReference w:id="437"/>
      </w:r>
      <w:r w:rsidR="00AE1EEC" w:rsidRPr="00AC57EA">
        <w:rPr>
          <w:sz w:val="20"/>
          <w:szCs w:val="20"/>
          <w:lang w:val="en-US"/>
        </w:rPr>
        <w:t xml:space="preserve"> </w:t>
      </w:r>
      <w:r w:rsidR="009F405E" w:rsidRPr="00AC57EA">
        <w:rPr>
          <w:sz w:val="20"/>
          <w:szCs w:val="20"/>
          <w:lang w:val="en-US"/>
        </w:rPr>
        <w:t>(</w:t>
      </w:r>
      <w:r w:rsidR="00AE1EEC" w:rsidRPr="00AC57EA">
        <w:rPr>
          <w:sz w:val="20"/>
          <w:szCs w:val="20"/>
          <w:lang w:val="en-US"/>
        </w:rPr>
        <w:t xml:space="preserve">b) </w:t>
      </w:r>
      <w:r w:rsidR="009F405E" w:rsidRPr="00AC57EA">
        <w:rPr>
          <w:sz w:val="20"/>
          <w:szCs w:val="20"/>
          <w:lang w:val="en-US"/>
        </w:rPr>
        <w:t xml:space="preserve">Protocol on assistance for victims of gender-based violence of the Specialized </w:t>
      </w:r>
      <w:r w:rsidR="004A6098" w:rsidRPr="00AC57EA">
        <w:rPr>
          <w:sz w:val="20"/>
          <w:szCs w:val="20"/>
          <w:lang w:val="en-US"/>
        </w:rPr>
        <w:t>Victims Assistance U</w:t>
      </w:r>
      <w:r w:rsidR="009F405E" w:rsidRPr="00AC57EA">
        <w:rPr>
          <w:sz w:val="20"/>
          <w:szCs w:val="20"/>
          <w:lang w:val="en-US"/>
        </w:rPr>
        <w:t>nit of the Public Prosecution Service;</w:t>
      </w:r>
      <w:r w:rsidR="00AE1EEC" w:rsidRPr="00AC57EA">
        <w:rPr>
          <w:rStyle w:val="Refdenotaalpie"/>
          <w:sz w:val="20"/>
          <w:szCs w:val="20"/>
          <w:lang w:val="en-US"/>
        </w:rPr>
        <w:footnoteReference w:id="438"/>
      </w:r>
      <w:r w:rsidR="00AE1EEC" w:rsidRPr="00AC57EA">
        <w:rPr>
          <w:sz w:val="20"/>
          <w:szCs w:val="20"/>
          <w:lang w:val="en-US"/>
        </w:rPr>
        <w:t xml:space="preserve"> </w:t>
      </w:r>
      <w:r w:rsidR="009F405E" w:rsidRPr="00AC57EA">
        <w:rPr>
          <w:sz w:val="20"/>
          <w:szCs w:val="20"/>
          <w:lang w:val="en-US"/>
        </w:rPr>
        <w:t>(</w:t>
      </w:r>
      <w:r w:rsidR="00AE1EEC" w:rsidRPr="00AC57EA">
        <w:rPr>
          <w:sz w:val="20"/>
          <w:szCs w:val="20"/>
          <w:lang w:val="en-US"/>
        </w:rPr>
        <w:t xml:space="preserve">c) </w:t>
      </w:r>
      <w:r w:rsidR="009F405E" w:rsidRPr="00AC57EA">
        <w:rPr>
          <w:sz w:val="20"/>
          <w:szCs w:val="20"/>
          <w:lang w:val="en-US"/>
        </w:rPr>
        <w:t>Protocol of the Public Prosecution Service on assistance to victims of crime</w:t>
      </w:r>
      <w:r w:rsidR="00AE1EEC" w:rsidRPr="00AC57EA">
        <w:rPr>
          <w:sz w:val="20"/>
          <w:szCs w:val="20"/>
          <w:lang w:val="en-US"/>
        </w:rPr>
        <w:t xml:space="preserve"> (2010)</w:t>
      </w:r>
      <w:r w:rsidR="009F405E" w:rsidRPr="00AC57EA">
        <w:rPr>
          <w:sz w:val="20"/>
          <w:szCs w:val="20"/>
          <w:lang w:val="en-US"/>
        </w:rPr>
        <w:t>;</w:t>
      </w:r>
      <w:r w:rsidR="00AE1EEC" w:rsidRPr="00AC57EA">
        <w:rPr>
          <w:rStyle w:val="Refdenotaalpie"/>
          <w:sz w:val="20"/>
          <w:szCs w:val="20"/>
          <w:lang w:val="en-US"/>
        </w:rPr>
        <w:footnoteReference w:id="439"/>
      </w:r>
      <w:r w:rsidR="00AE1EEC" w:rsidRPr="00AC57EA">
        <w:rPr>
          <w:sz w:val="20"/>
          <w:szCs w:val="20"/>
          <w:lang w:val="en-US"/>
        </w:rPr>
        <w:t xml:space="preserve"> </w:t>
      </w:r>
      <w:r w:rsidR="009F405E" w:rsidRPr="00AC57EA">
        <w:rPr>
          <w:sz w:val="20"/>
          <w:szCs w:val="20"/>
          <w:lang w:val="en-US"/>
        </w:rPr>
        <w:t>(</w:t>
      </w:r>
      <w:r w:rsidR="00AE1EEC" w:rsidRPr="00AC57EA">
        <w:rPr>
          <w:sz w:val="20"/>
          <w:szCs w:val="20"/>
          <w:lang w:val="en-US"/>
        </w:rPr>
        <w:t xml:space="preserve">d) </w:t>
      </w:r>
      <w:r w:rsidR="009F405E" w:rsidRPr="00AC57EA">
        <w:rPr>
          <w:sz w:val="20"/>
          <w:szCs w:val="20"/>
          <w:lang w:val="en-US"/>
        </w:rPr>
        <w:t xml:space="preserve">Protocol on prosecution of gender-based violence of the </w:t>
      </w:r>
      <w:r w:rsidR="009F405E" w:rsidRPr="00AC57EA">
        <w:rPr>
          <w:rFonts w:eastAsia="MS Mincho"/>
          <w:sz w:val="20"/>
          <w:szCs w:val="20"/>
          <w:lang w:val="en-US" w:bidi="en-US"/>
        </w:rPr>
        <w:t>Special Unit to combat crimes involving gender-based violence</w:t>
      </w:r>
      <w:r w:rsidR="00AE1EEC" w:rsidRPr="00AC57EA">
        <w:rPr>
          <w:sz w:val="20"/>
          <w:szCs w:val="20"/>
          <w:lang w:val="en-US"/>
        </w:rPr>
        <w:t xml:space="preserve"> (2009)</w:t>
      </w:r>
      <w:r w:rsidR="009F405E" w:rsidRPr="00AC57EA">
        <w:rPr>
          <w:sz w:val="20"/>
          <w:szCs w:val="20"/>
          <w:lang w:val="en-US"/>
        </w:rPr>
        <w:t>;</w:t>
      </w:r>
      <w:r w:rsidR="00AE1EEC" w:rsidRPr="00AC57EA">
        <w:rPr>
          <w:rStyle w:val="Refdenotaalpie"/>
          <w:sz w:val="20"/>
          <w:szCs w:val="20"/>
          <w:lang w:val="en-US"/>
        </w:rPr>
        <w:footnoteReference w:id="440"/>
      </w:r>
      <w:r w:rsidR="00AE1EEC" w:rsidRPr="00AC57EA">
        <w:rPr>
          <w:sz w:val="20"/>
          <w:szCs w:val="20"/>
          <w:lang w:val="en-US"/>
        </w:rPr>
        <w:t xml:space="preserve"> </w:t>
      </w:r>
      <w:r w:rsidR="009F405E" w:rsidRPr="00AC57EA">
        <w:rPr>
          <w:sz w:val="20"/>
          <w:szCs w:val="20"/>
          <w:lang w:val="en-US"/>
        </w:rPr>
        <w:t>(</w:t>
      </w:r>
      <w:r w:rsidR="00AE1EEC" w:rsidRPr="00AC57EA">
        <w:rPr>
          <w:sz w:val="20"/>
          <w:szCs w:val="20"/>
          <w:lang w:val="en-US"/>
        </w:rPr>
        <w:t xml:space="preserve">e) </w:t>
      </w:r>
      <w:r w:rsidR="009F405E" w:rsidRPr="00AC57EA">
        <w:rPr>
          <w:sz w:val="20"/>
          <w:szCs w:val="20"/>
          <w:lang w:val="en-US"/>
        </w:rPr>
        <w:t>Model for comprehensive care for victims of gender-based violence in Nicaragua of the Technical Team of the Comprehensive Care Model (MAI) (2012)</w:t>
      </w:r>
      <w:r w:rsidR="00186D94" w:rsidRPr="00AC57EA">
        <w:rPr>
          <w:sz w:val="20"/>
          <w:szCs w:val="20"/>
          <w:lang w:val="en-US"/>
        </w:rPr>
        <w:t>;</w:t>
      </w:r>
      <w:r w:rsidR="00AE1EEC" w:rsidRPr="00AC57EA">
        <w:rPr>
          <w:rStyle w:val="Refdenotaalpie"/>
          <w:sz w:val="20"/>
          <w:szCs w:val="20"/>
          <w:lang w:val="en-US"/>
        </w:rPr>
        <w:footnoteReference w:id="441"/>
      </w:r>
      <w:r w:rsidR="00AE1EEC" w:rsidRPr="00AC57EA">
        <w:rPr>
          <w:sz w:val="20"/>
          <w:szCs w:val="20"/>
          <w:lang w:val="en-US"/>
        </w:rPr>
        <w:t xml:space="preserve"> </w:t>
      </w:r>
      <w:r w:rsidR="00186D94" w:rsidRPr="00AC57EA">
        <w:rPr>
          <w:sz w:val="20"/>
          <w:szCs w:val="20"/>
          <w:lang w:val="en-US"/>
        </w:rPr>
        <w:t>(</w:t>
      </w:r>
      <w:r w:rsidR="00AE1EEC" w:rsidRPr="00AC57EA">
        <w:rPr>
          <w:sz w:val="20"/>
          <w:szCs w:val="20"/>
          <w:lang w:val="en-US"/>
        </w:rPr>
        <w:t xml:space="preserve">f) </w:t>
      </w:r>
      <w:r w:rsidR="00186D94" w:rsidRPr="00AC57EA">
        <w:rPr>
          <w:sz w:val="20"/>
          <w:szCs w:val="20"/>
          <w:lang w:val="en-US"/>
        </w:rPr>
        <w:t>Regulation 031 of the General Directorate of Outreach and Quality of Assistance, Ministry of Health. “Norms and Protocols for the prevention, detection and assistance of intrafamily and sexual violence” (2009),</w:t>
      </w:r>
      <w:r w:rsidR="00AE1EEC" w:rsidRPr="00AC57EA">
        <w:rPr>
          <w:rStyle w:val="Refdenotaalpie"/>
          <w:sz w:val="20"/>
          <w:szCs w:val="20"/>
          <w:lang w:val="en-US"/>
        </w:rPr>
        <w:footnoteReference w:id="442"/>
      </w:r>
      <w:r w:rsidR="00171E27" w:rsidRPr="00AC57EA">
        <w:rPr>
          <w:sz w:val="20"/>
          <w:szCs w:val="20"/>
          <w:lang w:val="en-US"/>
        </w:rPr>
        <w:t xml:space="preserve"> and </w:t>
      </w:r>
      <w:r w:rsidR="00186D94" w:rsidRPr="00AC57EA">
        <w:rPr>
          <w:sz w:val="20"/>
          <w:szCs w:val="20"/>
          <w:lang w:val="en-US"/>
        </w:rPr>
        <w:t>(</w:t>
      </w:r>
      <w:r w:rsidR="00AE1EEC" w:rsidRPr="00AC57EA">
        <w:rPr>
          <w:sz w:val="20"/>
          <w:szCs w:val="20"/>
          <w:lang w:val="en-US"/>
        </w:rPr>
        <w:t xml:space="preserve">g) </w:t>
      </w:r>
      <w:r w:rsidR="00186D94" w:rsidRPr="00AC57EA">
        <w:rPr>
          <w:sz w:val="20"/>
          <w:szCs w:val="20"/>
          <w:lang w:val="en-US"/>
        </w:rPr>
        <w:t xml:space="preserve">Protocol of norms and procedures for specialized attention to victims and survivors of gender, intrafamily and sexual violence of the Police Stations for Women, Children and Adolescents of the National Police </w:t>
      </w:r>
      <w:r w:rsidR="00AE1EEC" w:rsidRPr="00AC57EA">
        <w:rPr>
          <w:sz w:val="20"/>
          <w:szCs w:val="20"/>
          <w:lang w:val="en-US"/>
        </w:rPr>
        <w:t>(2014)</w:t>
      </w:r>
      <w:r w:rsidR="00186D94" w:rsidRPr="00AC57EA">
        <w:rPr>
          <w:sz w:val="20"/>
          <w:szCs w:val="20"/>
          <w:lang w:val="en-US"/>
        </w:rPr>
        <w:t>.</w:t>
      </w:r>
      <w:r w:rsidR="00AE1EEC" w:rsidRPr="00AC57EA">
        <w:rPr>
          <w:rStyle w:val="Refdenotaalpie"/>
          <w:sz w:val="20"/>
          <w:szCs w:val="20"/>
          <w:lang w:val="en-US"/>
        </w:rPr>
        <w:footnoteReference w:id="443"/>
      </w:r>
    </w:p>
    <w:p w14:paraId="1FFF1144" w14:textId="77777777" w:rsidR="00AA5AA4" w:rsidRPr="00AC57EA" w:rsidRDefault="00AA5AA4" w:rsidP="00DF3D71">
      <w:pPr>
        <w:tabs>
          <w:tab w:val="left" w:pos="567"/>
        </w:tabs>
        <w:spacing w:line="240" w:lineRule="auto"/>
        <w:textAlignment w:val="auto"/>
        <w:rPr>
          <w:b/>
          <w:sz w:val="20"/>
          <w:szCs w:val="20"/>
          <w:lang w:val="en-US"/>
        </w:rPr>
      </w:pPr>
    </w:p>
    <w:p w14:paraId="17463021" w14:textId="410D55C5" w:rsidR="00AA5AA4" w:rsidRPr="00AC57EA" w:rsidRDefault="00186D94" w:rsidP="00186D94">
      <w:pPr>
        <w:numPr>
          <w:ilvl w:val="0"/>
          <w:numId w:val="2"/>
        </w:numPr>
        <w:tabs>
          <w:tab w:val="left" w:pos="567"/>
          <w:tab w:val="num" w:pos="5057"/>
        </w:tabs>
        <w:spacing w:line="240" w:lineRule="auto"/>
        <w:ind w:left="0" w:firstLine="0"/>
        <w:textAlignment w:val="auto"/>
        <w:rPr>
          <w:b/>
          <w:sz w:val="20"/>
          <w:szCs w:val="20"/>
          <w:lang w:val="en-US"/>
        </w:rPr>
      </w:pPr>
      <w:r w:rsidRPr="00AC57EA">
        <w:rPr>
          <w:rFonts w:cs="HelveticaNeue-Light"/>
          <w:sz w:val="20"/>
          <w:szCs w:val="20"/>
          <w:lang w:val="en-US"/>
        </w:rPr>
        <w:t>Meanwhile</w:t>
      </w:r>
      <w:r w:rsidR="00AA5AA4" w:rsidRPr="00AC57EA">
        <w:rPr>
          <w:rFonts w:cs="HelveticaNeue-Light"/>
          <w:sz w:val="20"/>
          <w:szCs w:val="20"/>
          <w:lang w:val="en-US"/>
        </w:rPr>
        <w:t xml:space="preserve">, </w:t>
      </w:r>
      <w:r w:rsidR="00E131BB" w:rsidRPr="00AC57EA">
        <w:rPr>
          <w:rFonts w:cs="HelveticaNeue-Light"/>
          <w:sz w:val="20"/>
          <w:szCs w:val="20"/>
          <w:lang w:val="en-US"/>
        </w:rPr>
        <w:t>the Institute of Forensic Medicine</w:t>
      </w:r>
      <w:r w:rsidRPr="00AC57EA">
        <w:rPr>
          <w:rFonts w:cs="HelveticaNeue-Light"/>
          <w:sz w:val="20"/>
          <w:szCs w:val="20"/>
          <w:lang w:val="en-US"/>
        </w:rPr>
        <w:t xml:space="preserve"> has a technical regulation on a comprehensive medical approach to the investigation of sexual violence</w:t>
      </w:r>
      <w:r w:rsidR="00AA5AA4" w:rsidRPr="00AC57EA">
        <w:rPr>
          <w:rFonts w:cs="Arial"/>
          <w:sz w:val="20"/>
          <w:szCs w:val="20"/>
          <w:lang w:val="en-US"/>
        </w:rPr>
        <w:t xml:space="preserve"> (2014)</w:t>
      </w:r>
      <w:r w:rsidRPr="00AC57EA">
        <w:rPr>
          <w:rFonts w:cs="Arial"/>
          <w:sz w:val="20"/>
          <w:szCs w:val="20"/>
          <w:lang w:val="en-US"/>
        </w:rPr>
        <w:t>,</w:t>
      </w:r>
      <w:r w:rsidR="00E80343" w:rsidRPr="00AC57EA">
        <w:rPr>
          <w:rStyle w:val="Refdenotaalpie"/>
          <w:sz w:val="20"/>
          <w:szCs w:val="20"/>
          <w:lang w:val="en-US"/>
        </w:rPr>
        <w:footnoteReference w:id="444"/>
      </w:r>
      <w:r w:rsidRPr="00AC57EA">
        <w:rPr>
          <w:rFonts w:cs="Arial"/>
          <w:sz w:val="20"/>
          <w:szCs w:val="20"/>
          <w:lang w:val="en-US"/>
        </w:rPr>
        <w:t xml:space="preserve"> which makes a general reference to the recommended positions for a gynecological examination of children, as well as certain criteria that the psychologist, psychiatrist, forensic physic</w:t>
      </w:r>
      <w:r w:rsidR="008E2433" w:rsidRPr="00AC57EA">
        <w:rPr>
          <w:rFonts w:cs="Arial"/>
          <w:sz w:val="20"/>
          <w:szCs w:val="20"/>
          <w:lang w:val="en-US"/>
        </w:rPr>
        <w:t>ian</w:t>
      </w:r>
      <w:r w:rsidRPr="00AC57EA">
        <w:rPr>
          <w:rFonts w:cs="Arial"/>
          <w:sz w:val="20"/>
          <w:szCs w:val="20"/>
          <w:lang w:val="en-US"/>
        </w:rPr>
        <w:t xml:space="preserve"> or any other public or private health personnel must take into account when interviewing child victims of sexual violence. In addition, </w:t>
      </w:r>
      <w:r w:rsidR="00E131BB" w:rsidRPr="00AC57EA">
        <w:rPr>
          <w:rFonts w:cs="Arial"/>
          <w:sz w:val="20"/>
          <w:szCs w:val="20"/>
          <w:lang w:val="en-US"/>
        </w:rPr>
        <w:t>the Institute of Forensic Medicine</w:t>
      </w:r>
      <w:r w:rsidRPr="00AC57EA">
        <w:rPr>
          <w:rFonts w:cs="Arial"/>
          <w:sz w:val="20"/>
          <w:szCs w:val="20"/>
          <w:lang w:val="en-US"/>
        </w:rPr>
        <w:t xml:space="preserve"> has a technical regulation with regard to the evaluation of mental harm in women,</w:t>
      </w:r>
      <w:r w:rsidRPr="00AC57EA">
        <w:rPr>
          <w:b/>
          <w:sz w:val="20"/>
          <w:szCs w:val="20"/>
          <w:lang w:val="en-US"/>
        </w:rPr>
        <w:t xml:space="preserve"> </w:t>
      </w:r>
      <w:r w:rsidR="001567A9" w:rsidRPr="00AC57EA">
        <w:rPr>
          <w:bCs/>
          <w:sz w:val="20"/>
          <w:szCs w:val="20"/>
          <w:lang w:val="en-US"/>
        </w:rPr>
        <w:t>children and adolescents</w:t>
      </w:r>
      <w:r w:rsidR="00AA5AA4" w:rsidRPr="00AC57EA">
        <w:rPr>
          <w:bCs/>
          <w:sz w:val="20"/>
          <w:szCs w:val="20"/>
          <w:lang w:val="en-US"/>
        </w:rPr>
        <w:t xml:space="preserve"> </w:t>
      </w:r>
      <w:r w:rsidRPr="00AC57EA">
        <w:rPr>
          <w:bCs/>
          <w:sz w:val="20"/>
          <w:szCs w:val="20"/>
          <w:lang w:val="en-US"/>
        </w:rPr>
        <w:t xml:space="preserve">who are victims </w:t>
      </w:r>
      <w:r w:rsidR="008E2433" w:rsidRPr="00AC57EA">
        <w:rPr>
          <w:bCs/>
          <w:sz w:val="20"/>
          <w:szCs w:val="20"/>
          <w:lang w:val="en-US"/>
        </w:rPr>
        <w:t>of</w:t>
      </w:r>
      <w:r w:rsidRPr="00AC57EA">
        <w:rPr>
          <w:bCs/>
          <w:sz w:val="20"/>
          <w:szCs w:val="20"/>
          <w:lang w:val="en-US"/>
        </w:rPr>
        <w:t xml:space="preserve"> sexual and other forms of gender-based violence within the family </w:t>
      </w:r>
      <w:r w:rsidR="00AA5AA4" w:rsidRPr="00AC57EA">
        <w:rPr>
          <w:bCs/>
          <w:sz w:val="20"/>
          <w:szCs w:val="20"/>
          <w:lang w:val="en-US"/>
        </w:rPr>
        <w:t>(2015)</w:t>
      </w:r>
      <w:r w:rsidRPr="00AC57EA">
        <w:rPr>
          <w:bCs/>
          <w:sz w:val="20"/>
          <w:szCs w:val="20"/>
          <w:lang w:val="en-US"/>
        </w:rPr>
        <w:t>,</w:t>
      </w:r>
      <w:r w:rsidR="00E80343" w:rsidRPr="00AC57EA">
        <w:rPr>
          <w:rStyle w:val="Refdenotaalpie"/>
          <w:sz w:val="20"/>
          <w:szCs w:val="20"/>
          <w:lang w:val="en-US"/>
        </w:rPr>
        <w:footnoteReference w:id="445"/>
      </w:r>
      <w:r w:rsidRPr="00AC57EA">
        <w:rPr>
          <w:sz w:val="20"/>
          <w:szCs w:val="20"/>
          <w:lang w:val="en-US"/>
        </w:rPr>
        <w:t xml:space="preserve"> and a technical regulation for the comprehensive forensic medical assessment in the investigation of </w:t>
      </w:r>
      <w:r w:rsidR="001A3355" w:rsidRPr="00AC57EA">
        <w:rPr>
          <w:sz w:val="20"/>
          <w:szCs w:val="20"/>
          <w:lang w:val="en-US"/>
        </w:rPr>
        <w:t xml:space="preserve">intrafamily violence </w:t>
      </w:r>
      <w:r w:rsidR="00AA5AA4" w:rsidRPr="00AC57EA">
        <w:rPr>
          <w:rFonts w:cs="Arial"/>
          <w:sz w:val="20"/>
          <w:szCs w:val="20"/>
          <w:lang w:val="en-US"/>
        </w:rPr>
        <w:t>(2015)</w:t>
      </w:r>
      <w:r w:rsidR="001A3355" w:rsidRPr="00AC57EA">
        <w:rPr>
          <w:rFonts w:cs="Arial"/>
          <w:sz w:val="20"/>
          <w:szCs w:val="20"/>
          <w:lang w:val="en-US"/>
        </w:rPr>
        <w:t>.</w:t>
      </w:r>
      <w:r w:rsidR="00E80343" w:rsidRPr="00AC57EA">
        <w:rPr>
          <w:rStyle w:val="Refdenotaalpie"/>
          <w:sz w:val="20"/>
          <w:szCs w:val="20"/>
          <w:lang w:val="en-US"/>
        </w:rPr>
        <w:footnoteReference w:id="446"/>
      </w:r>
      <w:r w:rsidR="00757D93" w:rsidRPr="00AC57EA">
        <w:rPr>
          <w:sz w:val="20"/>
          <w:szCs w:val="20"/>
          <w:lang w:val="en-US"/>
        </w:rPr>
        <w:t xml:space="preserve"> </w:t>
      </w:r>
      <w:r w:rsidR="00B7258C" w:rsidRPr="00AC57EA">
        <w:rPr>
          <w:sz w:val="20"/>
          <w:szCs w:val="20"/>
          <w:lang w:val="en-US"/>
        </w:rPr>
        <w:t>The Court</w:t>
      </w:r>
      <w:r w:rsidR="00757D93" w:rsidRPr="00AC57EA">
        <w:rPr>
          <w:sz w:val="20"/>
          <w:szCs w:val="20"/>
          <w:lang w:val="en-US"/>
        </w:rPr>
        <w:t xml:space="preserve"> </w:t>
      </w:r>
      <w:r w:rsidR="001A3355" w:rsidRPr="00AC57EA">
        <w:rPr>
          <w:sz w:val="20"/>
          <w:szCs w:val="20"/>
          <w:lang w:val="en-US"/>
        </w:rPr>
        <w:t xml:space="preserve">underscores that the 2014 technical regulation includes certain criteria for the comprehensive medical approach to cases of </w:t>
      </w:r>
      <w:r w:rsidR="003C0AC1" w:rsidRPr="00AC57EA">
        <w:rPr>
          <w:sz w:val="20"/>
          <w:szCs w:val="20"/>
          <w:lang w:val="en-US"/>
        </w:rPr>
        <w:t>female child</w:t>
      </w:r>
      <w:r w:rsidR="001A3355" w:rsidRPr="00AC57EA">
        <w:rPr>
          <w:sz w:val="20"/>
          <w:szCs w:val="20"/>
          <w:lang w:val="en-US"/>
        </w:rPr>
        <w:t xml:space="preserve"> victims of sexual violence. </w:t>
      </w:r>
    </w:p>
    <w:p w14:paraId="7AB10DF8" w14:textId="39D28829" w:rsidR="009D661E" w:rsidRPr="00AC57EA" w:rsidRDefault="009D661E" w:rsidP="00087D96">
      <w:pPr>
        <w:tabs>
          <w:tab w:val="left" w:pos="567"/>
        </w:tabs>
        <w:spacing w:line="240" w:lineRule="auto"/>
        <w:textAlignment w:val="auto"/>
        <w:rPr>
          <w:b/>
          <w:sz w:val="20"/>
          <w:szCs w:val="20"/>
          <w:lang w:val="en-US"/>
        </w:rPr>
      </w:pPr>
    </w:p>
    <w:p w14:paraId="2FC778EB" w14:textId="71DE1080" w:rsidR="005C21C5" w:rsidRPr="00AC57EA" w:rsidRDefault="005C21C5" w:rsidP="005C21C5">
      <w:pPr>
        <w:numPr>
          <w:ilvl w:val="0"/>
          <w:numId w:val="2"/>
        </w:numPr>
        <w:tabs>
          <w:tab w:val="left" w:pos="567"/>
          <w:tab w:val="num" w:pos="5057"/>
        </w:tabs>
        <w:spacing w:line="240" w:lineRule="auto"/>
        <w:ind w:left="0" w:firstLine="0"/>
        <w:textAlignment w:val="auto"/>
        <w:rPr>
          <w:b/>
          <w:sz w:val="20"/>
          <w:szCs w:val="20"/>
          <w:lang w:val="en-US"/>
        </w:rPr>
      </w:pPr>
      <w:r w:rsidRPr="00AC57EA">
        <w:rPr>
          <w:rFonts w:eastAsia="MS Mincho"/>
          <w:sz w:val="20"/>
          <w:szCs w:val="20"/>
          <w:lang w:val="en-US" w:bidi="en-US"/>
        </w:rPr>
        <w:t xml:space="preserve">Based on these regulations, the Court notes that special criteria and guidelines existed for both police and prosecutors </w:t>
      </w:r>
      <w:r w:rsidR="008E2433" w:rsidRPr="00AC57EA">
        <w:rPr>
          <w:rFonts w:eastAsia="MS Mincho"/>
          <w:sz w:val="20"/>
          <w:szCs w:val="20"/>
          <w:lang w:val="en-US" w:bidi="en-US"/>
        </w:rPr>
        <w:t>in relation to</w:t>
      </w:r>
      <w:r w:rsidRPr="00AC57EA">
        <w:rPr>
          <w:rFonts w:eastAsia="MS Mincho"/>
          <w:sz w:val="20"/>
          <w:szCs w:val="20"/>
          <w:lang w:val="en-US" w:bidi="en-US"/>
        </w:rPr>
        <w:t xml:space="preserve"> differentiated treatment for </w:t>
      </w:r>
      <w:r w:rsidR="001567A9" w:rsidRPr="00AC57EA">
        <w:rPr>
          <w:rFonts w:eastAsia="MS Mincho"/>
          <w:sz w:val="20"/>
          <w:szCs w:val="20"/>
          <w:lang w:val="en-US" w:bidi="en-US"/>
        </w:rPr>
        <w:t>children and adolescents</w:t>
      </w:r>
      <w:r w:rsidRPr="00AC57EA">
        <w:rPr>
          <w:rFonts w:eastAsia="MS Mincho"/>
          <w:sz w:val="20"/>
          <w:szCs w:val="20"/>
          <w:lang w:val="en-US" w:bidi="en-US"/>
        </w:rPr>
        <w:t xml:space="preserve">, victims of intrafamily and sexual violence. Among the most important are the special interaction that the authorities should have with </w:t>
      </w:r>
      <w:r w:rsidR="003C0AC1" w:rsidRPr="00AC57EA">
        <w:rPr>
          <w:rFonts w:eastAsia="MS Mincho"/>
          <w:sz w:val="20"/>
          <w:szCs w:val="20"/>
          <w:lang w:val="en-US" w:bidi="en-US"/>
        </w:rPr>
        <w:t>female child</w:t>
      </w:r>
      <w:r w:rsidRPr="00AC57EA">
        <w:rPr>
          <w:rFonts w:eastAsia="MS Mincho"/>
          <w:sz w:val="20"/>
          <w:szCs w:val="20"/>
          <w:lang w:val="en-US" w:bidi="en-US"/>
        </w:rPr>
        <w:t>ren owing to the differentiated impact that an act of sexual violence may have on them and their greater vulnerability; the importance of the statement made by the child or adolescent; the requirement that there should be no contact with the perpetrator; the tact and sensitivity in the treatment; the respect with which the authorities should act, without forcing the interview, and ensuring privacy and a climate of trust and safety. In addition, some of the said documents emphasize certain techniques to facilitate establishing a connection with the child or adolescent.</w:t>
      </w:r>
    </w:p>
    <w:p w14:paraId="2AFEE565" w14:textId="77777777" w:rsidR="009D661E" w:rsidRPr="00AC57EA" w:rsidRDefault="009D661E">
      <w:pPr>
        <w:pStyle w:val="Prrafodelista"/>
        <w:spacing w:line="240" w:lineRule="auto"/>
        <w:rPr>
          <w:sz w:val="20"/>
          <w:szCs w:val="20"/>
          <w:lang w:val="en-US"/>
        </w:rPr>
      </w:pPr>
    </w:p>
    <w:p w14:paraId="4878E117" w14:textId="3D101D0E" w:rsidR="005C21C5" w:rsidRPr="00AC57EA" w:rsidRDefault="00B7258C" w:rsidP="00DF3D71">
      <w:pPr>
        <w:numPr>
          <w:ilvl w:val="0"/>
          <w:numId w:val="2"/>
        </w:numPr>
        <w:tabs>
          <w:tab w:val="left" w:pos="567"/>
          <w:tab w:val="num" w:pos="5057"/>
        </w:tabs>
        <w:spacing w:line="240" w:lineRule="auto"/>
        <w:ind w:left="0" w:firstLine="0"/>
        <w:textAlignment w:val="auto"/>
        <w:rPr>
          <w:b/>
          <w:sz w:val="20"/>
          <w:szCs w:val="20"/>
          <w:lang w:val="en-US"/>
        </w:rPr>
      </w:pPr>
      <w:r w:rsidRPr="00AC57EA">
        <w:rPr>
          <w:sz w:val="20"/>
          <w:szCs w:val="20"/>
          <w:lang w:val="en-US"/>
        </w:rPr>
        <w:t>The Court</w:t>
      </w:r>
      <w:r w:rsidR="009D661E" w:rsidRPr="00AC57EA">
        <w:rPr>
          <w:sz w:val="20"/>
          <w:szCs w:val="20"/>
          <w:lang w:val="en-US"/>
        </w:rPr>
        <w:t xml:space="preserve"> consider</w:t>
      </w:r>
      <w:r w:rsidR="005C21C5" w:rsidRPr="00AC57EA">
        <w:rPr>
          <w:sz w:val="20"/>
          <w:szCs w:val="20"/>
          <w:lang w:val="en-US"/>
        </w:rPr>
        <w:t xml:space="preserve">s that the general criteria established in the documentation cited signifies an important step forward as regards the adaptation of domestic laws and practices to the international norms for the protection of the rights of children and adolescents. However, </w:t>
      </w:r>
      <w:r w:rsidR="00A034FC" w:rsidRPr="00AC57EA">
        <w:rPr>
          <w:sz w:val="20"/>
          <w:szCs w:val="20"/>
          <w:lang w:val="en-US"/>
        </w:rPr>
        <w:t>it notes that it is necessary to have more specific norms that include the criteria established in this judgment and in other relevant international instruments.</w:t>
      </w:r>
    </w:p>
    <w:p w14:paraId="62A5489A" w14:textId="77777777" w:rsidR="00757D93" w:rsidRPr="00AC57EA" w:rsidRDefault="00757D93" w:rsidP="00DF3D71">
      <w:pPr>
        <w:pStyle w:val="Prrafodelista"/>
        <w:spacing w:line="240" w:lineRule="auto"/>
        <w:rPr>
          <w:sz w:val="20"/>
          <w:szCs w:val="20"/>
          <w:lang w:val="en-US"/>
        </w:rPr>
      </w:pPr>
    </w:p>
    <w:p w14:paraId="79DF1FD2" w14:textId="30911259" w:rsidR="00950DFA" w:rsidRPr="00AC57EA" w:rsidRDefault="00A034FC" w:rsidP="00A034FC">
      <w:pPr>
        <w:numPr>
          <w:ilvl w:val="0"/>
          <w:numId w:val="2"/>
        </w:numPr>
        <w:tabs>
          <w:tab w:val="left" w:pos="567"/>
          <w:tab w:val="num" w:pos="5057"/>
        </w:tabs>
        <w:spacing w:line="240" w:lineRule="auto"/>
        <w:ind w:left="0" w:firstLine="0"/>
        <w:textAlignment w:val="auto"/>
        <w:rPr>
          <w:b/>
          <w:sz w:val="20"/>
          <w:szCs w:val="20"/>
          <w:lang w:val="en-US"/>
        </w:rPr>
      </w:pPr>
      <w:r w:rsidRPr="00AC57EA">
        <w:rPr>
          <w:sz w:val="20"/>
          <w:szCs w:val="20"/>
          <w:lang w:val="en-US"/>
        </w:rPr>
        <w:t>Therefore, the Court finds it appropriate to order the State to adopt protocols that establish clear measures of protection and criteria to be taken into account during investigations and criminal proceedings arising from a</w:t>
      </w:r>
      <w:r w:rsidR="008E2433" w:rsidRPr="00AC57EA">
        <w:rPr>
          <w:sz w:val="20"/>
          <w:szCs w:val="20"/>
          <w:lang w:val="en-US"/>
        </w:rPr>
        <w:t>c</w:t>
      </w:r>
      <w:r w:rsidRPr="00AC57EA">
        <w:rPr>
          <w:sz w:val="20"/>
          <w:szCs w:val="20"/>
          <w:lang w:val="en-US"/>
        </w:rPr>
        <w:t>ts of sexual violence against children and adolescents</w:t>
      </w:r>
      <w:r w:rsidR="008E2433" w:rsidRPr="00AC57EA">
        <w:rPr>
          <w:sz w:val="20"/>
          <w:szCs w:val="20"/>
          <w:lang w:val="en-US"/>
        </w:rPr>
        <w:t>. These</w:t>
      </w:r>
      <w:r w:rsidRPr="00AC57EA">
        <w:rPr>
          <w:sz w:val="20"/>
          <w:szCs w:val="20"/>
          <w:lang w:val="en-US"/>
        </w:rPr>
        <w:t xml:space="preserve"> </w:t>
      </w:r>
      <w:r w:rsidR="008E2433" w:rsidRPr="00AC57EA">
        <w:rPr>
          <w:sz w:val="20"/>
          <w:szCs w:val="20"/>
          <w:lang w:val="en-US"/>
        </w:rPr>
        <w:t xml:space="preserve">should </w:t>
      </w:r>
      <w:r w:rsidRPr="00AC57EA">
        <w:rPr>
          <w:sz w:val="20"/>
          <w:szCs w:val="20"/>
          <w:lang w:val="en-US"/>
        </w:rPr>
        <w:t xml:space="preserve">ensure that the statements and interviews, the forensic medical examinations, and the psychological and/or psychiatric expert evaluations are conducted in a way that is adapted to the needs of child and adolescent victims, and </w:t>
      </w:r>
      <w:r w:rsidR="008E2433" w:rsidRPr="00AC57EA">
        <w:rPr>
          <w:sz w:val="20"/>
          <w:szCs w:val="20"/>
          <w:lang w:val="en-US"/>
        </w:rPr>
        <w:t xml:space="preserve">should </w:t>
      </w:r>
      <w:r w:rsidRPr="00AC57EA">
        <w:rPr>
          <w:sz w:val="20"/>
          <w:szCs w:val="20"/>
          <w:lang w:val="en-US"/>
        </w:rPr>
        <w:t xml:space="preserve">delimit the content of the specialized comprehensive care for children and adolescents who are victims of sexual violence. Consequently, the Court orders the State to adopt, implement, supervise and monitor appropriately three standardized protocols, namely: (i) </w:t>
      </w:r>
      <w:r w:rsidRPr="00AC57EA">
        <w:rPr>
          <w:bCs/>
          <w:sz w:val="20"/>
          <w:szCs w:val="20"/>
          <w:lang w:val="en-US"/>
        </w:rPr>
        <w:t xml:space="preserve">a </w:t>
      </w:r>
      <w:r w:rsidR="007E72AE" w:rsidRPr="00AC57EA">
        <w:rPr>
          <w:bCs/>
          <w:sz w:val="20"/>
          <w:szCs w:val="20"/>
          <w:lang w:val="en-US"/>
        </w:rPr>
        <w:t>protocol for investigation and actions during criminal proceedings</w:t>
      </w:r>
      <w:r w:rsidR="00497BF5" w:rsidRPr="00AC57EA">
        <w:rPr>
          <w:bCs/>
          <w:sz w:val="20"/>
          <w:szCs w:val="20"/>
          <w:lang w:val="en-US"/>
        </w:rPr>
        <w:t xml:space="preserve"> </w:t>
      </w:r>
      <w:r w:rsidR="007E72AE" w:rsidRPr="00AC57EA">
        <w:rPr>
          <w:bCs/>
          <w:sz w:val="20"/>
          <w:szCs w:val="20"/>
          <w:lang w:val="en-US"/>
        </w:rPr>
        <w:t>in cases of child victims of sexual violence</w:t>
      </w:r>
      <w:r w:rsidR="00497BF5" w:rsidRPr="00AC57EA">
        <w:rPr>
          <w:bCs/>
          <w:sz w:val="20"/>
          <w:szCs w:val="20"/>
          <w:lang w:val="en-US"/>
        </w:rPr>
        <w:t xml:space="preserve">; </w:t>
      </w:r>
      <w:r w:rsidRPr="00AC57EA">
        <w:rPr>
          <w:bCs/>
          <w:sz w:val="20"/>
          <w:szCs w:val="20"/>
          <w:lang w:val="en-US"/>
        </w:rPr>
        <w:t>(</w:t>
      </w:r>
      <w:r w:rsidR="00497BF5" w:rsidRPr="00AC57EA">
        <w:rPr>
          <w:bCs/>
          <w:sz w:val="20"/>
          <w:szCs w:val="20"/>
          <w:lang w:val="en-US"/>
        </w:rPr>
        <w:t xml:space="preserve">ii) </w:t>
      </w:r>
      <w:r w:rsidRPr="00AC57EA">
        <w:rPr>
          <w:bCs/>
          <w:sz w:val="20"/>
          <w:szCs w:val="20"/>
          <w:lang w:val="en-US"/>
        </w:rPr>
        <w:t xml:space="preserve">a </w:t>
      </w:r>
      <w:r w:rsidR="007E72AE" w:rsidRPr="00AC57EA">
        <w:rPr>
          <w:bCs/>
          <w:sz w:val="20"/>
          <w:szCs w:val="20"/>
          <w:lang w:val="en-US"/>
        </w:rPr>
        <w:t>protocol on comprehensive care and forensic medical evaluation</w:t>
      </w:r>
      <w:r w:rsidR="00087D96" w:rsidRPr="00AC57EA">
        <w:rPr>
          <w:bCs/>
          <w:sz w:val="20"/>
          <w:szCs w:val="20"/>
          <w:lang w:val="en-US"/>
        </w:rPr>
        <w:t xml:space="preserve"> </w:t>
      </w:r>
      <w:r w:rsidR="007E72AE" w:rsidRPr="00AC57EA">
        <w:rPr>
          <w:bCs/>
          <w:sz w:val="20"/>
          <w:szCs w:val="20"/>
          <w:lang w:val="en-US"/>
        </w:rPr>
        <w:t>in cases of child victims of sexual violence</w:t>
      </w:r>
      <w:r w:rsidR="00087D96" w:rsidRPr="00AC57EA">
        <w:rPr>
          <w:bCs/>
          <w:sz w:val="20"/>
          <w:szCs w:val="20"/>
          <w:lang w:val="en-US"/>
        </w:rPr>
        <w:t>,</w:t>
      </w:r>
      <w:r w:rsidR="00171E27" w:rsidRPr="00AC57EA">
        <w:rPr>
          <w:bCs/>
          <w:sz w:val="20"/>
          <w:szCs w:val="20"/>
          <w:lang w:val="en-US"/>
        </w:rPr>
        <w:t xml:space="preserve"> and </w:t>
      </w:r>
      <w:r w:rsidRPr="00AC57EA">
        <w:rPr>
          <w:bCs/>
          <w:sz w:val="20"/>
          <w:szCs w:val="20"/>
          <w:lang w:val="en-US"/>
        </w:rPr>
        <w:t>(</w:t>
      </w:r>
      <w:r w:rsidR="00087D96" w:rsidRPr="00AC57EA">
        <w:rPr>
          <w:bCs/>
          <w:sz w:val="20"/>
          <w:szCs w:val="20"/>
          <w:lang w:val="en-US"/>
        </w:rPr>
        <w:t xml:space="preserve">iii) </w:t>
      </w:r>
      <w:r w:rsidRPr="00AC57EA">
        <w:rPr>
          <w:bCs/>
          <w:sz w:val="20"/>
          <w:szCs w:val="20"/>
          <w:lang w:val="en-US"/>
        </w:rPr>
        <w:t xml:space="preserve">a </w:t>
      </w:r>
      <w:r w:rsidR="00087D96" w:rsidRPr="00AC57EA">
        <w:rPr>
          <w:bCs/>
          <w:sz w:val="20"/>
          <w:szCs w:val="20"/>
          <w:lang w:val="en-US"/>
        </w:rPr>
        <w:t>protocol</w:t>
      </w:r>
      <w:r w:rsidRPr="00AC57EA">
        <w:rPr>
          <w:bCs/>
          <w:sz w:val="20"/>
          <w:szCs w:val="20"/>
          <w:lang w:val="en-US"/>
        </w:rPr>
        <w:t xml:space="preserve"> on comprehensive care for </w:t>
      </w:r>
      <w:r w:rsidR="001567A9" w:rsidRPr="00AC57EA">
        <w:rPr>
          <w:bCs/>
          <w:sz w:val="20"/>
          <w:szCs w:val="20"/>
          <w:lang w:val="en-US"/>
        </w:rPr>
        <w:t>chil</w:t>
      </w:r>
      <w:r w:rsidRPr="00AC57EA">
        <w:rPr>
          <w:bCs/>
          <w:sz w:val="20"/>
          <w:szCs w:val="20"/>
          <w:lang w:val="en-US"/>
        </w:rPr>
        <w:t>d</w:t>
      </w:r>
      <w:r w:rsidR="001567A9" w:rsidRPr="00AC57EA">
        <w:rPr>
          <w:bCs/>
          <w:sz w:val="20"/>
          <w:szCs w:val="20"/>
          <w:lang w:val="en-US"/>
        </w:rPr>
        <w:t xml:space="preserve"> and adolescent</w:t>
      </w:r>
      <w:r w:rsidRPr="00AC57EA">
        <w:rPr>
          <w:bCs/>
          <w:sz w:val="20"/>
          <w:szCs w:val="20"/>
          <w:lang w:val="en-US"/>
        </w:rPr>
        <w:t xml:space="preserve"> victims of sexual violence.</w:t>
      </w:r>
    </w:p>
    <w:p w14:paraId="7FD4C05C" w14:textId="77777777" w:rsidR="009D661E" w:rsidRPr="00AC57EA" w:rsidRDefault="009D661E" w:rsidP="00E621FE">
      <w:pPr>
        <w:spacing w:line="240" w:lineRule="auto"/>
        <w:rPr>
          <w:sz w:val="20"/>
          <w:szCs w:val="20"/>
          <w:lang w:val="en-US"/>
        </w:rPr>
      </w:pPr>
    </w:p>
    <w:p w14:paraId="32EC9F8F" w14:textId="6DC7EF1F" w:rsidR="002A3465" w:rsidRPr="00AC57EA" w:rsidRDefault="009F3BE2" w:rsidP="00A034FC">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Concerning</w:t>
      </w:r>
      <w:r w:rsidR="00E621FE" w:rsidRPr="00AC57EA">
        <w:rPr>
          <w:sz w:val="20"/>
          <w:szCs w:val="20"/>
          <w:lang w:val="en-US"/>
        </w:rPr>
        <w:t xml:space="preserve"> </w:t>
      </w:r>
      <w:r w:rsidR="00A034FC" w:rsidRPr="00AC57EA">
        <w:rPr>
          <w:sz w:val="20"/>
          <w:szCs w:val="20"/>
          <w:lang w:val="en-US"/>
        </w:rPr>
        <w:t xml:space="preserve">the </w:t>
      </w:r>
      <w:r w:rsidR="007E72AE" w:rsidRPr="00AC57EA">
        <w:rPr>
          <w:sz w:val="20"/>
          <w:szCs w:val="20"/>
          <w:lang w:val="en-US"/>
        </w:rPr>
        <w:t>protocol for investigation and actions during criminal proceedings</w:t>
      </w:r>
      <w:r w:rsidR="00E621FE" w:rsidRPr="00AC57EA">
        <w:rPr>
          <w:sz w:val="20"/>
          <w:szCs w:val="20"/>
          <w:lang w:val="en-US"/>
        </w:rPr>
        <w:t xml:space="preserve"> </w:t>
      </w:r>
      <w:r w:rsidR="007E72AE" w:rsidRPr="00AC57EA">
        <w:rPr>
          <w:sz w:val="20"/>
          <w:szCs w:val="20"/>
          <w:lang w:val="en-US"/>
        </w:rPr>
        <w:t>in cases of child victims of sexual violence</w:t>
      </w:r>
      <w:r w:rsidR="00E621FE" w:rsidRPr="00AC57EA">
        <w:rPr>
          <w:sz w:val="20"/>
          <w:szCs w:val="20"/>
          <w:lang w:val="en-US"/>
        </w:rPr>
        <w:t xml:space="preserve">, </w:t>
      </w:r>
      <w:r w:rsidR="00EC52D7" w:rsidRPr="00AC57EA">
        <w:rPr>
          <w:sz w:val="20"/>
          <w:szCs w:val="20"/>
          <w:lang w:val="en-US"/>
        </w:rPr>
        <w:t xml:space="preserve">the State </w:t>
      </w:r>
      <w:r w:rsidR="00A034FC" w:rsidRPr="00AC57EA">
        <w:rPr>
          <w:sz w:val="20"/>
          <w:szCs w:val="20"/>
          <w:lang w:val="en-US"/>
        </w:rPr>
        <w:t>must take into account the criteria established in the international instruments for the protection of the rights of the child, as well as the</w:t>
      </w:r>
      <w:r w:rsidR="00E621FE" w:rsidRPr="00AC57EA">
        <w:rPr>
          <w:sz w:val="20"/>
          <w:szCs w:val="20"/>
          <w:lang w:val="en-US"/>
        </w:rPr>
        <w:t xml:space="preserve"> </w:t>
      </w:r>
      <w:r w:rsidR="00A034FC" w:rsidRPr="00AC57EA">
        <w:rPr>
          <w:sz w:val="20"/>
          <w:szCs w:val="20"/>
          <w:lang w:val="en-US"/>
        </w:rPr>
        <w:t>standards developed in this judgment and in the Court’s case law. Thus, this protocol must take into consideration that enhanced due diligence entails the adoption of special measures and the implementation of proc</w:t>
      </w:r>
      <w:r w:rsidR="005C727D" w:rsidRPr="00AC57EA">
        <w:rPr>
          <w:sz w:val="20"/>
          <w:szCs w:val="20"/>
          <w:lang w:val="en-US"/>
        </w:rPr>
        <w:t>eedings</w:t>
      </w:r>
      <w:r w:rsidR="00A034FC" w:rsidRPr="00AC57EA">
        <w:rPr>
          <w:sz w:val="20"/>
          <w:szCs w:val="20"/>
          <w:lang w:val="en-US"/>
        </w:rPr>
        <w:t xml:space="preserve"> adapted to children and adolescents to avoi</w:t>
      </w:r>
      <w:r w:rsidR="002A3465" w:rsidRPr="00AC57EA">
        <w:rPr>
          <w:sz w:val="20"/>
          <w:szCs w:val="20"/>
          <w:lang w:val="en-US"/>
        </w:rPr>
        <w:t>d</w:t>
      </w:r>
      <w:r w:rsidR="00A034FC" w:rsidRPr="00AC57EA">
        <w:rPr>
          <w:sz w:val="20"/>
          <w:szCs w:val="20"/>
          <w:lang w:val="en-US"/>
        </w:rPr>
        <w:t xml:space="preserve"> their revictimization, so that it must include, based on the standards described in</w:t>
      </w:r>
      <w:r w:rsidR="002A3465" w:rsidRPr="00AC57EA">
        <w:rPr>
          <w:sz w:val="20"/>
          <w:szCs w:val="20"/>
          <w:lang w:val="en-US"/>
        </w:rPr>
        <w:t xml:space="preserve"> </w:t>
      </w:r>
      <w:r w:rsidR="005A2722" w:rsidRPr="00AC57EA">
        <w:rPr>
          <w:sz w:val="20"/>
          <w:szCs w:val="20"/>
          <w:lang w:val="en-US"/>
        </w:rPr>
        <w:t>paragraphs</w:t>
      </w:r>
      <w:r w:rsidR="00E621FE" w:rsidRPr="00AC57EA">
        <w:rPr>
          <w:sz w:val="20"/>
          <w:szCs w:val="20"/>
          <w:lang w:val="en-US"/>
        </w:rPr>
        <w:t xml:space="preserve"> </w:t>
      </w:r>
      <w:r w:rsidR="00354BD5" w:rsidRPr="00AC57EA">
        <w:rPr>
          <w:sz w:val="20"/>
          <w:szCs w:val="20"/>
          <w:lang w:val="en-US"/>
        </w:rPr>
        <w:t>158</w:t>
      </w:r>
      <w:r w:rsidR="00C64B34" w:rsidRPr="00AC57EA">
        <w:rPr>
          <w:sz w:val="20"/>
          <w:szCs w:val="20"/>
          <w:lang w:val="en-US"/>
        </w:rPr>
        <w:t xml:space="preserve"> </w:t>
      </w:r>
      <w:r w:rsidR="002A3465" w:rsidRPr="00AC57EA">
        <w:rPr>
          <w:sz w:val="20"/>
          <w:szCs w:val="20"/>
          <w:lang w:val="en-US"/>
        </w:rPr>
        <w:t>to</w:t>
      </w:r>
      <w:r w:rsidR="00FF05D4" w:rsidRPr="00AC57EA">
        <w:rPr>
          <w:sz w:val="20"/>
          <w:szCs w:val="20"/>
          <w:lang w:val="en-US"/>
        </w:rPr>
        <w:t xml:space="preserve"> </w:t>
      </w:r>
      <w:r w:rsidR="00C64B34" w:rsidRPr="00AC57EA">
        <w:rPr>
          <w:sz w:val="20"/>
          <w:szCs w:val="20"/>
          <w:lang w:val="en-US"/>
        </w:rPr>
        <w:t>168</w:t>
      </w:r>
      <w:r w:rsidR="00E621FE" w:rsidRPr="00AC57EA">
        <w:rPr>
          <w:sz w:val="20"/>
          <w:szCs w:val="20"/>
          <w:lang w:val="en-US"/>
        </w:rPr>
        <w:t xml:space="preserve">, </w:t>
      </w:r>
      <w:r w:rsidR="002A3465" w:rsidRPr="00AC57EA">
        <w:rPr>
          <w:sz w:val="20"/>
          <w:szCs w:val="20"/>
          <w:lang w:val="en-US"/>
        </w:rPr>
        <w:t>at least the following criteria: (i) the right to information on the proceedings</w:t>
      </w:r>
      <w:r w:rsidR="005C727D" w:rsidRPr="00AC57EA">
        <w:rPr>
          <w:sz w:val="20"/>
          <w:szCs w:val="20"/>
          <w:lang w:val="en-US"/>
        </w:rPr>
        <w:t xml:space="preserve">, and on the legal assistance and health services and other measures of protection available; (ii) free legal assistance provided by the State, consisting of a lawyer qualified to represent children and adolescents and with the authority to become a party to the proceedings, contest judicial measures, file appeals and carry out any other procedural action to defend their rights during the proceedings; (iii) the right to be heard with due guarantees and within a reasonable time, which involves an enhanced criterion of celerity; (iv) the right of the child or adolescent victim to take part in the criminal proceedings based on their age and maturity, and provided this does not harm their biopsychosocial well-being. To this end, only those procedures that are strictly necessary should be conducted, avoiding the presence and interaction of the children and adolescents with their aggressor; (v) appropriate conditions should be created </w:t>
      </w:r>
      <w:r w:rsidR="00F3078C" w:rsidRPr="00AC57EA">
        <w:rPr>
          <w:sz w:val="20"/>
          <w:szCs w:val="20"/>
          <w:lang w:val="en-US"/>
        </w:rPr>
        <w:t>so that children and adolescents can play an effective role in the criminal proceedings</w:t>
      </w:r>
      <w:r w:rsidR="008E2433" w:rsidRPr="00AC57EA">
        <w:rPr>
          <w:sz w:val="20"/>
          <w:szCs w:val="20"/>
          <w:lang w:val="en-US"/>
        </w:rPr>
        <w:t>,</w:t>
      </w:r>
      <w:r w:rsidR="00F3078C" w:rsidRPr="00AC57EA">
        <w:rPr>
          <w:sz w:val="20"/>
          <w:szCs w:val="20"/>
          <w:lang w:val="en-US"/>
        </w:rPr>
        <w:t xml:space="preserve"> providing special protections and specialized support; (vi) the interview must be conducted by a specialized psychologist or a professional in a similar discipline duly trained in taking this type of statement from children and adolescents; (vii) interview rooms must provide a safe environment that is n</w:t>
      </w:r>
      <w:r w:rsidR="00F3078C" w:rsidRPr="00AC57EA">
        <w:rPr>
          <w:rFonts w:eastAsia="Arial" w:cs="Arial"/>
          <w:sz w:val="20"/>
          <w:szCs w:val="20"/>
          <w:lang w:val="en-US"/>
        </w:rPr>
        <w:t xml:space="preserve">ot intimidating, hostile, insensitive or inappropriate and that </w:t>
      </w:r>
      <w:r w:rsidR="00F3078C" w:rsidRPr="00AC57EA">
        <w:rPr>
          <w:kern w:val="2"/>
          <w:sz w:val="20"/>
          <w:szCs w:val="20"/>
          <w:lang w:val="en-US" w:eastAsia="en-US"/>
        </w:rPr>
        <w:t xml:space="preserve">offers privacy and inspires confidence; (viii) the personnel of the criminal justice service who intervene must be </w:t>
      </w:r>
      <w:r w:rsidR="008E2433" w:rsidRPr="00AC57EA">
        <w:rPr>
          <w:kern w:val="2"/>
          <w:sz w:val="20"/>
          <w:szCs w:val="20"/>
          <w:lang w:val="en-US" w:eastAsia="en-US"/>
        </w:rPr>
        <w:t xml:space="preserve">specially </w:t>
      </w:r>
      <w:r w:rsidR="00F3078C" w:rsidRPr="00AC57EA">
        <w:rPr>
          <w:kern w:val="2"/>
          <w:sz w:val="20"/>
          <w:szCs w:val="20"/>
          <w:lang w:val="en-US" w:eastAsia="en-US"/>
        </w:rPr>
        <w:t xml:space="preserve">trained in this area, and (ix) immediate professional assistance must be provided, both medical and psychological and/or psychiatric, by a professional </w:t>
      </w:r>
      <w:r w:rsidR="008E2433" w:rsidRPr="00AC57EA">
        <w:rPr>
          <w:kern w:val="2"/>
          <w:sz w:val="20"/>
          <w:szCs w:val="20"/>
          <w:lang w:val="en-US" w:eastAsia="en-US"/>
        </w:rPr>
        <w:t>specially qualified</w:t>
      </w:r>
      <w:r w:rsidR="00F3078C" w:rsidRPr="00AC57EA">
        <w:rPr>
          <w:kern w:val="2"/>
          <w:sz w:val="20"/>
          <w:szCs w:val="20"/>
          <w:lang w:val="en-US" w:eastAsia="en-US"/>
        </w:rPr>
        <w:t xml:space="preserve"> in the treatment of victims of this type of crimes and with a gender perspective. The Court considers that this protocol must be addressed, above all, to all the administration of justice personnel who intervene in the investigation and processing of criminal proceedings in cases of child and adolescent victims of sexual violence, whether this has occurred in the public or private sphere.</w:t>
      </w:r>
    </w:p>
    <w:p w14:paraId="78BD41AC" w14:textId="77777777" w:rsidR="00E621FE" w:rsidRPr="00AC57EA" w:rsidRDefault="00E621FE" w:rsidP="00681AE9">
      <w:pPr>
        <w:spacing w:line="240" w:lineRule="auto"/>
        <w:rPr>
          <w:sz w:val="20"/>
          <w:szCs w:val="20"/>
          <w:lang w:val="en-US"/>
        </w:rPr>
      </w:pPr>
    </w:p>
    <w:p w14:paraId="0E70386A" w14:textId="626BBAE5" w:rsidR="00F3078C" w:rsidRPr="00AC57EA" w:rsidRDefault="009F3BE2" w:rsidP="002F5FF5">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Concerning</w:t>
      </w:r>
      <w:r w:rsidR="002F5FF5" w:rsidRPr="00AC57EA">
        <w:rPr>
          <w:sz w:val="20"/>
          <w:szCs w:val="20"/>
          <w:lang w:val="en-US"/>
        </w:rPr>
        <w:t xml:space="preserve"> </w:t>
      </w:r>
      <w:r w:rsidR="007E72AE" w:rsidRPr="00AC57EA">
        <w:rPr>
          <w:sz w:val="20"/>
          <w:szCs w:val="20"/>
          <w:lang w:val="en-US"/>
        </w:rPr>
        <w:t>protocol on comprehensive care and forensic medical evaluation</w:t>
      </w:r>
      <w:r w:rsidR="002F5FF5" w:rsidRPr="00AC57EA">
        <w:rPr>
          <w:sz w:val="20"/>
          <w:szCs w:val="20"/>
          <w:lang w:val="en-US"/>
        </w:rPr>
        <w:t xml:space="preserve"> </w:t>
      </w:r>
      <w:r w:rsidR="007E72AE" w:rsidRPr="00AC57EA">
        <w:rPr>
          <w:sz w:val="20"/>
          <w:szCs w:val="20"/>
          <w:lang w:val="en-US"/>
        </w:rPr>
        <w:t>in cases of child victims of sexual violence</w:t>
      </w:r>
      <w:r w:rsidR="002F5FF5" w:rsidRPr="00AC57EA">
        <w:rPr>
          <w:sz w:val="20"/>
          <w:szCs w:val="20"/>
          <w:lang w:val="en-US"/>
        </w:rPr>
        <w:t xml:space="preserve">, </w:t>
      </w:r>
      <w:r w:rsidR="00B7258C" w:rsidRPr="00AC57EA">
        <w:rPr>
          <w:sz w:val="20"/>
          <w:szCs w:val="20"/>
          <w:lang w:val="en-US"/>
        </w:rPr>
        <w:t>the Court</w:t>
      </w:r>
      <w:r w:rsidR="002F5FF5" w:rsidRPr="00AC57EA">
        <w:rPr>
          <w:sz w:val="20"/>
          <w:szCs w:val="20"/>
          <w:lang w:val="en-US"/>
        </w:rPr>
        <w:t xml:space="preserve"> orde</w:t>
      </w:r>
      <w:r w:rsidR="00F3078C" w:rsidRPr="00AC57EA">
        <w:rPr>
          <w:sz w:val="20"/>
          <w:szCs w:val="20"/>
          <w:lang w:val="en-US"/>
        </w:rPr>
        <w:t xml:space="preserve">rs the State of Nicaragua to adopt a specific standardized protocol </w:t>
      </w:r>
      <w:r w:rsidR="007C1096" w:rsidRPr="00AC57EA">
        <w:rPr>
          <w:sz w:val="20"/>
          <w:szCs w:val="20"/>
          <w:lang w:val="en-US"/>
        </w:rPr>
        <w:t>to ensure that</w:t>
      </w:r>
      <w:r w:rsidR="00F3078C" w:rsidRPr="00AC57EA">
        <w:rPr>
          <w:sz w:val="20"/>
          <w:szCs w:val="20"/>
          <w:lang w:val="en-US"/>
        </w:rPr>
        <w:t xml:space="preserve"> all health care personnel, whether public or private, and, in particular, the personnel of the Institute of Forensic Medicine</w:t>
      </w:r>
      <w:r w:rsidR="007C1096" w:rsidRPr="00AC57EA">
        <w:rPr>
          <w:sz w:val="20"/>
          <w:szCs w:val="20"/>
          <w:lang w:val="en-US"/>
        </w:rPr>
        <w:t xml:space="preserve">, have the necessary criteria to conduct the required examinations in keeping with the standards established in paragraph 169 of this judgment and the Court’s case law, as well as the relevant international standards. The Court stresses that if it is considered necessary to conduct a medical examination, the State must ensure, at least, the following: (i) </w:t>
      </w:r>
      <w:r w:rsidR="007C1096" w:rsidRPr="00AC57EA">
        <w:rPr>
          <w:kern w:val="2"/>
          <w:sz w:val="20"/>
          <w:szCs w:val="20"/>
          <w:lang w:val="en-US" w:eastAsia="en-US"/>
        </w:rPr>
        <w:t>insofar as possible, victims should not be subjected to more than one physical evaluation; (ii) it must be performed by a professional with extensive knowledge and experience in cases of sexual violence against</w:t>
      </w:r>
      <w:r w:rsidR="007C1096" w:rsidRPr="00AC57EA">
        <w:rPr>
          <w:b/>
          <w:kern w:val="2"/>
          <w:sz w:val="20"/>
          <w:szCs w:val="20"/>
          <w:lang w:val="en-US" w:eastAsia="en-US"/>
        </w:rPr>
        <w:t xml:space="preserve"> </w:t>
      </w:r>
      <w:r w:rsidR="007C1096" w:rsidRPr="00AC57EA">
        <w:rPr>
          <w:kern w:val="2"/>
          <w:sz w:val="20"/>
          <w:szCs w:val="20"/>
          <w:lang w:val="en-US" w:eastAsia="en-US"/>
        </w:rPr>
        <w:t>children and adolescents; (iii) the victim or their legal representative, based on the maturity of the child or adolescent, may choose the sex of the professional; (iv) the examination must be performed by a specialist in pediatric and adolescent gynecology with specific training in performing forensic medical examinations in cases of sexual abuse and rape; (v) it must only be performed following the informed consent of the victim, or their legal representative, in accordance with their level of maturity, taking into account the right of the child to be heard, and (vi) it must be conducted in an appropriate place, respecting the victim’s intimacy and privacy, and permitting them to be accompanied by a person of confidence.</w:t>
      </w:r>
    </w:p>
    <w:p w14:paraId="43C4478F" w14:textId="77777777" w:rsidR="002F5FF5" w:rsidRPr="00AC57EA" w:rsidRDefault="002F5FF5" w:rsidP="00DF3D71">
      <w:pPr>
        <w:pStyle w:val="Default"/>
        <w:tabs>
          <w:tab w:val="left" w:pos="567"/>
        </w:tabs>
        <w:jc w:val="both"/>
        <w:rPr>
          <w:rFonts w:ascii="Verdana" w:hAnsi="Verdana"/>
          <w:color w:val="auto"/>
          <w:sz w:val="20"/>
          <w:szCs w:val="20"/>
          <w:lang w:val="en-US"/>
        </w:rPr>
      </w:pPr>
    </w:p>
    <w:p w14:paraId="41E55DC6" w14:textId="13F3CC26" w:rsidR="00415EF8" w:rsidRPr="00AC57EA" w:rsidRDefault="007C1096" w:rsidP="00507E0E">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 xml:space="preserve">Lastly, in the case of the specific standardized protocol on comprehensive case for child and adolescent victims of sexual violence, the Court orders that this must provide measures of protection from the moment the State becomes aware of the sexual violence, in keeping with the criteria established in </w:t>
      </w:r>
      <w:r w:rsidR="005A2722" w:rsidRPr="00AC57EA">
        <w:rPr>
          <w:sz w:val="20"/>
          <w:szCs w:val="20"/>
          <w:lang w:val="en-US"/>
        </w:rPr>
        <w:t>paragraphs</w:t>
      </w:r>
      <w:r w:rsidR="009D661E" w:rsidRPr="00AC57EA">
        <w:rPr>
          <w:sz w:val="20"/>
          <w:szCs w:val="20"/>
          <w:lang w:val="en-US"/>
        </w:rPr>
        <w:t xml:space="preserve"> </w:t>
      </w:r>
      <w:r w:rsidR="00354BD5" w:rsidRPr="00AC57EA">
        <w:rPr>
          <w:sz w:val="20"/>
          <w:szCs w:val="20"/>
          <w:lang w:val="en-US"/>
        </w:rPr>
        <w:t>164, 165</w:t>
      </w:r>
      <w:r w:rsidR="00171E27" w:rsidRPr="00AC57EA">
        <w:rPr>
          <w:sz w:val="20"/>
          <w:szCs w:val="20"/>
          <w:lang w:val="en-US"/>
        </w:rPr>
        <w:t xml:space="preserve"> and </w:t>
      </w:r>
      <w:r w:rsidR="00354BD5" w:rsidRPr="00AC57EA">
        <w:rPr>
          <w:sz w:val="20"/>
          <w:szCs w:val="20"/>
          <w:lang w:val="en-US"/>
        </w:rPr>
        <w:t>170</w:t>
      </w:r>
      <w:r w:rsidR="00CA401A" w:rsidRPr="00AC57EA">
        <w:rPr>
          <w:sz w:val="20"/>
          <w:szCs w:val="20"/>
          <w:lang w:val="en-US"/>
        </w:rPr>
        <w:t xml:space="preserve"> </w:t>
      </w:r>
      <w:r w:rsidR="00171E27" w:rsidRPr="00AC57EA">
        <w:rPr>
          <w:sz w:val="20"/>
          <w:szCs w:val="20"/>
          <w:lang w:val="en-US"/>
        </w:rPr>
        <w:t>of this judgment</w:t>
      </w:r>
      <w:r w:rsidR="009D661E" w:rsidRPr="00AC57EA">
        <w:rPr>
          <w:sz w:val="20"/>
          <w:szCs w:val="20"/>
          <w:lang w:val="en-US"/>
        </w:rPr>
        <w:t>.</w:t>
      </w:r>
      <w:r w:rsidR="00CA401A" w:rsidRPr="00AC57EA">
        <w:rPr>
          <w:sz w:val="20"/>
          <w:szCs w:val="20"/>
          <w:lang w:val="en-US"/>
        </w:rPr>
        <w:t xml:space="preserve"> </w:t>
      </w:r>
      <w:r w:rsidRPr="00AC57EA">
        <w:rPr>
          <w:sz w:val="20"/>
          <w:szCs w:val="20"/>
          <w:lang w:val="en-US"/>
        </w:rPr>
        <w:t>I</w:t>
      </w:r>
      <w:r w:rsidR="00CA401A" w:rsidRPr="00AC57EA">
        <w:rPr>
          <w:sz w:val="20"/>
          <w:szCs w:val="20"/>
          <w:lang w:val="en-US"/>
        </w:rPr>
        <w:t xml:space="preserve">n particular, </w:t>
      </w:r>
      <w:r w:rsidR="00B7258C" w:rsidRPr="00AC57EA">
        <w:rPr>
          <w:sz w:val="20"/>
          <w:szCs w:val="20"/>
          <w:lang w:val="en-US"/>
        </w:rPr>
        <w:t>the Court</w:t>
      </w:r>
      <w:r w:rsidR="00CA401A" w:rsidRPr="00AC57EA">
        <w:rPr>
          <w:sz w:val="20"/>
          <w:szCs w:val="20"/>
          <w:lang w:val="en-US"/>
        </w:rPr>
        <w:t xml:space="preserve"> orde</w:t>
      </w:r>
      <w:r w:rsidR="00507E0E" w:rsidRPr="00AC57EA">
        <w:rPr>
          <w:sz w:val="20"/>
          <w:szCs w:val="20"/>
          <w:lang w:val="en-US"/>
        </w:rPr>
        <w:t>rs the State</w:t>
      </w:r>
      <w:r w:rsidR="00EF3470" w:rsidRPr="00AC57EA">
        <w:rPr>
          <w:sz w:val="20"/>
          <w:szCs w:val="20"/>
          <w:lang w:val="en-US"/>
        </w:rPr>
        <w:t xml:space="preserve"> to ensure</w:t>
      </w:r>
      <w:r w:rsidR="00507E0E" w:rsidRPr="00AC57EA">
        <w:rPr>
          <w:sz w:val="20"/>
          <w:szCs w:val="20"/>
          <w:lang w:val="en-US"/>
        </w:rPr>
        <w:t xml:space="preserve"> that this protocol e</w:t>
      </w:r>
      <w:r w:rsidR="00EF3470" w:rsidRPr="00AC57EA">
        <w:rPr>
          <w:sz w:val="20"/>
          <w:szCs w:val="20"/>
          <w:lang w:val="en-US"/>
        </w:rPr>
        <w:t>stablishes</w:t>
      </w:r>
      <w:r w:rsidR="00507E0E" w:rsidRPr="00AC57EA">
        <w:rPr>
          <w:sz w:val="20"/>
          <w:szCs w:val="20"/>
          <w:lang w:val="en-US"/>
        </w:rPr>
        <w:t xml:space="preserve"> the provision of special protection and specialized support</w:t>
      </w:r>
      <w:r w:rsidR="00CA401A" w:rsidRPr="00AC57EA">
        <w:rPr>
          <w:sz w:val="20"/>
          <w:szCs w:val="20"/>
          <w:lang w:val="en-US"/>
        </w:rPr>
        <w:t xml:space="preserve">, </w:t>
      </w:r>
      <w:r w:rsidR="00507E0E" w:rsidRPr="00AC57EA">
        <w:rPr>
          <w:sz w:val="20"/>
          <w:szCs w:val="20"/>
          <w:lang w:val="en-US"/>
        </w:rPr>
        <w:t>medical, psychological and/or psychiatric, for the child or adolescent to play an effective role in the criminal proceedings</w:t>
      </w:r>
      <w:r w:rsidR="00CA401A" w:rsidRPr="00AC57EA">
        <w:rPr>
          <w:sz w:val="20"/>
          <w:szCs w:val="20"/>
          <w:lang w:val="en-US"/>
        </w:rPr>
        <w:t xml:space="preserve">, </w:t>
      </w:r>
      <w:r w:rsidR="00507E0E" w:rsidRPr="00AC57EA">
        <w:rPr>
          <w:sz w:val="20"/>
          <w:szCs w:val="20"/>
          <w:lang w:val="en-US"/>
        </w:rPr>
        <w:t>avoiding revictimization</w:t>
      </w:r>
      <w:r w:rsidR="00EF3470" w:rsidRPr="00AC57EA">
        <w:rPr>
          <w:sz w:val="20"/>
          <w:szCs w:val="20"/>
          <w:lang w:val="en-US"/>
        </w:rPr>
        <w:t>,</w:t>
      </w:r>
      <w:r w:rsidR="00507E0E" w:rsidRPr="00AC57EA">
        <w:rPr>
          <w:sz w:val="20"/>
          <w:szCs w:val="20"/>
          <w:lang w:val="en-US"/>
        </w:rPr>
        <w:t xml:space="preserve"> and in keeping with their experiences and understanding. In addition, the protocol must guarantee that assistance is provided before, during and after the investigations and criminal proceedings to achieve the reintegration and rehabilitation of child and adolescent victims of sexual violence. Thus, </w:t>
      </w:r>
      <w:r w:rsidR="00507E0E" w:rsidRPr="00AC57EA">
        <w:rPr>
          <w:kern w:val="2"/>
          <w:sz w:val="20"/>
          <w:szCs w:val="20"/>
          <w:lang w:val="en-US" w:eastAsia="en-US"/>
        </w:rPr>
        <w:t xml:space="preserve">immediate, professional assistance must be provided, both medical and psychological and/or psychiatric, by qualified professionals, with a gender perspective and without discrimination, </w:t>
      </w:r>
      <w:r w:rsidR="00EF3470" w:rsidRPr="00AC57EA">
        <w:rPr>
          <w:kern w:val="2"/>
          <w:sz w:val="20"/>
          <w:szCs w:val="20"/>
          <w:lang w:val="en-US" w:eastAsia="en-US"/>
        </w:rPr>
        <w:t>to</w:t>
      </w:r>
      <w:r w:rsidR="00507E0E" w:rsidRPr="00AC57EA">
        <w:rPr>
          <w:kern w:val="2"/>
          <w:sz w:val="20"/>
          <w:szCs w:val="20"/>
          <w:lang w:val="en-US" w:eastAsia="en-US"/>
        </w:rPr>
        <w:t xml:space="preserve"> the victims and</w:t>
      </w:r>
      <w:r w:rsidR="00EF3470" w:rsidRPr="00AC57EA">
        <w:rPr>
          <w:kern w:val="2"/>
          <w:sz w:val="20"/>
          <w:szCs w:val="20"/>
          <w:lang w:val="en-US" w:eastAsia="en-US"/>
        </w:rPr>
        <w:t xml:space="preserve"> to</w:t>
      </w:r>
      <w:r w:rsidR="00507E0E" w:rsidRPr="00AC57EA">
        <w:rPr>
          <w:kern w:val="2"/>
          <w:sz w:val="20"/>
          <w:szCs w:val="20"/>
          <w:lang w:val="en-US" w:eastAsia="en-US"/>
        </w:rPr>
        <w:t xml:space="preserve"> the members of their families, for </w:t>
      </w:r>
      <w:r w:rsidR="00EF3470" w:rsidRPr="00AC57EA">
        <w:rPr>
          <w:kern w:val="2"/>
          <w:sz w:val="20"/>
          <w:szCs w:val="20"/>
          <w:lang w:val="en-US" w:eastAsia="en-US"/>
        </w:rPr>
        <w:t>as long as</w:t>
      </w:r>
      <w:r w:rsidR="00507E0E" w:rsidRPr="00AC57EA">
        <w:rPr>
          <w:kern w:val="2"/>
          <w:sz w:val="20"/>
          <w:szCs w:val="20"/>
          <w:lang w:val="en-US" w:eastAsia="en-US"/>
        </w:rPr>
        <w:t xml:space="preserve"> necessary to achieve their rehabilitation. The Court finds that this protocol must be addressed not only to the health care personnel who intervene in cases of sexual violence, but also to social and family support personnel </w:t>
      </w:r>
      <w:r w:rsidR="00EF3470" w:rsidRPr="00AC57EA">
        <w:rPr>
          <w:kern w:val="2"/>
          <w:sz w:val="20"/>
          <w:szCs w:val="20"/>
          <w:lang w:val="en-US" w:eastAsia="en-US"/>
        </w:rPr>
        <w:t>who</w:t>
      </w:r>
      <w:r w:rsidR="00507E0E" w:rsidRPr="00AC57EA">
        <w:rPr>
          <w:kern w:val="2"/>
          <w:sz w:val="20"/>
          <w:szCs w:val="20"/>
          <w:lang w:val="en-US" w:eastAsia="en-US"/>
        </w:rPr>
        <w:t xml:space="preserve"> provide comprehensive care to the victims, so that it should include</w:t>
      </w:r>
      <w:r w:rsidR="00EF3470" w:rsidRPr="00AC57EA">
        <w:rPr>
          <w:kern w:val="2"/>
          <w:sz w:val="20"/>
          <w:szCs w:val="20"/>
          <w:lang w:val="en-US" w:eastAsia="en-US"/>
        </w:rPr>
        <w:t xml:space="preserve"> information on</w:t>
      </w:r>
      <w:r w:rsidR="00507E0E" w:rsidRPr="00AC57EA">
        <w:rPr>
          <w:kern w:val="2"/>
          <w:sz w:val="20"/>
          <w:szCs w:val="20"/>
          <w:lang w:val="en-US" w:eastAsia="en-US"/>
        </w:rPr>
        <w:t xml:space="preserve"> the support mechanisms available to the victims and their families. The protocol must also clearly establish coordination actions between the different state entities that provide assistance to child and adolescent victims of sexual violence in</w:t>
      </w:r>
      <w:r w:rsidR="00507E0E" w:rsidRPr="00AC57EA">
        <w:rPr>
          <w:sz w:val="20"/>
          <w:szCs w:val="20"/>
          <w:lang w:val="en-US"/>
        </w:rPr>
        <w:t xml:space="preserve"> </w:t>
      </w:r>
      <w:r w:rsidR="009D661E" w:rsidRPr="00AC57EA">
        <w:rPr>
          <w:sz w:val="20"/>
          <w:szCs w:val="20"/>
          <w:lang w:val="en-US"/>
        </w:rPr>
        <w:t>Nicaragua</w:t>
      </w:r>
      <w:r w:rsidR="00507E0E" w:rsidRPr="00AC57EA">
        <w:rPr>
          <w:sz w:val="20"/>
          <w:szCs w:val="20"/>
          <w:lang w:val="en-US"/>
        </w:rPr>
        <w:t>.</w:t>
      </w:r>
      <w:r w:rsidR="00415EF8" w:rsidRPr="00AC57EA">
        <w:rPr>
          <w:rStyle w:val="Refdenotaalpie"/>
          <w:sz w:val="20"/>
          <w:szCs w:val="20"/>
          <w:lang w:val="en-US"/>
        </w:rPr>
        <w:footnoteReference w:id="447"/>
      </w:r>
    </w:p>
    <w:p w14:paraId="174B58F6" w14:textId="77777777" w:rsidR="00415EF8" w:rsidRPr="00AC57EA" w:rsidRDefault="00415EF8" w:rsidP="00DF3D71">
      <w:pPr>
        <w:tabs>
          <w:tab w:val="left" w:pos="567"/>
        </w:tabs>
        <w:spacing w:line="240" w:lineRule="auto"/>
        <w:textAlignment w:val="auto"/>
        <w:rPr>
          <w:sz w:val="20"/>
          <w:szCs w:val="20"/>
          <w:lang w:val="en-US"/>
        </w:rPr>
      </w:pPr>
    </w:p>
    <w:p w14:paraId="40A09BA6" w14:textId="051EF918" w:rsidR="00415EF8" w:rsidRPr="00AC57EA" w:rsidRDefault="00B7258C" w:rsidP="00DF3D71">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The Court</w:t>
      </w:r>
      <w:r w:rsidR="00415EF8" w:rsidRPr="00AC57EA">
        <w:rPr>
          <w:sz w:val="20"/>
          <w:szCs w:val="20"/>
          <w:lang w:val="en-US"/>
        </w:rPr>
        <w:t xml:space="preserve"> </w:t>
      </w:r>
      <w:r w:rsidR="00507E0E" w:rsidRPr="00AC57EA">
        <w:rPr>
          <w:sz w:val="20"/>
          <w:szCs w:val="20"/>
          <w:lang w:val="en-US"/>
        </w:rPr>
        <w:t>requires that</w:t>
      </w:r>
      <w:r w:rsidR="00415EF8" w:rsidRPr="00AC57EA">
        <w:rPr>
          <w:sz w:val="20"/>
          <w:szCs w:val="20"/>
          <w:lang w:val="en-US"/>
        </w:rPr>
        <w:t xml:space="preserve"> Nicaragua </w:t>
      </w:r>
      <w:r w:rsidR="00507E0E" w:rsidRPr="00AC57EA">
        <w:rPr>
          <w:sz w:val="20"/>
          <w:szCs w:val="20"/>
          <w:lang w:val="en-US"/>
        </w:rPr>
        <w:t xml:space="preserve">comply with the measures of reparation established in this section within two years of notification </w:t>
      </w:r>
      <w:r w:rsidR="00171E27" w:rsidRPr="00AC57EA">
        <w:rPr>
          <w:sz w:val="20"/>
          <w:szCs w:val="20"/>
          <w:lang w:val="en-US"/>
        </w:rPr>
        <w:t>of this judgment</w:t>
      </w:r>
      <w:r w:rsidR="00415EF8" w:rsidRPr="00AC57EA">
        <w:rPr>
          <w:sz w:val="20"/>
          <w:szCs w:val="20"/>
          <w:lang w:val="en-US"/>
        </w:rPr>
        <w:t>.</w:t>
      </w:r>
    </w:p>
    <w:p w14:paraId="6C8017AD" w14:textId="77777777" w:rsidR="009D661E" w:rsidRPr="00AC57EA" w:rsidRDefault="009D661E" w:rsidP="000744BD">
      <w:pPr>
        <w:tabs>
          <w:tab w:val="left" w:pos="567"/>
        </w:tabs>
        <w:spacing w:line="240" w:lineRule="auto"/>
        <w:textAlignment w:val="auto"/>
        <w:rPr>
          <w:sz w:val="20"/>
          <w:szCs w:val="20"/>
          <w:lang w:val="en-US"/>
        </w:rPr>
      </w:pPr>
    </w:p>
    <w:p w14:paraId="09194907" w14:textId="29198DF8" w:rsidR="00132CFF" w:rsidRPr="00AC57EA" w:rsidRDefault="00D8602B" w:rsidP="009D661E">
      <w:pPr>
        <w:spacing w:line="240" w:lineRule="auto"/>
        <w:ind w:left="1985"/>
        <w:rPr>
          <w:i/>
          <w:iCs/>
          <w:sz w:val="20"/>
          <w:szCs w:val="20"/>
          <w:lang w:val="en-US"/>
        </w:rPr>
      </w:pPr>
      <w:r w:rsidRPr="00AC57EA">
        <w:rPr>
          <w:i/>
          <w:iCs/>
          <w:sz w:val="20"/>
          <w:szCs w:val="20"/>
          <w:lang w:val="en-US"/>
        </w:rPr>
        <w:t>a.2</w:t>
      </w:r>
      <w:r w:rsidR="009D661E" w:rsidRPr="00AC57EA">
        <w:rPr>
          <w:i/>
          <w:iCs/>
          <w:sz w:val="20"/>
          <w:szCs w:val="20"/>
          <w:lang w:val="en-US"/>
        </w:rPr>
        <w:t>) Crea</w:t>
      </w:r>
      <w:r w:rsidR="00D9289B" w:rsidRPr="00AC57EA">
        <w:rPr>
          <w:i/>
          <w:iCs/>
          <w:sz w:val="20"/>
          <w:szCs w:val="20"/>
          <w:lang w:val="en-US"/>
        </w:rPr>
        <w:t xml:space="preserve">tion of the </w:t>
      </w:r>
      <w:r w:rsidR="00AC57EA">
        <w:rPr>
          <w:i/>
          <w:iCs/>
          <w:sz w:val="20"/>
          <w:szCs w:val="20"/>
          <w:lang w:val="en-US"/>
        </w:rPr>
        <w:t>mechanism</w:t>
      </w:r>
      <w:r w:rsidR="00D9289B" w:rsidRPr="00AC57EA">
        <w:rPr>
          <w:i/>
          <w:iCs/>
          <w:sz w:val="20"/>
          <w:szCs w:val="20"/>
          <w:lang w:val="en-US"/>
        </w:rPr>
        <w:t xml:space="preserve"> of </w:t>
      </w:r>
      <w:r w:rsidR="001567A9" w:rsidRPr="00AC57EA">
        <w:rPr>
          <w:i/>
          <w:iCs/>
          <w:sz w:val="20"/>
          <w:szCs w:val="20"/>
          <w:lang w:val="en-US"/>
        </w:rPr>
        <w:t>children and adolescents</w:t>
      </w:r>
      <w:r w:rsidR="00D9289B" w:rsidRPr="00AC57EA">
        <w:rPr>
          <w:i/>
          <w:iCs/>
          <w:sz w:val="20"/>
          <w:szCs w:val="20"/>
          <w:lang w:val="en-US"/>
        </w:rPr>
        <w:t xml:space="preserve">’ </w:t>
      </w:r>
      <w:r w:rsidR="00E607ED" w:rsidRPr="00AC57EA">
        <w:rPr>
          <w:i/>
          <w:iCs/>
          <w:sz w:val="20"/>
          <w:szCs w:val="20"/>
          <w:lang w:val="en-US"/>
        </w:rPr>
        <w:t>counsel</w:t>
      </w:r>
      <w:r w:rsidR="00D9289B" w:rsidRPr="00AC57EA">
        <w:rPr>
          <w:i/>
          <w:iCs/>
          <w:sz w:val="20"/>
          <w:szCs w:val="20"/>
          <w:lang w:val="en-US"/>
        </w:rPr>
        <w:t xml:space="preserve"> who provides legal assistance to victims of criminal offenses free of charge</w:t>
      </w:r>
    </w:p>
    <w:p w14:paraId="2A134AB7" w14:textId="77777777" w:rsidR="009D661E" w:rsidRPr="00AC57EA" w:rsidRDefault="009D661E" w:rsidP="007F115C">
      <w:pPr>
        <w:spacing w:line="240" w:lineRule="auto"/>
        <w:rPr>
          <w:i/>
          <w:iCs/>
          <w:sz w:val="20"/>
          <w:szCs w:val="20"/>
          <w:lang w:val="en-US"/>
        </w:rPr>
      </w:pPr>
    </w:p>
    <w:p w14:paraId="7E24EBC4" w14:textId="58DD271D" w:rsidR="00D9289B" w:rsidRPr="00AC57EA" w:rsidRDefault="00B7258C" w:rsidP="007F7D30">
      <w:pPr>
        <w:pStyle w:val="Default"/>
        <w:numPr>
          <w:ilvl w:val="0"/>
          <w:numId w:val="2"/>
        </w:numPr>
        <w:tabs>
          <w:tab w:val="left" w:pos="567"/>
          <w:tab w:val="left" w:pos="1276"/>
          <w:tab w:val="left" w:pos="1560"/>
        </w:tabs>
        <w:ind w:left="32" w:hanging="32"/>
        <w:jc w:val="both"/>
        <w:rPr>
          <w:rFonts w:ascii="Verdana" w:hAnsi="Verdana"/>
          <w:sz w:val="20"/>
          <w:szCs w:val="20"/>
          <w:lang w:val="en-US"/>
        </w:rPr>
      </w:pPr>
      <w:r w:rsidRPr="00AC57EA">
        <w:rPr>
          <w:rFonts w:ascii="Verdana" w:hAnsi="Verdana"/>
          <w:sz w:val="20"/>
          <w:szCs w:val="20"/>
          <w:lang w:val="en-US"/>
        </w:rPr>
        <w:t>The Court</w:t>
      </w:r>
      <w:r w:rsidR="007F115C" w:rsidRPr="00AC57EA">
        <w:rPr>
          <w:rFonts w:ascii="Verdana" w:hAnsi="Verdana"/>
          <w:sz w:val="20"/>
          <w:szCs w:val="20"/>
          <w:lang w:val="en-US"/>
        </w:rPr>
        <w:t xml:space="preserve"> </w:t>
      </w:r>
      <w:r w:rsidR="00D9289B" w:rsidRPr="00AC57EA">
        <w:rPr>
          <w:rFonts w:ascii="Verdana" w:hAnsi="Verdana"/>
          <w:sz w:val="20"/>
          <w:szCs w:val="20"/>
          <w:lang w:val="en-US"/>
        </w:rPr>
        <w:t>notes that</w:t>
      </w:r>
      <w:r w:rsidR="007F115C" w:rsidRPr="00AC57EA">
        <w:rPr>
          <w:rFonts w:ascii="Verdana" w:hAnsi="Verdana"/>
          <w:sz w:val="20"/>
          <w:szCs w:val="20"/>
          <w:lang w:val="en-US"/>
        </w:rPr>
        <w:t xml:space="preserve"> </w:t>
      </w:r>
      <w:r w:rsidR="008247AD" w:rsidRPr="00AC57EA">
        <w:rPr>
          <w:rFonts w:ascii="Verdana" w:hAnsi="Verdana"/>
          <w:sz w:val="20"/>
          <w:szCs w:val="20"/>
          <w:lang w:val="en-US"/>
        </w:rPr>
        <w:t>V.R.P.</w:t>
      </w:r>
      <w:r w:rsidR="00D9289B" w:rsidRPr="00AC57EA">
        <w:rPr>
          <w:rFonts w:ascii="Verdana" w:hAnsi="Verdana"/>
          <w:sz w:val="20"/>
          <w:szCs w:val="20"/>
          <w:lang w:val="en-US"/>
        </w:rPr>
        <w:t xml:space="preserve"> did not have her own legal counsel or the support of a state entity to ensure her rights during the revictimizing judicial procedures, who would have allowed her opinion to be heard in the proceedings a</w:t>
      </w:r>
      <w:r w:rsidR="00E50D3E" w:rsidRPr="00AC57EA">
        <w:rPr>
          <w:rFonts w:ascii="Verdana" w:hAnsi="Verdana"/>
          <w:sz w:val="20"/>
          <w:szCs w:val="20"/>
          <w:lang w:val="en-US"/>
        </w:rPr>
        <w:t>s well as</w:t>
      </w:r>
      <w:r w:rsidR="00D9289B" w:rsidRPr="00AC57EA">
        <w:rPr>
          <w:rFonts w:ascii="Verdana" w:hAnsi="Verdana"/>
          <w:sz w:val="20"/>
          <w:szCs w:val="20"/>
          <w:lang w:val="en-US"/>
        </w:rPr>
        <w:t xml:space="preserve"> her evident and clearly stated wish </w:t>
      </w:r>
      <w:r w:rsidR="00E50D3E" w:rsidRPr="00AC57EA">
        <w:rPr>
          <w:rFonts w:ascii="Verdana" w:hAnsi="Verdana"/>
          <w:sz w:val="20"/>
          <w:szCs w:val="20"/>
          <w:lang w:val="en-US"/>
        </w:rPr>
        <w:t xml:space="preserve">that </w:t>
      </w:r>
      <w:r w:rsidR="00D9289B" w:rsidRPr="00AC57EA">
        <w:rPr>
          <w:rFonts w:ascii="Verdana" w:hAnsi="Verdana"/>
          <w:sz w:val="20"/>
          <w:szCs w:val="20"/>
          <w:lang w:val="en-US"/>
        </w:rPr>
        <w:t>certain procedure</w:t>
      </w:r>
      <w:r w:rsidR="00E50D3E" w:rsidRPr="00AC57EA">
        <w:rPr>
          <w:rFonts w:ascii="Verdana" w:hAnsi="Verdana"/>
          <w:sz w:val="20"/>
          <w:szCs w:val="20"/>
          <w:lang w:val="en-US"/>
        </w:rPr>
        <w:t>s not be conducted</w:t>
      </w:r>
      <w:r w:rsidR="00D9289B" w:rsidRPr="00AC57EA">
        <w:rPr>
          <w:rFonts w:ascii="Verdana" w:hAnsi="Verdana"/>
          <w:sz w:val="20"/>
          <w:szCs w:val="20"/>
          <w:lang w:val="en-US"/>
        </w:rPr>
        <w:t xml:space="preserve"> owing to the harm they caused her. The Court notes that if the child had taken part in the criminal proceedings with her own legal counsel, she would have been able to contest harmful judicial procedures and, thus, been able to avoid the different acts of revictimization that she suffered.</w:t>
      </w:r>
    </w:p>
    <w:p w14:paraId="6D8CDE7D" w14:textId="3CE2CEA0" w:rsidR="007F115C" w:rsidRPr="00AC57EA" w:rsidRDefault="00D9289B" w:rsidP="00D9289B">
      <w:pPr>
        <w:pStyle w:val="Default"/>
        <w:tabs>
          <w:tab w:val="left" w:pos="2859"/>
        </w:tabs>
        <w:ind w:left="32"/>
        <w:jc w:val="both"/>
        <w:rPr>
          <w:rFonts w:ascii="Verdana" w:hAnsi="Verdana"/>
          <w:sz w:val="20"/>
          <w:szCs w:val="20"/>
          <w:lang w:val="en-US"/>
        </w:rPr>
      </w:pPr>
      <w:r w:rsidRPr="00AC57EA">
        <w:rPr>
          <w:rFonts w:ascii="Verdana" w:hAnsi="Verdana"/>
          <w:sz w:val="20"/>
          <w:szCs w:val="20"/>
          <w:lang w:val="en-US"/>
        </w:rPr>
        <w:tab/>
        <w:t xml:space="preserve"> </w:t>
      </w:r>
    </w:p>
    <w:p w14:paraId="50404C1B" w14:textId="3EAAACC6" w:rsidR="009D661E" w:rsidRPr="00AC57EA" w:rsidRDefault="00B7258C" w:rsidP="008F3B8C">
      <w:pPr>
        <w:pStyle w:val="Default"/>
        <w:numPr>
          <w:ilvl w:val="0"/>
          <w:numId w:val="2"/>
        </w:numPr>
        <w:tabs>
          <w:tab w:val="left" w:pos="567"/>
          <w:tab w:val="left" w:pos="1276"/>
          <w:tab w:val="left" w:pos="1560"/>
        </w:tabs>
        <w:ind w:left="32" w:hanging="32"/>
        <w:jc w:val="both"/>
        <w:rPr>
          <w:rFonts w:ascii="Verdana" w:hAnsi="Verdana"/>
          <w:color w:val="auto"/>
          <w:sz w:val="20"/>
          <w:szCs w:val="20"/>
          <w:lang w:val="en-US"/>
        </w:rPr>
      </w:pPr>
      <w:r w:rsidRPr="00AC57EA">
        <w:rPr>
          <w:rFonts w:ascii="Verdana" w:hAnsi="Verdana"/>
          <w:color w:val="auto"/>
          <w:sz w:val="20"/>
          <w:szCs w:val="20"/>
          <w:lang w:val="en-US"/>
        </w:rPr>
        <w:t>The Court</w:t>
      </w:r>
      <w:r w:rsidR="009D661E" w:rsidRPr="00AC57EA">
        <w:rPr>
          <w:rFonts w:ascii="Verdana" w:hAnsi="Verdana"/>
          <w:color w:val="auto"/>
          <w:sz w:val="20"/>
          <w:szCs w:val="20"/>
          <w:lang w:val="en-US"/>
        </w:rPr>
        <w:t xml:space="preserve"> consider</w:t>
      </w:r>
      <w:r w:rsidR="00D9289B" w:rsidRPr="00AC57EA">
        <w:rPr>
          <w:rFonts w:ascii="Verdana" w:hAnsi="Verdana"/>
          <w:color w:val="auto"/>
          <w:sz w:val="20"/>
          <w:szCs w:val="20"/>
          <w:lang w:val="en-US"/>
        </w:rPr>
        <w:t>s that, as a measure to</w:t>
      </w:r>
      <w:r w:rsidR="009D661E" w:rsidRPr="00AC57EA">
        <w:rPr>
          <w:rFonts w:ascii="Verdana" w:hAnsi="Verdana"/>
          <w:color w:val="auto"/>
          <w:sz w:val="20"/>
          <w:szCs w:val="20"/>
          <w:lang w:val="en-US"/>
        </w:rPr>
        <w:t xml:space="preserve"> </w:t>
      </w:r>
      <w:r w:rsidR="004A0B59" w:rsidRPr="00AC57EA">
        <w:rPr>
          <w:rFonts w:ascii="Verdana" w:hAnsi="Verdana"/>
          <w:color w:val="auto"/>
          <w:sz w:val="20"/>
          <w:szCs w:val="20"/>
          <w:lang w:val="en-US"/>
        </w:rPr>
        <w:t>reinforc</w:t>
      </w:r>
      <w:r w:rsidR="00D9289B" w:rsidRPr="00AC57EA">
        <w:rPr>
          <w:rFonts w:ascii="Verdana" w:hAnsi="Verdana"/>
          <w:color w:val="auto"/>
          <w:sz w:val="20"/>
          <w:szCs w:val="20"/>
          <w:lang w:val="en-US"/>
        </w:rPr>
        <w:t>e the State’s</w:t>
      </w:r>
      <w:r w:rsidR="004A0B59" w:rsidRPr="00AC57EA">
        <w:rPr>
          <w:rFonts w:ascii="Verdana" w:hAnsi="Verdana"/>
          <w:color w:val="auto"/>
          <w:sz w:val="20"/>
          <w:szCs w:val="20"/>
          <w:lang w:val="en-US"/>
        </w:rPr>
        <w:t xml:space="preserve"> institutional capacity</w:t>
      </w:r>
      <w:r w:rsidR="009D661E" w:rsidRPr="00AC57EA">
        <w:rPr>
          <w:rFonts w:ascii="Verdana" w:hAnsi="Verdana"/>
          <w:color w:val="auto"/>
          <w:sz w:val="20"/>
          <w:szCs w:val="20"/>
          <w:lang w:val="en-US"/>
        </w:rPr>
        <w:t xml:space="preserve">, Nicaragua </w:t>
      </w:r>
      <w:r w:rsidR="00E607ED" w:rsidRPr="00AC57EA">
        <w:rPr>
          <w:rFonts w:ascii="Verdana" w:hAnsi="Verdana"/>
          <w:color w:val="auto"/>
          <w:sz w:val="20"/>
          <w:szCs w:val="20"/>
          <w:lang w:val="en-US"/>
        </w:rPr>
        <w:t>should</w:t>
      </w:r>
      <w:r w:rsidR="00D9289B" w:rsidRPr="00AC57EA">
        <w:rPr>
          <w:rFonts w:ascii="Verdana" w:hAnsi="Verdana"/>
          <w:color w:val="auto"/>
          <w:sz w:val="20"/>
          <w:szCs w:val="20"/>
          <w:lang w:val="en-US"/>
        </w:rPr>
        <w:t xml:space="preserve"> create and implement a special </w:t>
      </w:r>
      <w:r w:rsidR="00E607ED" w:rsidRPr="00AC57EA">
        <w:rPr>
          <w:rFonts w:ascii="Verdana" w:hAnsi="Verdana"/>
          <w:color w:val="auto"/>
          <w:sz w:val="20"/>
          <w:szCs w:val="20"/>
          <w:lang w:val="en-US"/>
        </w:rPr>
        <w:t>mechanism</w:t>
      </w:r>
      <w:r w:rsidR="00D9289B" w:rsidRPr="00AC57EA">
        <w:rPr>
          <w:rFonts w:ascii="Verdana" w:hAnsi="Verdana"/>
          <w:color w:val="auto"/>
          <w:sz w:val="20"/>
          <w:szCs w:val="20"/>
          <w:lang w:val="en-US"/>
        </w:rPr>
        <w:t xml:space="preserve"> that provides legal assistance to child and adolescent victims of crimes, especially </w:t>
      </w:r>
      <w:r w:rsidR="00E607ED" w:rsidRPr="00AC57EA">
        <w:rPr>
          <w:rFonts w:ascii="Verdana" w:hAnsi="Verdana"/>
          <w:color w:val="auto"/>
          <w:sz w:val="20"/>
          <w:szCs w:val="20"/>
          <w:lang w:val="en-US"/>
        </w:rPr>
        <w:t>those involving</w:t>
      </w:r>
      <w:r w:rsidR="00D9289B" w:rsidRPr="00AC57EA">
        <w:rPr>
          <w:rFonts w:ascii="Verdana" w:hAnsi="Verdana"/>
          <w:color w:val="auto"/>
          <w:sz w:val="20"/>
          <w:szCs w:val="20"/>
          <w:lang w:val="en-US"/>
        </w:rPr>
        <w:t xml:space="preserve"> sexual violence; in other words, the child’s or adolescent’s </w:t>
      </w:r>
      <w:r w:rsidR="00E607ED" w:rsidRPr="00AC57EA">
        <w:rPr>
          <w:rFonts w:ascii="Verdana" w:hAnsi="Verdana"/>
          <w:color w:val="auto"/>
          <w:sz w:val="20"/>
          <w:szCs w:val="20"/>
          <w:lang w:val="en-US"/>
        </w:rPr>
        <w:t>counsel</w:t>
      </w:r>
      <w:r w:rsidR="00D9289B" w:rsidRPr="00AC57EA">
        <w:rPr>
          <w:rFonts w:ascii="Verdana" w:hAnsi="Verdana"/>
          <w:color w:val="auto"/>
          <w:sz w:val="20"/>
          <w:szCs w:val="20"/>
          <w:lang w:val="en-US"/>
        </w:rPr>
        <w:t xml:space="preserve">, specialized in the matter, who defends their interests during the investigations and the criminal proceedings. This technical legal assistance must be provided by the State free of charge if the minor is of an age and has sufficient maturity to indicate their intention to become a </w:t>
      </w:r>
      <w:r w:rsidR="00AC57EA">
        <w:rPr>
          <w:rFonts w:ascii="Verdana" w:hAnsi="Verdana"/>
          <w:color w:val="auto"/>
          <w:sz w:val="20"/>
          <w:szCs w:val="20"/>
          <w:lang w:val="en-US"/>
        </w:rPr>
        <w:t>plaintiff</w:t>
      </w:r>
      <w:r w:rsidR="00D9289B" w:rsidRPr="00AC57EA">
        <w:rPr>
          <w:rFonts w:ascii="Verdana" w:hAnsi="Verdana"/>
          <w:color w:val="auto"/>
          <w:sz w:val="20"/>
          <w:szCs w:val="20"/>
          <w:lang w:val="en-US"/>
        </w:rPr>
        <w:t xml:space="preserve"> in the proceedings, in orde</w:t>
      </w:r>
      <w:r w:rsidR="008F3B8C" w:rsidRPr="00AC57EA">
        <w:rPr>
          <w:rFonts w:ascii="Verdana" w:hAnsi="Verdana"/>
          <w:color w:val="auto"/>
          <w:sz w:val="20"/>
          <w:szCs w:val="20"/>
          <w:lang w:val="en-US"/>
        </w:rPr>
        <w:t>r</w:t>
      </w:r>
      <w:r w:rsidR="00D9289B" w:rsidRPr="00AC57EA">
        <w:rPr>
          <w:rFonts w:ascii="Verdana" w:hAnsi="Verdana"/>
          <w:color w:val="auto"/>
          <w:sz w:val="20"/>
          <w:szCs w:val="20"/>
          <w:lang w:val="en-US"/>
        </w:rPr>
        <w:t xml:space="preserve"> to defend</w:t>
      </w:r>
      <w:r w:rsidR="008F3B8C" w:rsidRPr="00AC57EA">
        <w:rPr>
          <w:rFonts w:ascii="Verdana" w:hAnsi="Verdana"/>
          <w:color w:val="auto"/>
          <w:sz w:val="20"/>
          <w:szCs w:val="20"/>
          <w:lang w:val="en-US"/>
        </w:rPr>
        <w:t xml:space="preserve"> his or her rights autonomously</w:t>
      </w:r>
      <w:r w:rsidR="00AC57EA">
        <w:rPr>
          <w:rFonts w:ascii="Verdana" w:hAnsi="Verdana"/>
          <w:color w:val="auto"/>
          <w:sz w:val="20"/>
          <w:szCs w:val="20"/>
          <w:lang w:val="en-US"/>
        </w:rPr>
        <w:t>,</w:t>
      </w:r>
      <w:r w:rsidR="008F3B8C" w:rsidRPr="00AC57EA">
        <w:rPr>
          <w:rFonts w:ascii="Verdana" w:hAnsi="Verdana"/>
          <w:color w:val="auto"/>
          <w:sz w:val="20"/>
          <w:szCs w:val="20"/>
          <w:lang w:val="en-US"/>
        </w:rPr>
        <w:t xml:space="preserve"> as a subject of rights differentiated from those of adults. The technical assistance must be freely chosen, so that it must be offered and provided to the child or adolescent who requires it, unless they have their own lawyer. Nicaragua must comply with the measure of reparation within two years of notification </w:t>
      </w:r>
      <w:r w:rsidR="00171E27" w:rsidRPr="00AC57EA">
        <w:rPr>
          <w:rFonts w:ascii="Verdana" w:hAnsi="Verdana"/>
          <w:color w:val="auto"/>
          <w:sz w:val="20"/>
          <w:szCs w:val="20"/>
          <w:lang w:val="en-US"/>
        </w:rPr>
        <w:t>of this judgment</w:t>
      </w:r>
      <w:r w:rsidR="009D661E" w:rsidRPr="00AC57EA">
        <w:rPr>
          <w:rFonts w:ascii="Verdana" w:hAnsi="Verdana"/>
          <w:color w:val="auto"/>
          <w:sz w:val="20"/>
          <w:szCs w:val="20"/>
          <w:lang w:val="en-US"/>
        </w:rPr>
        <w:t>.</w:t>
      </w:r>
    </w:p>
    <w:p w14:paraId="4DB49AD3" w14:textId="77777777" w:rsidR="008F7852" w:rsidRPr="00AC57EA" w:rsidRDefault="008F7852" w:rsidP="00DF3D71">
      <w:pPr>
        <w:pStyle w:val="Default"/>
        <w:tabs>
          <w:tab w:val="left" w:pos="567"/>
        </w:tabs>
        <w:ind w:left="32"/>
        <w:jc w:val="both"/>
        <w:rPr>
          <w:rFonts w:ascii="Verdana" w:hAnsi="Verdana"/>
          <w:color w:val="auto"/>
          <w:sz w:val="20"/>
          <w:szCs w:val="20"/>
          <w:lang w:val="en-US"/>
        </w:rPr>
      </w:pPr>
    </w:p>
    <w:p w14:paraId="24A46386" w14:textId="6421C071" w:rsidR="008F7852" w:rsidRPr="00AC57EA" w:rsidRDefault="00D8602B" w:rsidP="00DF3D71">
      <w:pPr>
        <w:spacing w:line="240" w:lineRule="auto"/>
        <w:ind w:left="1276"/>
        <w:rPr>
          <w:i/>
          <w:iCs/>
          <w:sz w:val="20"/>
          <w:szCs w:val="20"/>
          <w:lang w:val="en-US"/>
        </w:rPr>
      </w:pPr>
      <w:r w:rsidRPr="00AC57EA">
        <w:rPr>
          <w:i/>
          <w:iCs/>
          <w:sz w:val="20"/>
          <w:szCs w:val="20"/>
          <w:lang w:val="en-US"/>
        </w:rPr>
        <w:t>b</w:t>
      </w:r>
      <w:r w:rsidR="008F7852" w:rsidRPr="00AC57EA">
        <w:rPr>
          <w:i/>
          <w:iCs/>
          <w:sz w:val="20"/>
          <w:szCs w:val="20"/>
          <w:lang w:val="en-US"/>
        </w:rPr>
        <w:t xml:space="preserve">) </w:t>
      </w:r>
      <w:r w:rsidR="008F3B8C" w:rsidRPr="00AC57EA">
        <w:rPr>
          <w:i/>
          <w:iCs/>
          <w:sz w:val="20"/>
          <w:szCs w:val="20"/>
          <w:lang w:val="en-US"/>
        </w:rPr>
        <w:t>Training for public officials.</w:t>
      </w:r>
    </w:p>
    <w:p w14:paraId="518AE179" w14:textId="77777777" w:rsidR="008F7852" w:rsidRPr="00AC57EA" w:rsidRDefault="008F7852" w:rsidP="008F7852">
      <w:pPr>
        <w:spacing w:line="240" w:lineRule="auto"/>
        <w:rPr>
          <w:iCs/>
          <w:sz w:val="20"/>
          <w:szCs w:val="20"/>
          <w:lang w:val="en-US"/>
        </w:rPr>
      </w:pPr>
    </w:p>
    <w:p w14:paraId="57F8B7F9" w14:textId="2E191E97" w:rsidR="008F7852" w:rsidRPr="00AC57EA" w:rsidRDefault="00B7258C" w:rsidP="008F7852">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Commission</w:t>
      </w:r>
      <w:r w:rsidR="008F7852" w:rsidRPr="00AC57EA">
        <w:rPr>
          <w:rFonts w:eastAsia="MS Mincho"/>
          <w:sz w:val="20"/>
          <w:szCs w:val="20"/>
          <w:lang w:val="en-US" w:bidi="en-US"/>
        </w:rPr>
        <w:t xml:space="preserve"> recom</w:t>
      </w:r>
      <w:r w:rsidR="00B61E64" w:rsidRPr="00AC57EA">
        <w:rPr>
          <w:rFonts w:eastAsia="MS Mincho"/>
          <w:sz w:val="20"/>
          <w:szCs w:val="20"/>
          <w:lang w:val="en-US" w:bidi="en-US"/>
        </w:rPr>
        <w:t xml:space="preserve">mended that the State design and implement </w:t>
      </w:r>
      <w:r w:rsidR="002A01B7" w:rsidRPr="00AC57EA">
        <w:rPr>
          <w:rFonts w:eastAsia="MS Mincho"/>
          <w:sz w:val="20"/>
          <w:szCs w:val="20"/>
          <w:lang w:val="en-US" w:bidi="en-US"/>
        </w:rPr>
        <w:t>permanent</w:t>
      </w:r>
      <w:r w:rsidR="00B61E64" w:rsidRPr="00AC57EA">
        <w:rPr>
          <w:rFonts w:eastAsia="MS Mincho"/>
          <w:sz w:val="20"/>
          <w:szCs w:val="20"/>
          <w:lang w:val="en-US" w:bidi="en-US"/>
        </w:rPr>
        <w:t xml:space="preserve"> training programs for public officials, members of the Judiciary, the </w:t>
      </w:r>
      <w:r w:rsidR="00151468" w:rsidRPr="00AC57EA">
        <w:rPr>
          <w:sz w:val="20"/>
          <w:szCs w:val="20"/>
          <w:lang w:val="en-US"/>
        </w:rPr>
        <w:t>Public Prosecution Service</w:t>
      </w:r>
      <w:r w:rsidR="00171E27" w:rsidRPr="00AC57EA">
        <w:rPr>
          <w:sz w:val="20"/>
          <w:szCs w:val="20"/>
          <w:lang w:val="en-US"/>
        </w:rPr>
        <w:t xml:space="preserve"> and</w:t>
      </w:r>
      <w:r w:rsidR="00B61E64" w:rsidRPr="00AC57EA">
        <w:rPr>
          <w:sz w:val="20"/>
          <w:szCs w:val="20"/>
          <w:lang w:val="en-US"/>
        </w:rPr>
        <w:t xml:space="preserve"> the National Police, on international standards for the investigation of rape and other forms of sexual violence against women, including girls. It also recommended that the State train health care personnel, both doctors and psychologists, who are involved in such investigations, on the international standards for the treatment of child victims of sexual violence.</w:t>
      </w:r>
    </w:p>
    <w:p w14:paraId="7BB69D33" w14:textId="77777777" w:rsidR="008F7852" w:rsidRPr="00AC57EA" w:rsidRDefault="008F7852" w:rsidP="008F7852">
      <w:pPr>
        <w:tabs>
          <w:tab w:val="left" w:pos="0"/>
          <w:tab w:val="num" w:pos="11028"/>
        </w:tabs>
        <w:spacing w:line="240" w:lineRule="auto"/>
        <w:ind w:right="-90"/>
        <w:rPr>
          <w:rFonts w:eastAsia="MS Mincho"/>
          <w:sz w:val="20"/>
          <w:szCs w:val="20"/>
          <w:lang w:val="en-US" w:bidi="en-US"/>
        </w:rPr>
      </w:pPr>
    </w:p>
    <w:p w14:paraId="27B9B440" w14:textId="63EB36A5" w:rsidR="008F7852" w:rsidRPr="00AC57EA" w:rsidRDefault="00171E27" w:rsidP="008F7852">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iCs/>
          <w:sz w:val="20"/>
          <w:szCs w:val="20"/>
          <w:lang w:val="en-US" w:bidi="en-US"/>
        </w:rPr>
        <w:t xml:space="preserve">The </w:t>
      </w:r>
      <w:r w:rsidRPr="00AC57EA">
        <w:rPr>
          <w:rFonts w:eastAsia="MS Mincho"/>
          <w:b/>
          <w:bCs/>
          <w:i/>
          <w:sz w:val="20"/>
          <w:szCs w:val="20"/>
          <w:lang w:val="en-US" w:bidi="en-US"/>
        </w:rPr>
        <w:t>representatives</w:t>
      </w:r>
      <w:r w:rsidR="00B61E64" w:rsidRPr="00AC57EA">
        <w:rPr>
          <w:rFonts w:eastAsia="MS Mincho"/>
          <w:sz w:val="20"/>
          <w:szCs w:val="20"/>
          <w:lang w:val="en-US" w:bidi="en-US"/>
        </w:rPr>
        <w:t xml:space="preserve"> asked that the State provide training to public servants who</w:t>
      </w:r>
      <w:r w:rsidR="00E607ED" w:rsidRPr="00AC57EA">
        <w:rPr>
          <w:rFonts w:eastAsia="MS Mincho"/>
          <w:sz w:val="20"/>
          <w:szCs w:val="20"/>
          <w:lang w:val="en-US" w:bidi="en-US"/>
        </w:rPr>
        <w:t xml:space="preserve">se work involves </w:t>
      </w:r>
      <w:r w:rsidR="00B61E64" w:rsidRPr="00AC57EA">
        <w:rPr>
          <w:rFonts w:eastAsia="MS Mincho"/>
          <w:sz w:val="20"/>
          <w:szCs w:val="20"/>
          <w:lang w:val="en-US" w:bidi="en-US"/>
        </w:rPr>
        <w:t xml:space="preserve">issues </w:t>
      </w:r>
      <w:r w:rsidR="00E607ED" w:rsidRPr="00AC57EA">
        <w:rPr>
          <w:rFonts w:eastAsia="MS Mincho"/>
          <w:sz w:val="20"/>
          <w:szCs w:val="20"/>
          <w:lang w:val="en-US" w:bidi="en-US"/>
        </w:rPr>
        <w:t>relating to</w:t>
      </w:r>
      <w:r w:rsidR="00B61E64" w:rsidRPr="00AC57EA">
        <w:rPr>
          <w:rFonts w:eastAsia="MS Mincho"/>
          <w:sz w:val="20"/>
          <w:szCs w:val="20"/>
          <w:lang w:val="en-US" w:bidi="en-US"/>
        </w:rPr>
        <w:t xml:space="preserve"> sexual abuse on human rights and best practices in assisting victims of such abuse, thus preventing revictimization, especially in the case of children.</w:t>
      </w:r>
    </w:p>
    <w:p w14:paraId="1A44C582" w14:textId="77777777" w:rsidR="008F7852" w:rsidRPr="00AC57EA" w:rsidRDefault="008F7852" w:rsidP="008F7852">
      <w:pPr>
        <w:pStyle w:val="Prrafodelista"/>
        <w:spacing w:line="240" w:lineRule="auto"/>
        <w:ind w:left="0"/>
        <w:rPr>
          <w:rFonts w:eastAsia="MS Mincho"/>
          <w:sz w:val="20"/>
          <w:szCs w:val="20"/>
          <w:lang w:val="en-US" w:bidi="en-US"/>
        </w:rPr>
      </w:pPr>
    </w:p>
    <w:p w14:paraId="65B75E8E" w14:textId="5499A6AC" w:rsidR="00B61E64" w:rsidRPr="00AC57EA" w:rsidRDefault="00EC52D7" w:rsidP="008F7852">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8F7852" w:rsidRPr="00AC57EA">
        <w:rPr>
          <w:rFonts w:eastAsia="MS Mincho"/>
          <w:sz w:val="20"/>
          <w:szCs w:val="20"/>
          <w:lang w:val="en-US" w:bidi="en-US"/>
        </w:rPr>
        <w:t xml:space="preserve"> </w:t>
      </w:r>
      <w:r w:rsidR="00B61E64" w:rsidRPr="00AC57EA">
        <w:rPr>
          <w:rFonts w:eastAsia="MS Mincho"/>
          <w:sz w:val="20"/>
          <w:szCs w:val="20"/>
          <w:lang w:val="en-US" w:bidi="en-US"/>
        </w:rPr>
        <w:t>indicated that it was working on this recommendation as an intrinsic part of updating its criminal legislation with a gender perspective. It added that the Nicaraguan National Assembly, Supreme Court of Justice, National Police and Public Prosecution Service had created the Gen</w:t>
      </w:r>
      <w:r w:rsidR="00E607ED" w:rsidRPr="00AC57EA">
        <w:rPr>
          <w:rFonts w:eastAsia="MS Mincho"/>
          <w:sz w:val="20"/>
          <w:szCs w:val="20"/>
          <w:lang w:val="en-US" w:bidi="en-US"/>
        </w:rPr>
        <w:t>der</w:t>
      </w:r>
      <w:r w:rsidR="00B61E64" w:rsidRPr="00AC57EA">
        <w:rPr>
          <w:rFonts w:eastAsia="MS Mincho"/>
          <w:sz w:val="20"/>
          <w:szCs w:val="20"/>
          <w:lang w:val="en-US" w:bidi="en-US"/>
        </w:rPr>
        <w:t xml:space="preserve"> Unit and Technical Secretariats, to include the issue of gender in the</w:t>
      </w:r>
      <w:r w:rsidR="00183617" w:rsidRPr="00AC57EA">
        <w:rPr>
          <w:rFonts w:eastAsia="MS Mincho"/>
          <w:sz w:val="20"/>
          <w:szCs w:val="20"/>
          <w:lang w:val="en-US" w:bidi="en-US"/>
        </w:rPr>
        <w:t xml:space="preserve"> process of</w:t>
      </w:r>
      <w:r w:rsidR="00B61E64" w:rsidRPr="00AC57EA">
        <w:rPr>
          <w:rFonts w:eastAsia="MS Mincho"/>
          <w:sz w:val="20"/>
          <w:szCs w:val="20"/>
          <w:lang w:val="en-US" w:bidi="en-US"/>
        </w:rPr>
        <w:t xml:space="preserve"> legal training and the functions of each of these institutions. It mentioned that both the Unit and the Technical Secretariats had offered training on the gender perspective to officials</w:t>
      </w:r>
      <w:r w:rsidR="00F3779F" w:rsidRPr="00AC57EA">
        <w:rPr>
          <w:rFonts w:eastAsia="MS Mincho"/>
          <w:sz w:val="20"/>
          <w:szCs w:val="20"/>
          <w:lang w:val="en-US" w:bidi="en-US"/>
        </w:rPr>
        <w:t>. It also mentioned that, in the area of health care, since 2009, the Norms and Protocols for the prevention, detection and care of intrafamily and sexual violence have been in operation.</w:t>
      </w:r>
    </w:p>
    <w:p w14:paraId="1D24CDAD" w14:textId="77777777" w:rsidR="008F7852" w:rsidRPr="00AC57EA" w:rsidRDefault="008F7852" w:rsidP="00F3779F">
      <w:pPr>
        <w:spacing w:line="240" w:lineRule="auto"/>
        <w:rPr>
          <w:sz w:val="20"/>
          <w:szCs w:val="20"/>
          <w:lang w:val="en-US"/>
        </w:rPr>
      </w:pPr>
    </w:p>
    <w:p w14:paraId="5CD32AD6" w14:textId="3480B3A7" w:rsidR="00F3779F" w:rsidRPr="00AC57EA" w:rsidRDefault="00B7258C" w:rsidP="008F7852">
      <w:pPr>
        <w:pStyle w:val="Default"/>
        <w:numPr>
          <w:ilvl w:val="0"/>
          <w:numId w:val="2"/>
        </w:numPr>
        <w:tabs>
          <w:tab w:val="left" w:pos="567"/>
        </w:tabs>
        <w:ind w:left="32" w:hanging="32"/>
        <w:jc w:val="both"/>
        <w:rPr>
          <w:rFonts w:ascii="Verdana" w:hAnsi="Verdana"/>
          <w:color w:val="auto"/>
          <w:sz w:val="20"/>
          <w:szCs w:val="20"/>
          <w:lang w:val="en-US"/>
        </w:rPr>
      </w:pPr>
      <w:r w:rsidRPr="00AC57EA">
        <w:rPr>
          <w:rFonts w:ascii="Verdana" w:hAnsi="Verdana"/>
          <w:color w:val="auto"/>
          <w:sz w:val="20"/>
          <w:szCs w:val="20"/>
          <w:lang w:val="en-US"/>
        </w:rPr>
        <w:t>The Court</w:t>
      </w:r>
      <w:r w:rsidR="008F7852" w:rsidRPr="00AC57EA">
        <w:rPr>
          <w:rFonts w:ascii="Verdana" w:hAnsi="Verdana"/>
          <w:color w:val="auto"/>
          <w:sz w:val="20"/>
          <w:szCs w:val="20"/>
          <w:lang w:val="en-US"/>
        </w:rPr>
        <w:t xml:space="preserve"> no</w:t>
      </w:r>
      <w:r w:rsidR="00F3779F" w:rsidRPr="00AC57EA">
        <w:rPr>
          <w:rFonts w:ascii="Verdana" w:hAnsi="Verdana"/>
          <w:color w:val="auto"/>
          <w:sz w:val="20"/>
          <w:szCs w:val="20"/>
          <w:lang w:val="en-US"/>
        </w:rPr>
        <w:t>tes that a</w:t>
      </w:r>
      <w:r w:rsidRPr="00AC57EA">
        <w:rPr>
          <w:rFonts w:ascii="Verdana" w:hAnsi="Verdana"/>
          <w:color w:val="auto"/>
          <w:sz w:val="20"/>
          <w:szCs w:val="20"/>
          <w:lang w:val="en-US"/>
        </w:rPr>
        <w:t>rticle</w:t>
      </w:r>
      <w:r w:rsidR="008F7852" w:rsidRPr="00AC57EA">
        <w:rPr>
          <w:rFonts w:ascii="Verdana" w:hAnsi="Verdana"/>
          <w:color w:val="auto"/>
          <w:sz w:val="20"/>
          <w:szCs w:val="20"/>
          <w:lang w:val="en-US"/>
        </w:rPr>
        <w:t xml:space="preserve"> 33</w:t>
      </w:r>
      <w:r w:rsidR="00B24106" w:rsidRPr="00AC57EA">
        <w:rPr>
          <w:rFonts w:ascii="Verdana" w:hAnsi="Verdana"/>
          <w:color w:val="auto"/>
          <w:sz w:val="20"/>
          <w:szCs w:val="20"/>
          <w:lang w:val="en-US"/>
        </w:rPr>
        <w:t xml:space="preserve"> of Law No.</w:t>
      </w:r>
      <w:r w:rsidR="008F7852" w:rsidRPr="00AC57EA">
        <w:rPr>
          <w:rFonts w:ascii="Verdana" w:hAnsi="Verdana"/>
          <w:color w:val="auto"/>
          <w:sz w:val="20"/>
          <w:szCs w:val="20"/>
          <w:lang w:val="en-US"/>
        </w:rPr>
        <w:t xml:space="preserve"> 779 </w:t>
      </w:r>
      <w:r w:rsidR="00F3779F" w:rsidRPr="00AC57EA">
        <w:rPr>
          <w:rFonts w:ascii="Verdana" w:hAnsi="Verdana"/>
          <w:color w:val="auto"/>
          <w:sz w:val="20"/>
          <w:szCs w:val="20"/>
          <w:lang w:val="en-US"/>
        </w:rPr>
        <w:t xml:space="preserve">establishes that personnel involved in the investigation and processing of proceedings </w:t>
      </w:r>
      <w:r w:rsidR="00183617" w:rsidRPr="00AC57EA">
        <w:rPr>
          <w:rFonts w:ascii="Verdana" w:hAnsi="Verdana"/>
          <w:color w:val="auto"/>
          <w:sz w:val="20"/>
          <w:szCs w:val="20"/>
          <w:lang w:val="en-US"/>
        </w:rPr>
        <w:t>for</w:t>
      </w:r>
      <w:r w:rsidR="00F3779F" w:rsidRPr="00AC57EA">
        <w:rPr>
          <w:rFonts w:ascii="Verdana" w:hAnsi="Verdana"/>
          <w:color w:val="auto"/>
          <w:sz w:val="20"/>
          <w:szCs w:val="20"/>
          <w:lang w:val="en-US"/>
        </w:rPr>
        <w:t xml:space="preserve"> violence against women must be trained in </w:t>
      </w:r>
      <w:r w:rsidR="00183617" w:rsidRPr="00AC57EA">
        <w:rPr>
          <w:rFonts w:ascii="Verdana" w:hAnsi="Verdana"/>
          <w:color w:val="auto"/>
          <w:sz w:val="20"/>
          <w:szCs w:val="20"/>
          <w:lang w:val="en-US"/>
        </w:rPr>
        <w:t>t</w:t>
      </w:r>
      <w:r w:rsidR="00F3779F" w:rsidRPr="00AC57EA">
        <w:rPr>
          <w:rFonts w:ascii="Verdana" w:hAnsi="Verdana"/>
          <w:color w:val="auto"/>
          <w:sz w:val="20"/>
          <w:szCs w:val="20"/>
          <w:lang w:val="en-US"/>
        </w:rPr>
        <w:t xml:space="preserve">his area by </w:t>
      </w:r>
      <w:r w:rsidR="00183617" w:rsidRPr="00AC57EA">
        <w:rPr>
          <w:rFonts w:ascii="Verdana" w:hAnsi="Verdana"/>
          <w:color w:val="auto"/>
          <w:sz w:val="20"/>
          <w:szCs w:val="20"/>
          <w:lang w:val="en-US"/>
        </w:rPr>
        <w:t>preliminary</w:t>
      </w:r>
      <w:r w:rsidR="00F3779F" w:rsidRPr="00AC57EA">
        <w:rPr>
          <w:rFonts w:ascii="Verdana" w:hAnsi="Verdana"/>
          <w:color w:val="auto"/>
          <w:sz w:val="20"/>
          <w:szCs w:val="20"/>
          <w:lang w:val="en-US"/>
        </w:rPr>
        <w:t>, continuing and specialized training programs. It also notes that, although this training encompasses all the institutions that compose the system of criminal justice, it refers to violence against women, without specifying situations of violence against children and adolescents. In addition, the State did not provide specific information on the suitability, implementation and permanence of the said training programs.</w:t>
      </w:r>
    </w:p>
    <w:p w14:paraId="37F38ABA" w14:textId="77777777" w:rsidR="008F7852" w:rsidRPr="00AC57EA" w:rsidRDefault="008F7852" w:rsidP="008F7852">
      <w:pPr>
        <w:pStyle w:val="Prrafodelista"/>
        <w:spacing w:line="240" w:lineRule="auto"/>
        <w:rPr>
          <w:sz w:val="20"/>
          <w:szCs w:val="20"/>
          <w:lang w:val="en-US"/>
        </w:rPr>
      </w:pPr>
    </w:p>
    <w:p w14:paraId="4FBA2EF9" w14:textId="29B952E9" w:rsidR="00F3779F" w:rsidRPr="00AC57EA" w:rsidRDefault="00F3779F" w:rsidP="00DD5247">
      <w:pPr>
        <w:pStyle w:val="Default"/>
        <w:numPr>
          <w:ilvl w:val="0"/>
          <w:numId w:val="2"/>
        </w:numPr>
        <w:tabs>
          <w:tab w:val="left" w:pos="567"/>
        </w:tabs>
        <w:ind w:left="32" w:hanging="32"/>
        <w:jc w:val="both"/>
        <w:rPr>
          <w:rFonts w:ascii="Verdana" w:hAnsi="Verdana"/>
          <w:color w:val="auto"/>
          <w:sz w:val="20"/>
          <w:szCs w:val="20"/>
          <w:lang w:val="en-US"/>
        </w:rPr>
      </w:pPr>
      <w:r w:rsidRPr="00AC57EA">
        <w:rPr>
          <w:rFonts w:ascii="Verdana" w:hAnsi="Verdana"/>
          <w:color w:val="auto"/>
          <w:sz w:val="20"/>
          <w:szCs w:val="20"/>
          <w:lang w:val="en-US"/>
        </w:rPr>
        <w:t>Consequently, the Court finds that the State should adopt and implement permanent training programs and courses for public officials who, owing to their functions in the system for the administration of justice, work with issues of sexual violence; in particular, officials who are members of the Judiciary, the Public Prosecution Service and the National Police. These training programs and courses should focus on standards of due diligence in the investigation of cases of sexual violence against children and adolescents, as well as its eradication</w:t>
      </w:r>
      <w:r w:rsidR="00183617" w:rsidRPr="00AC57EA">
        <w:rPr>
          <w:rFonts w:ascii="Verdana" w:hAnsi="Verdana"/>
          <w:color w:val="auto"/>
          <w:sz w:val="20"/>
          <w:szCs w:val="20"/>
          <w:lang w:val="en-US"/>
        </w:rPr>
        <w:t>,</w:t>
      </w:r>
      <w:r w:rsidRPr="00AC57EA">
        <w:rPr>
          <w:rFonts w:ascii="Verdana" w:hAnsi="Verdana"/>
          <w:color w:val="auto"/>
          <w:sz w:val="20"/>
          <w:szCs w:val="20"/>
          <w:lang w:val="en-US"/>
        </w:rPr>
        <w:t xml:space="preserve"> and the measures of protection that should be adopted. In addition, the training must be based on the criteria established in this judgment, which correspond to the content of the standardized protocols ordered by this Court (</w:t>
      </w:r>
      <w:r w:rsidRPr="00AC57EA">
        <w:rPr>
          <w:rFonts w:ascii="Verdana" w:hAnsi="Verdana"/>
          <w:i/>
          <w:color w:val="auto"/>
          <w:sz w:val="20"/>
          <w:szCs w:val="20"/>
          <w:lang w:val="en-US"/>
        </w:rPr>
        <w:t>supra</w:t>
      </w:r>
      <w:r w:rsidRPr="00AC57EA">
        <w:rPr>
          <w:rFonts w:ascii="Verdana" w:hAnsi="Verdana"/>
          <w:color w:val="auto"/>
          <w:sz w:val="20"/>
          <w:szCs w:val="20"/>
          <w:lang w:val="en-US"/>
        </w:rPr>
        <w:t xml:space="preserve"> paras. 381 to 384), on the Court’s case law on gender-based violence and protection of the rights of the child, </w:t>
      </w:r>
      <w:r w:rsidR="00183617" w:rsidRPr="00AC57EA">
        <w:rPr>
          <w:rFonts w:ascii="Verdana" w:hAnsi="Verdana"/>
          <w:color w:val="auto"/>
          <w:sz w:val="20"/>
          <w:szCs w:val="20"/>
          <w:lang w:val="en-US"/>
        </w:rPr>
        <w:t>and on</w:t>
      </w:r>
      <w:r w:rsidRPr="00AC57EA">
        <w:rPr>
          <w:rFonts w:ascii="Verdana" w:hAnsi="Verdana"/>
          <w:color w:val="auto"/>
          <w:sz w:val="20"/>
          <w:szCs w:val="20"/>
          <w:lang w:val="en-US"/>
        </w:rPr>
        <w:t xml:space="preserve"> the relevant international standards.</w:t>
      </w:r>
      <w:r w:rsidR="008514BB" w:rsidRPr="00AC57EA">
        <w:rPr>
          <w:rFonts w:ascii="Verdana" w:hAnsi="Verdana"/>
          <w:color w:val="auto"/>
          <w:sz w:val="20"/>
          <w:szCs w:val="20"/>
          <w:lang w:val="en-US"/>
        </w:rPr>
        <w:t xml:space="preserve"> The training must be imparted from a gender perspective, based on the protection of children, and be designed to deconstruct gender stereotypes and mistaken beliefs about sexual violence, to ensure that the investigation and prosecution of such acts is conducted based on the strictest standards of due diligence.</w:t>
      </w:r>
    </w:p>
    <w:p w14:paraId="31C5675E" w14:textId="77777777" w:rsidR="00DD5247" w:rsidRPr="00AC57EA" w:rsidRDefault="00DD5247" w:rsidP="00DF3D71">
      <w:pPr>
        <w:pStyle w:val="Default"/>
        <w:tabs>
          <w:tab w:val="left" w:pos="567"/>
        </w:tabs>
        <w:ind w:left="32"/>
        <w:jc w:val="both"/>
        <w:rPr>
          <w:rFonts w:ascii="Verdana" w:hAnsi="Verdana"/>
          <w:color w:val="auto"/>
          <w:sz w:val="20"/>
          <w:szCs w:val="20"/>
          <w:lang w:val="en-US"/>
        </w:rPr>
      </w:pPr>
    </w:p>
    <w:p w14:paraId="5D547E91" w14:textId="78EF7F47" w:rsidR="008514BB" w:rsidRPr="00AC57EA" w:rsidRDefault="008514BB" w:rsidP="008514BB">
      <w:pPr>
        <w:pStyle w:val="Default"/>
        <w:numPr>
          <w:ilvl w:val="0"/>
          <w:numId w:val="2"/>
        </w:numPr>
        <w:tabs>
          <w:tab w:val="left" w:pos="567"/>
        </w:tabs>
        <w:ind w:left="32" w:hanging="32"/>
        <w:jc w:val="both"/>
        <w:rPr>
          <w:rFonts w:ascii="Verdana" w:hAnsi="Verdana"/>
          <w:color w:val="auto"/>
          <w:sz w:val="20"/>
          <w:szCs w:val="20"/>
          <w:lang w:val="en-US"/>
        </w:rPr>
      </w:pPr>
      <w:r w:rsidRPr="00AC57EA">
        <w:rPr>
          <w:rFonts w:ascii="Verdana" w:hAnsi="Verdana"/>
          <w:color w:val="auto"/>
          <w:sz w:val="20"/>
          <w:szCs w:val="20"/>
          <w:lang w:val="en-US"/>
        </w:rPr>
        <w:t xml:space="preserve">Furthermore, the Court orders the State to adopt and implement permanent training programs and courses for medical professionals and the personnel of the public health system who intervene in the detection, diagnosis and treatment of </w:t>
      </w:r>
      <w:r w:rsidR="001567A9" w:rsidRPr="00AC57EA">
        <w:rPr>
          <w:rFonts w:ascii="Verdana" w:hAnsi="Verdana"/>
          <w:sz w:val="20"/>
          <w:szCs w:val="20"/>
          <w:lang w:val="en-US"/>
        </w:rPr>
        <w:t>children and adolescents</w:t>
      </w:r>
      <w:r w:rsidR="00BC7574" w:rsidRPr="00AC57EA">
        <w:rPr>
          <w:rFonts w:ascii="Verdana" w:hAnsi="Verdana"/>
          <w:sz w:val="20"/>
          <w:szCs w:val="20"/>
          <w:lang w:val="en-US"/>
        </w:rPr>
        <w:t xml:space="preserve"> </w:t>
      </w:r>
      <w:r w:rsidRPr="00AC57EA">
        <w:rPr>
          <w:rFonts w:ascii="Verdana" w:hAnsi="Verdana"/>
          <w:sz w:val="20"/>
          <w:szCs w:val="20"/>
          <w:lang w:val="en-US"/>
        </w:rPr>
        <w:t xml:space="preserve">who are victims of sexual violence, as well as the forensic physicians and other personnel </w:t>
      </w:r>
      <w:r w:rsidR="0035434D" w:rsidRPr="00AC57EA">
        <w:rPr>
          <w:rFonts w:ascii="Verdana" w:hAnsi="Verdana"/>
          <w:sz w:val="20"/>
          <w:szCs w:val="20"/>
          <w:lang w:val="en-US"/>
        </w:rPr>
        <w:t>of the Institute of Forensic Medicine</w:t>
      </w:r>
      <w:r w:rsidR="00DF51E0" w:rsidRPr="00AC57EA">
        <w:rPr>
          <w:rFonts w:ascii="Verdana" w:hAnsi="Verdana"/>
          <w:color w:val="auto"/>
          <w:sz w:val="20"/>
          <w:szCs w:val="20"/>
          <w:lang w:val="en-US"/>
        </w:rPr>
        <w:t xml:space="preserve">, </w:t>
      </w:r>
      <w:r w:rsidRPr="00AC57EA">
        <w:rPr>
          <w:rFonts w:ascii="Verdana" w:hAnsi="Verdana"/>
          <w:color w:val="auto"/>
          <w:sz w:val="20"/>
          <w:szCs w:val="20"/>
          <w:lang w:val="en-US"/>
        </w:rPr>
        <w:t>in order to offer training on the appropriate treatment of children and adolescents who are victims of sexual violence and rape during the medical examinations, and to ensure that such examinations are conducted in keeping with the criteria established in this judgment and the relevant international standards.</w:t>
      </w:r>
    </w:p>
    <w:p w14:paraId="19A479F2" w14:textId="5941FB2B" w:rsidR="004110D8" w:rsidRPr="00AC57EA" w:rsidRDefault="004110D8" w:rsidP="008514BB">
      <w:pPr>
        <w:pStyle w:val="Default"/>
        <w:tabs>
          <w:tab w:val="left" w:pos="567"/>
        </w:tabs>
        <w:jc w:val="both"/>
        <w:rPr>
          <w:rFonts w:ascii="Verdana" w:hAnsi="Verdana"/>
          <w:color w:val="auto"/>
          <w:sz w:val="20"/>
          <w:szCs w:val="20"/>
          <w:lang w:val="en-US"/>
        </w:rPr>
      </w:pPr>
    </w:p>
    <w:p w14:paraId="01B5B562" w14:textId="3F99A22B" w:rsidR="008514BB" w:rsidRPr="00AC57EA" w:rsidRDefault="008514BB" w:rsidP="00DF3D71">
      <w:pPr>
        <w:pStyle w:val="Default"/>
        <w:numPr>
          <w:ilvl w:val="0"/>
          <w:numId w:val="2"/>
        </w:numPr>
        <w:tabs>
          <w:tab w:val="left" w:pos="567"/>
        </w:tabs>
        <w:ind w:left="32" w:hanging="32"/>
        <w:jc w:val="both"/>
        <w:rPr>
          <w:rFonts w:ascii="Verdana" w:hAnsi="Verdana"/>
          <w:color w:val="auto"/>
          <w:sz w:val="20"/>
          <w:szCs w:val="20"/>
          <w:lang w:val="en-US"/>
        </w:rPr>
      </w:pPr>
      <w:r w:rsidRPr="00AC57EA">
        <w:rPr>
          <w:rFonts w:ascii="Verdana" w:hAnsi="Verdana"/>
          <w:color w:val="auto"/>
          <w:sz w:val="20"/>
          <w:szCs w:val="20"/>
          <w:lang w:val="en-US"/>
        </w:rPr>
        <w:t>The</w:t>
      </w:r>
      <w:r w:rsidR="00B7258C" w:rsidRPr="00AC57EA">
        <w:rPr>
          <w:rFonts w:ascii="Verdana" w:hAnsi="Verdana"/>
          <w:color w:val="auto"/>
          <w:sz w:val="20"/>
          <w:szCs w:val="20"/>
          <w:lang w:val="en-US"/>
        </w:rPr>
        <w:t xml:space="preserve"> Court</w:t>
      </w:r>
      <w:r w:rsidRPr="00AC57EA">
        <w:rPr>
          <w:rFonts w:ascii="Verdana" w:hAnsi="Verdana"/>
          <w:color w:val="auto"/>
          <w:sz w:val="20"/>
          <w:szCs w:val="20"/>
          <w:lang w:val="en-US"/>
        </w:rPr>
        <w:t xml:space="preserve"> also orders the State to adopt and implement permanent training programs and courses for health care personnel who intervene in cases of sexual violence and rape, as well as those who provide social and family support</w:t>
      </w:r>
      <w:r w:rsidR="00183617" w:rsidRPr="00AC57EA">
        <w:rPr>
          <w:rFonts w:ascii="Verdana" w:hAnsi="Verdana"/>
          <w:color w:val="auto"/>
          <w:sz w:val="20"/>
          <w:szCs w:val="20"/>
          <w:lang w:val="en-US"/>
        </w:rPr>
        <w:t>,</w:t>
      </w:r>
      <w:r w:rsidRPr="00AC57EA">
        <w:rPr>
          <w:rFonts w:ascii="Verdana" w:hAnsi="Verdana"/>
          <w:color w:val="auto"/>
          <w:sz w:val="20"/>
          <w:szCs w:val="20"/>
          <w:lang w:val="en-US"/>
        </w:rPr>
        <w:t xml:space="preserve"> and </w:t>
      </w:r>
      <w:r w:rsidR="00183617" w:rsidRPr="00AC57EA">
        <w:rPr>
          <w:rFonts w:ascii="Verdana" w:hAnsi="Verdana"/>
          <w:color w:val="auto"/>
          <w:sz w:val="20"/>
          <w:szCs w:val="20"/>
          <w:lang w:val="en-US"/>
        </w:rPr>
        <w:t xml:space="preserve">those who provide </w:t>
      </w:r>
      <w:r w:rsidRPr="00AC57EA">
        <w:rPr>
          <w:rFonts w:ascii="Verdana" w:hAnsi="Verdana"/>
          <w:color w:val="auto"/>
          <w:sz w:val="20"/>
          <w:szCs w:val="20"/>
          <w:lang w:val="en-US"/>
        </w:rPr>
        <w:t>comprehensive care to the victims of sexual violence and rape. The training programs and courses should focus on</w:t>
      </w:r>
      <w:r w:rsidR="00E50F92" w:rsidRPr="00AC57EA">
        <w:rPr>
          <w:rFonts w:ascii="Verdana" w:hAnsi="Verdana"/>
          <w:color w:val="auto"/>
          <w:sz w:val="20"/>
          <w:szCs w:val="20"/>
          <w:lang w:val="en-US"/>
        </w:rPr>
        <w:t xml:space="preserve"> the criteria developed in this judgment; in particular, on the coordinated, specialized, comprehensive and appropriate support and care that should be provided to such victims to achieve their rehabilitation and reintegration.</w:t>
      </w:r>
    </w:p>
    <w:p w14:paraId="161614DE" w14:textId="77777777" w:rsidR="00DD5247" w:rsidRPr="00AC57EA" w:rsidRDefault="00DD5247" w:rsidP="00DF3D71">
      <w:pPr>
        <w:pStyle w:val="Default"/>
        <w:tabs>
          <w:tab w:val="left" w:pos="567"/>
        </w:tabs>
        <w:ind w:left="32"/>
        <w:jc w:val="both"/>
        <w:rPr>
          <w:rFonts w:ascii="Verdana" w:hAnsi="Verdana"/>
          <w:color w:val="auto"/>
          <w:sz w:val="20"/>
          <w:szCs w:val="20"/>
          <w:lang w:val="en-US"/>
        </w:rPr>
      </w:pPr>
    </w:p>
    <w:p w14:paraId="682B3C92" w14:textId="3DC27416" w:rsidR="008F7852" w:rsidRPr="00AC57EA" w:rsidRDefault="0035148B" w:rsidP="008F7852">
      <w:pPr>
        <w:pStyle w:val="Default"/>
        <w:numPr>
          <w:ilvl w:val="0"/>
          <w:numId w:val="2"/>
        </w:numPr>
        <w:tabs>
          <w:tab w:val="left" w:pos="567"/>
        </w:tabs>
        <w:ind w:left="32" w:hanging="32"/>
        <w:jc w:val="both"/>
        <w:rPr>
          <w:rFonts w:ascii="Verdana" w:hAnsi="Verdana"/>
          <w:color w:val="auto"/>
          <w:sz w:val="20"/>
          <w:szCs w:val="20"/>
          <w:lang w:val="en-US"/>
        </w:rPr>
      </w:pPr>
      <w:r w:rsidRPr="00AC57EA">
        <w:rPr>
          <w:rFonts w:ascii="Verdana" w:hAnsi="Verdana"/>
          <w:color w:val="auto"/>
          <w:sz w:val="20"/>
          <w:szCs w:val="20"/>
          <w:lang w:val="en-US"/>
        </w:rPr>
        <w:t xml:space="preserve">The State </w:t>
      </w:r>
      <w:r w:rsidR="00BB0638" w:rsidRPr="00AC57EA">
        <w:rPr>
          <w:rFonts w:ascii="Verdana" w:hAnsi="Verdana"/>
          <w:color w:val="auto"/>
          <w:sz w:val="20"/>
          <w:szCs w:val="20"/>
          <w:lang w:val="en-US"/>
        </w:rPr>
        <w:t xml:space="preserve">must comply with the measures of reparation established in this section within one year of notification </w:t>
      </w:r>
      <w:r w:rsidR="00171E27" w:rsidRPr="00AC57EA">
        <w:rPr>
          <w:rFonts w:ascii="Verdana" w:hAnsi="Verdana"/>
          <w:color w:val="auto"/>
          <w:sz w:val="20"/>
          <w:szCs w:val="20"/>
          <w:lang w:val="en-US"/>
        </w:rPr>
        <w:t>of this judgment</w:t>
      </w:r>
      <w:r w:rsidR="008F7852" w:rsidRPr="00AC57EA">
        <w:rPr>
          <w:rFonts w:ascii="Verdana" w:hAnsi="Verdana"/>
          <w:color w:val="auto"/>
          <w:sz w:val="20"/>
          <w:szCs w:val="20"/>
          <w:lang w:val="en-US"/>
        </w:rPr>
        <w:t>.</w:t>
      </w:r>
    </w:p>
    <w:p w14:paraId="5DBFA885" w14:textId="77777777" w:rsidR="009D661E" w:rsidRPr="00AC57EA" w:rsidRDefault="009D661E" w:rsidP="009D661E">
      <w:pPr>
        <w:autoSpaceDE w:val="0"/>
        <w:autoSpaceDN w:val="0"/>
        <w:spacing w:line="240" w:lineRule="auto"/>
        <w:ind w:right="49"/>
        <w:rPr>
          <w:sz w:val="20"/>
          <w:szCs w:val="20"/>
          <w:lang w:val="en-US"/>
        </w:rPr>
      </w:pPr>
    </w:p>
    <w:p w14:paraId="1CB0DD58" w14:textId="6C898110" w:rsidR="009D661E" w:rsidRPr="00AC57EA" w:rsidRDefault="009D661E" w:rsidP="00721D19">
      <w:pPr>
        <w:pStyle w:val="Ttulo2"/>
        <w:tabs>
          <w:tab w:val="left" w:pos="1843"/>
        </w:tabs>
        <w:spacing w:before="0" w:line="240" w:lineRule="auto"/>
        <w:ind w:left="1134"/>
        <w:rPr>
          <w:rFonts w:ascii="Verdana" w:hAnsi="Verdana"/>
          <w:b w:val="0"/>
          <w:i/>
          <w:color w:val="auto"/>
          <w:sz w:val="20"/>
          <w:szCs w:val="20"/>
          <w:lang w:val="en-US"/>
        </w:rPr>
      </w:pPr>
      <w:bookmarkStart w:id="162" w:name="_Toc514172668"/>
      <w:r w:rsidRPr="00AC57EA">
        <w:rPr>
          <w:rFonts w:ascii="Verdana" w:hAnsi="Verdana"/>
          <w:b w:val="0"/>
          <w:i/>
          <w:color w:val="auto"/>
          <w:sz w:val="20"/>
          <w:szCs w:val="20"/>
          <w:lang w:val="en-US"/>
        </w:rPr>
        <w:t xml:space="preserve">C.4 </w:t>
      </w:r>
      <w:r w:rsidRPr="00AC57EA">
        <w:rPr>
          <w:rFonts w:ascii="Verdana" w:hAnsi="Verdana"/>
          <w:b w:val="0"/>
          <w:i/>
          <w:color w:val="auto"/>
          <w:sz w:val="20"/>
          <w:szCs w:val="20"/>
          <w:lang w:val="en-US"/>
        </w:rPr>
        <w:tab/>
      </w:r>
      <w:r w:rsidR="00B7606D" w:rsidRPr="00AC57EA">
        <w:rPr>
          <w:rFonts w:ascii="Verdana" w:hAnsi="Verdana"/>
          <w:b w:val="0"/>
          <w:i/>
          <w:color w:val="auto"/>
          <w:sz w:val="20"/>
          <w:szCs w:val="20"/>
          <w:lang w:val="en-US"/>
        </w:rPr>
        <w:t>Other measures requested</w:t>
      </w:r>
      <w:bookmarkEnd w:id="162"/>
    </w:p>
    <w:p w14:paraId="48284971" w14:textId="77777777" w:rsidR="00DE5B12" w:rsidRPr="00AC57EA" w:rsidRDefault="00DE5B12" w:rsidP="009D661E">
      <w:pPr>
        <w:autoSpaceDE w:val="0"/>
        <w:autoSpaceDN w:val="0"/>
        <w:spacing w:line="240" w:lineRule="auto"/>
        <w:ind w:left="720" w:right="49" w:firstLine="720"/>
        <w:rPr>
          <w:sz w:val="20"/>
          <w:szCs w:val="20"/>
          <w:lang w:val="en-US"/>
        </w:rPr>
      </w:pPr>
    </w:p>
    <w:p w14:paraId="4C965109" w14:textId="6FF9354B" w:rsidR="00DE5B12" w:rsidRPr="00AC57EA" w:rsidRDefault="00DE5B12" w:rsidP="002C415B">
      <w:pPr>
        <w:numPr>
          <w:ilvl w:val="0"/>
          <w:numId w:val="13"/>
        </w:numPr>
        <w:spacing w:line="240" w:lineRule="auto"/>
        <w:rPr>
          <w:i/>
          <w:iCs/>
          <w:sz w:val="20"/>
          <w:szCs w:val="20"/>
          <w:lang w:val="en-US"/>
        </w:rPr>
      </w:pPr>
      <w:r w:rsidRPr="00AC57EA">
        <w:rPr>
          <w:i/>
          <w:iCs/>
          <w:sz w:val="20"/>
          <w:szCs w:val="20"/>
          <w:lang w:val="en-US"/>
        </w:rPr>
        <w:t>Ad</w:t>
      </w:r>
      <w:r w:rsidR="00B7606D" w:rsidRPr="00AC57EA">
        <w:rPr>
          <w:i/>
          <w:iCs/>
          <w:sz w:val="20"/>
          <w:szCs w:val="20"/>
          <w:lang w:val="en-US"/>
        </w:rPr>
        <w:t xml:space="preserve">aptation of domestic law to the minimum standards </w:t>
      </w:r>
      <w:r w:rsidR="00B7258C" w:rsidRPr="00AC57EA">
        <w:rPr>
          <w:i/>
          <w:iCs/>
          <w:sz w:val="20"/>
          <w:szCs w:val="20"/>
          <w:lang w:val="en-US"/>
        </w:rPr>
        <w:t>of the American Convention on Human Rights</w:t>
      </w:r>
      <w:r w:rsidRPr="00AC57EA">
        <w:rPr>
          <w:i/>
          <w:iCs/>
          <w:sz w:val="20"/>
          <w:szCs w:val="20"/>
          <w:lang w:val="en-US"/>
        </w:rPr>
        <w:t xml:space="preserve"> </w:t>
      </w:r>
      <w:r w:rsidR="00B7606D" w:rsidRPr="00AC57EA">
        <w:rPr>
          <w:i/>
          <w:iCs/>
          <w:sz w:val="20"/>
          <w:szCs w:val="20"/>
          <w:lang w:val="en-US"/>
        </w:rPr>
        <w:t>in relation to trials by jury</w:t>
      </w:r>
    </w:p>
    <w:p w14:paraId="3DAFB012" w14:textId="77777777" w:rsidR="00DE5B12" w:rsidRPr="00AC57EA" w:rsidRDefault="00DE5B12" w:rsidP="00DE5B12">
      <w:pPr>
        <w:spacing w:line="240" w:lineRule="auto"/>
        <w:rPr>
          <w:iCs/>
          <w:sz w:val="20"/>
          <w:szCs w:val="20"/>
          <w:lang w:val="en-US"/>
        </w:rPr>
      </w:pPr>
    </w:p>
    <w:p w14:paraId="1C222805" w14:textId="1C677638" w:rsidR="00E50F92" w:rsidRPr="00AC57EA" w:rsidRDefault="00171E27" w:rsidP="00DE5B12">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iCs/>
          <w:sz w:val="20"/>
          <w:szCs w:val="20"/>
          <w:lang w:val="en-US" w:bidi="en-US"/>
        </w:rPr>
        <w:t xml:space="preserve">The </w:t>
      </w:r>
      <w:r w:rsidRPr="00AC57EA">
        <w:rPr>
          <w:rFonts w:eastAsia="MS Mincho"/>
          <w:b/>
          <w:bCs/>
          <w:i/>
          <w:sz w:val="20"/>
          <w:szCs w:val="20"/>
          <w:lang w:val="en-US" w:bidi="en-US"/>
        </w:rPr>
        <w:t>representatives</w:t>
      </w:r>
      <w:r w:rsidR="00DE5B12" w:rsidRPr="00AC57EA">
        <w:rPr>
          <w:rFonts w:eastAsia="MS Mincho"/>
          <w:b/>
          <w:bCs/>
          <w:i/>
          <w:sz w:val="20"/>
          <w:szCs w:val="20"/>
          <w:lang w:val="en-US" w:bidi="en-US"/>
        </w:rPr>
        <w:t xml:space="preserve"> </w:t>
      </w:r>
      <w:r w:rsidR="00E50F92" w:rsidRPr="00AC57EA">
        <w:rPr>
          <w:rFonts w:eastAsia="MS Mincho"/>
          <w:sz w:val="20"/>
          <w:szCs w:val="20"/>
          <w:lang w:val="en-US" w:bidi="en-US"/>
        </w:rPr>
        <w:t>asked</w:t>
      </w:r>
      <w:r w:rsidR="00DE5B12" w:rsidRPr="00AC57EA">
        <w:rPr>
          <w:rFonts w:eastAsia="MS Mincho"/>
          <w:sz w:val="20"/>
          <w:szCs w:val="20"/>
          <w:lang w:val="en-US" w:bidi="en-US"/>
        </w:rPr>
        <w:t xml:space="preserve"> </w:t>
      </w:r>
      <w:r w:rsidR="00B7258C" w:rsidRPr="00AC57EA">
        <w:rPr>
          <w:rFonts w:eastAsia="MS Mincho"/>
          <w:sz w:val="20"/>
          <w:szCs w:val="20"/>
          <w:lang w:val="en-US" w:bidi="en-US"/>
        </w:rPr>
        <w:t>the Court</w:t>
      </w:r>
      <w:r w:rsidR="00DE5B12" w:rsidRPr="00AC57EA">
        <w:rPr>
          <w:rFonts w:eastAsia="MS Mincho"/>
          <w:sz w:val="20"/>
          <w:szCs w:val="20"/>
          <w:lang w:val="en-US" w:bidi="en-US"/>
        </w:rPr>
        <w:t xml:space="preserve"> </w:t>
      </w:r>
      <w:r w:rsidR="00E50F92" w:rsidRPr="00AC57EA">
        <w:rPr>
          <w:rFonts w:eastAsia="MS Mincho"/>
          <w:sz w:val="20"/>
          <w:szCs w:val="20"/>
          <w:lang w:val="en-US" w:bidi="en-US"/>
        </w:rPr>
        <w:t xml:space="preserve">to order the State to adapt its laws to the minimum standards </w:t>
      </w:r>
      <w:r w:rsidR="00B7258C" w:rsidRPr="00AC57EA">
        <w:rPr>
          <w:rFonts w:eastAsia="MS Mincho"/>
          <w:sz w:val="20"/>
          <w:szCs w:val="20"/>
          <w:lang w:val="en-US" w:bidi="en-US"/>
        </w:rPr>
        <w:t>of the American Convention on Human Rights</w:t>
      </w:r>
      <w:r w:rsidR="00DE5B12" w:rsidRPr="00AC57EA">
        <w:rPr>
          <w:rFonts w:eastAsia="MS Mincho"/>
          <w:sz w:val="20"/>
          <w:szCs w:val="20"/>
          <w:lang w:val="en-US" w:bidi="en-US"/>
        </w:rPr>
        <w:t xml:space="preserve"> </w:t>
      </w:r>
      <w:r w:rsidR="00E50F92" w:rsidRPr="00AC57EA">
        <w:rPr>
          <w:rFonts w:eastAsia="MS Mincho"/>
          <w:sz w:val="20"/>
          <w:szCs w:val="20"/>
          <w:lang w:val="en-US" w:bidi="en-US"/>
        </w:rPr>
        <w:t>to ensure due process of law in judicial proceedings, especially in cases that involve children. They asked that such proceedings be managed by qualified persons, eliminating the jury court in cases of rape or any act in which a minor was involved, and that the responsibility for the administration of justice revert to judges, who should decide cases based on the evidence submitted and sound judicial discretion. Lastly, they asked that the right to appeal be established in all proceedings, indistinctly, including those heard by a jury.</w:t>
      </w:r>
    </w:p>
    <w:p w14:paraId="2F680992" w14:textId="77777777" w:rsidR="00DE5B12" w:rsidRPr="00AC57EA" w:rsidRDefault="00DE5B12" w:rsidP="00DF3D71">
      <w:pPr>
        <w:pStyle w:val="Prrafodelista"/>
        <w:tabs>
          <w:tab w:val="left" w:pos="1985"/>
        </w:tabs>
        <w:spacing w:line="240" w:lineRule="auto"/>
        <w:rPr>
          <w:rFonts w:eastAsia="MS Mincho"/>
          <w:sz w:val="20"/>
          <w:szCs w:val="20"/>
          <w:lang w:val="en-US" w:bidi="en-US"/>
        </w:rPr>
      </w:pPr>
    </w:p>
    <w:p w14:paraId="6713B0E8" w14:textId="2BBA2F37" w:rsidR="00E50F92" w:rsidRPr="00AC57EA" w:rsidRDefault="00EC52D7" w:rsidP="00DE5B12">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DE5B12" w:rsidRPr="00AC57EA">
        <w:rPr>
          <w:rFonts w:eastAsia="MS Mincho"/>
          <w:b/>
          <w:bCs/>
          <w:sz w:val="20"/>
          <w:szCs w:val="20"/>
          <w:lang w:val="en-US" w:bidi="en-US"/>
        </w:rPr>
        <w:t xml:space="preserve"> </w:t>
      </w:r>
      <w:r w:rsidR="00E50F92" w:rsidRPr="00AC57EA">
        <w:rPr>
          <w:rFonts w:eastAsia="MS Mincho"/>
          <w:sz w:val="20"/>
          <w:szCs w:val="20"/>
          <w:lang w:val="en-US" w:bidi="en-US"/>
        </w:rPr>
        <w:t xml:space="preserve">argued that, for more than 10 years, it had been making important changes in relation to criminal matters and human rights. It added that, one of the most important elements was the central role of the victim at each and every stage of the proceedings, </w:t>
      </w:r>
      <w:r w:rsidR="00814FA7" w:rsidRPr="00AC57EA">
        <w:rPr>
          <w:rFonts w:eastAsia="MS Mincho"/>
          <w:sz w:val="20"/>
          <w:szCs w:val="20"/>
          <w:lang w:val="en-US" w:bidi="en-US"/>
        </w:rPr>
        <w:t xml:space="preserve">with a model of immediate compensation. Regarding the criminal trial system, it argued that, since 2008, crimes against sexual liberty and integrity </w:t>
      </w:r>
      <w:r w:rsidR="00183617" w:rsidRPr="00AC57EA">
        <w:rPr>
          <w:rFonts w:eastAsia="MS Mincho"/>
          <w:sz w:val="20"/>
          <w:szCs w:val="20"/>
          <w:lang w:val="en-US" w:bidi="en-US"/>
        </w:rPr>
        <w:t>we</w:t>
      </w:r>
      <w:r w:rsidR="00814FA7" w:rsidRPr="00AC57EA">
        <w:rPr>
          <w:rFonts w:eastAsia="MS Mincho"/>
          <w:sz w:val="20"/>
          <w:szCs w:val="20"/>
          <w:lang w:val="en-US" w:bidi="en-US"/>
        </w:rPr>
        <w:t xml:space="preserve">re tried by courts with technical judges and that Law No. 779 </w:t>
      </w:r>
      <w:r w:rsidR="00183617" w:rsidRPr="00AC57EA">
        <w:rPr>
          <w:rFonts w:eastAsia="MS Mincho"/>
          <w:sz w:val="20"/>
          <w:szCs w:val="20"/>
          <w:lang w:val="en-US" w:bidi="en-US"/>
        </w:rPr>
        <w:t xml:space="preserve">had </w:t>
      </w:r>
      <w:r w:rsidR="00814FA7" w:rsidRPr="00AC57EA">
        <w:rPr>
          <w:rFonts w:eastAsia="MS Mincho"/>
          <w:sz w:val="20"/>
          <w:szCs w:val="20"/>
          <w:lang w:val="en-US" w:bidi="en-US"/>
        </w:rPr>
        <w:t xml:space="preserve">created courts specializing in gender-based violence, so that such offenses </w:t>
      </w:r>
      <w:r w:rsidR="00183617" w:rsidRPr="00AC57EA">
        <w:rPr>
          <w:rFonts w:eastAsia="MS Mincho"/>
          <w:sz w:val="20"/>
          <w:szCs w:val="20"/>
          <w:lang w:val="en-US" w:bidi="en-US"/>
        </w:rPr>
        <w:t>we</w:t>
      </w:r>
      <w:r w:rsidR="00814FA7" w:rsidRPr="00AC57EA">
        <w:rPr>
          <w:rFonts w:eastAsia="MS Mincho"/>
          <w:sz w:val="20"/>
          <w:szCs w:val="20"/>
          <w:lang w:val="en-US" w:bidi="en-US"/>
        </w:rPr>
        <w:t>re no longer decided by juries.</w:t>
      </w:r>
    </w:p>
    <w:p w14:paraId="5B747B27" w14:textId="77777777" w:rsidR="00DE5B12" w:rsidRPr="00AC57EA" w:rsidRDefault="00DE5B12" w:rsidP="00DE5B12">
      <w:pPr>
        <w:tabs>
          <w:tab w:val="left" w:pos="567"/>
        </w:tabs>
        <w:spacing w:line="240" w:lineRule="auto"/>
        <w:textAlignment w:val="auto"/>
        <w:rPr>
          <w:rFonts w:eastAsia="MS Mincho"/>
          <w:sz w:val="20"/>
          <w:szCs w:val="20"/>
          <w:lang w:val="en-US" w:bidi="en-US"/>
        </w:rPr>
      </w:pPr>
    </w:p>
    <w:p w14:paraId="1EA56A00" w14:textId="1FEFC086" w:rsidR="00DE5B12" w:rsidRPr="00AC57EA" w:rsidRDefault="00B7258C" w:rsidP="00DE5B12">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Commission</w:t>
      </w:r>
      <w:r w:rsidR="00DE5B12" w:rsidRPr="00AC57EA">
        <w:rPr>
          <w:rFonts w:eastAsia="MS Mincho"/>
          <w:sz w:val="20"/>
          <w:szCs w:val="20"/>
          <w:lang w:val="en-US" w:bidi="en-US"/>
        </w:rPr>
        <w:t xml:space="preserve"> </w:t>
      </w:r>
      <w:r w:rsidR="00BB0638" w:rsidRPr="00AC57EA">
        <w:rPr>
          <w:rFonts w:eastAsia="MS Mincho"/>
          <w:sz w:val="20"/>
          <w:szCs w:val="20"/>
          <w:lang w:val="en-US" w:bidi="en-US"/>
        </w:rPr>
        <w:t xml:space="preserve">did not </w:t>
      </w:r>
      <w:r w:rsidR="00183617" w:rsidRPr="00AC57EA">
        <w:rPr>
          <w:rFonts w:eastAsia="MS Mincho"/>
          <w:sz w:val="20"/>
          <w:szCs w:val="20"/>
          <w:lang w:val="en-US" w:bidi="en-US"/>
        </w:rPr>
        <w:t>submit</w:t>
      </w:r>
      <w:r w:rsidR="00BB0638" w:rsidRPr="00AC57EA">
        <w:rPr>
          <w:rFonts w:eastAsia="MS Mincho"/>
          <w:sz w:val="20"/>
          <w:szCs w:val="20"/>
          <w:lang w:val="en-US" w:bidi="en-US"/>
        </w:rPr>
        <w:t xml:space="preserve"> arguments in this regard</w:t>
      </w:r>
      <w:r w:rsidR="00DE5B12" w:rsidRPr="00AC57EA">
        <w:rPr>
          <w:rFonts w:eastAsia="MS Mincho"/>
          <w:sz w:val="20"/>
          <w:szCs w:val="20"/>
          <w:lang w:val="en-US" w:bidi="en-US"/>
        </w:rPr>
        <w:t>.</w:t>
      </w:r>
    </w:p>
    <w:p w14:paraId="3475A46C" w14:textId="77777777" w:rsidR="0026525C" w:rsidRPr="00AC57EA" w:rsidRDefault="0026525C" w:rsidP="0026525C">
      <w:pPr>
        <w:pStyle w:val="Prrafodelista"/>
        <w:rPr>
          <w:rFonts w:eastAsia="MS Mincho"/>
          <w:sz w:val="20"/>
          <w:szCs w:val="20"/>
          <w:lang w:val="en-US" w:bidi="en-US"/>
        </w:rPr>
      </w:pPr>
    </w:p>
    <w:p w14:paraId="4B7D34AE" w14:textId="5BEB2845" w:rsidR="00446A3B" w:rsidRPr="00AC57EA" w:rsidRDefault="00B7258C" w:rsidP="00446A3B">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sz w:val="20"/>
          <w:szCs w:val="20"/>
          <w:lang w:val="en-US"/>
        </w:rPr>
        <w:t>The Court</w:t>
      </w:r>
      <w:r w:rsidR="00DE5B12" w:rsidRPr="00AC57EA">
        <w:rPr>
          <w:sz w:val="20"/>
          <w:szCs w:val="20"/>
          <w:lang w:val="en-US"/>
        </w:rPr>
        <w:t xml:space="preserve"> </w:t>
      </w:r>
      <w:r w:rsidR="00814FA7" w:rsidRPr="00AC57EA">
        <w:rPr>
          <w:sz w:val="20"/>
          <w:szCs w:val="20"/>
          <w:lang w:val="en-US"/>
        </w:rPr>
        <w:t xml:space="preserve">has verified that </w:t>
      </w:r>
      <w:r w:rsidR="00B24106" w:rsidRPr="00AC57EA">
        <w:rPr>
          <w:rStyle w:val="TextonotapieCar"/>
          <w:lang w:val="en-US"/>
        </w:rPr>
        <w:t>Law No.</w:t>
      </w:r>
      <w:r w:rsidR="00DE5B12" w:rsidRPr="00AC57EA">
        <w:rPr>
          <w:rStyle w:val="TextonotapieCar"/>
          <w:lang w:val="en-US"/>
        </w:rPr>
        <w:t xml:space="preserve"> 779</w:t>
      </w:r>
      <w:r w:rsidR="00DE5B12" w:rsidRPr="00AC57EA">
        <w:rPr>
          <w:sz w:val="20"/>
          <w:szCs w:val="20"/>
          <w:lang w:val="en-US"/>
        </w:rPr>
        <w:t>, “</w:t>
      </w:r>
      <w:r w:rsidR="00814FA7" w:rsidRPr="00AC57EA">
        <w:rPr>
          <w:rFonts w:eastAsia="Calibri"/>
          <w:kern w:val="1"/>
          <w:sz w:val="20"/>
          <w:lang w:val="en-US" w:eastAsia="en-US"/>
        </w:rPr>
        <w:t>Comprehensive law to combat violence against women and amendments to Law No. 641 Criminal Code,” adopted in January 2012, and published on February 22, 2012, implements a trial system in cases of gender-based violence and, in particular, cases of sexual violence, that differs from the one in force at the time of the facts of this case. Th</w:t>
      </w:r>
      <w:r w:rsidR="00183617" w:rsidRPr="00AC57EA">
        <w:rPr>
          <w:rFonts w:eastAsia="Calibri"/>
          <w:kern w:val="1"/>
          <w:sz w:val="20"/>
          <w:lang w:val="en-US" w:eastAsia="en-US"/>
        </w:rPr>
        <w:t>e said</w:t>
      </w:r>
      <w:r w:rsidR="00814FA7" w:rsidRPr="00AC57EA">
        <w:rPr>
          <w:rFonts w:eastAsia="Calibri"/>
          <w:kern w:val="1"/>
          <w:sz w:val="20"/>
          <w:lang w:val="en-US" w:eastAsia="en-US"/>
        </w:rPr>
        <w:t xml:space="preserve"> law establishes the creation of courts of first and second instance that specialize in these matters, and have a technical judge. This eliminates the possibility </w:t>
      </w:r>
      <w:r w:rsidR="00183617" w:rsidRPr="00AC57EA">
        <w:rPr>
          <w:rFonts w:eastAsia="Calibri"/>
          <w:kern w:val="1"/>
          <w:sz w:val="20"/>
          <w:lang w:val="en-US" w:eastAsia="en-US"/>
        </w:rPr>
        <w:t>of</w:t>
      </w:r>
      <w:r w:rsidR="00814FA7" w:rsidRPr="00AC57EA">
        <w:rPr>
          <w:rFonts w:eastAsia="Calibri"/>
          <w:kern w:val="1"/>
          <w:sz w:val="20"/>
          <w:lang w:val="en-US" w:eastAsia="en-US"/>
        </w:rPr>
        <w:t xml:space="preserve"> a case of sexual violence against women, children and adolescents being tried by a peoples’ jury. The Court therefore considers that it is not necessary to order an additional measure of reparation in this regard because, based on the above amendments to the law, crimes of sexual violence, including rape, committed against women, </w:t>
      </w:r>
      <w:r w:rsidR="001567A9" w:rsidRPr="00AC57EA">
        <w:rPr>
          <w:bCs/>
          <w:sz w:val="20"/>
          <w:szCs w:val="20"/>
          <w:lang w:val="en-US"/>
        </w:rPr>
        <w:t>children and adolescents</w:t>
      </w:r>
      <w:r w:rsidR="00DE5B12" w:rsidRPr="00AC57EA">
        <w:rPr>
          <w:bCs/>
          <w:sz w:val="20"/>
          <w:szCs w:val="20"/>
          <w:lang w:val="en-US"/>
        </w:rPr>
        <w:t xml:space="preserve">, </w:t>
      </w:r>
      <w:r w:rsidR="00814FA7" w:rsidRPr="00AC57EA">
        <w:rPr>
          <w:bCs/>
          <w:sz w:val="20"/>
          <w:szCs w:val="20"/>
          <w:lang w:val="en-US"/>
        </w:rPr>
        <w:t>are no longer tried by a</w:t>
      </w:r>
      <w:r w:rsidR="00446A3B" w:rsidRPr="00AC57EA">
        <w:rPr>
          <w:iCs/>
          <w:sz w:val="20"/>
          <w:szCs w:val="20"/>
          <w:lang w:val="en-US"/>
        </w:rPr>
        <w:t xml:space="preserve"> </w:t>
      </w:r>
      <w:r w:rsidR="00183617" w:rsidRPr="00AC57EA">
        <w:rPr>
          <w:iCs/>
          <w:sz w:val="20"/>
          <w:szCs w:val="20"/>
          <w:lang w:val="en-US"/>
        </w:rPr>
        <w:t>peoples’</w:t>
      </w:r>
      <w:r w:rsidR="00446A3B" w:rsidRPr="00AC57EA">
        <w:rPr>
          <w:iCs/>
          <w:sz w:val="20"/>
          <w:szCs w:val="20"/>
          <w:lang w:val="en-US"/>
        </w:rPr>
        <w:t xml:space="preserve"> jury, but by a specialized judge.</w:t>
      </w:r>
    </w:p>
    <w:p w14:paraId="63DBD6DA" w14:textId="77777777" w:rsidR="00446A3B" w:rsidRPr="00AC57EA" w:rsidRDefault="00446A3B" w:rsidP="00446A3B">
      <w:pPr>
        <w:pStyle w:val="Default"/>
        <w:tabs>
          <w:tab w:val="left" w:pos="567"/>
        </w:tabs>
        <w:jc w:val="both"/>
        <w:rPr>
          <w:iCs/>
          <w:sz w:val="20"/>
          <w:szCs w:val="20"/>
          <w:lang w:val="en-US"/>
        </w:rPr>
      </w:pPr>
    </w:p>
    <w:p w14:paraId="1C05439D" w14:textId="2ADFDB8F" w:rsidR="00DE5B12" w:rsidRPr="00AC57EA" w:rsidRDefault="00BB0638" w:rsidP="002C415B">
      <w:pPr>
        <w:numPr>
          <w:ilvl w:val="0"/>
          <w:numId w:val="13"/>
        </w:numPr>
        <w:spacing w:line="240" w:lineRule="auto"/>
        <w:rPr>
          <w:i/>
          <w:iCs/>
          <w:sz w:val="20"/>
          <w:szCs w:val="20"/>
          <w:lang w:val="en-US"/>
        </w:rPr>
      </w:pPr>
      <w:r w:rsidRPr="00AC57EA">
        <w:rPr>
          <w:i/>
          <w:iCs/>
          <w:sz w:val="20"/>
          <w:szCs w:val="20"/>
          <w:lang w:val="en-US"/>
        </w:rPr>
        <w:t>Other measures</w:t>
      </w:r>
    </w:p>
    <w:p w14:paraId="10FF98A2" w14:textId="77777777" w:rsidR="00DE5B12" w:rsidRPr="00AC57EA" w:rsidRDefault="00DE5B12" w:rsidP="009D661E">
      <w:pPr>
        <w:spacing w:line="240" w:lineRule="auto"/>
        <w:rPr>
          <w:iCs/>
          <w:sz w:val="20"/>
          <w:szCs w:val="20"/>
          <w:lang w:val="en-US"/>
        </w:rPr>
      </w:pPr>
    </w:p>
    <w:p w14:paraId="388F33FA" w14:textId="439125DD" w:rsidR="009D661E" w:rsidRPr="00AC57EA" w:rsidRDefault="00171E27" w:rsidP="003F4BED">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iCs/>
          <w:sz w:val="20"/>
          <w:szCs w:val="20"/>
          <w:lang w:val="en-US" w:bidi="en-US"/>
        </w:rPr>
        <w:t xml:space="preserve">The </w:t>
      </w:r>
      <w:r w:rsidRPr="00AC57EA">
        <w:rPr>
          <w:rFonts w:eastAsia="MS Mincho"/>
          <w:b/>
          <w:bCs/>
          <w:i/>
          <w:sz w:val="20"/>
          <w:szCs w:val="20"/>
          <w:lang w:val="en-US" w:bidi="en-US"/>
        </w:rPr>
        <w:t>representatives</w:t>
      </w:r>
      <w:r w:rsidR="009D661E" w:rsidRPr="00AC57EA">
        <w:rPr>
          <w:rFonts w:eastAsia="MS Mincho"/>
          <w:sz w:val="20"/>
          <w:szCs w:val="20"/>
          <w:lang w:val="en-US" w:bidi="en-US"/>
        </w:rPr>
        <w:t xml:space="preserve"> </w:t>
      </w:r>
      <w:r w:rsidR="00B45461" w:rsidRPr="00AC57EA">
        <w:rPr>
          <w:rFonts w:eastAsia="MS Mincho"/>
          <w:sz w:val="20"/>
          <w:szCs w:val="20"/>
          <w:lang w:val="en-US" w:bidi="en-US"/>
        </w:rPr>
        <w:t xml:space="preserve">also asked the Court to order the State of </w:t>
      </w:r>
      <w:r w:rsidR="009D661E" w:rsidRPr="00AC57EA">
        <w:rPr>
          <w:rFonts w:eastAsia="MS Mincho"/>
          <w:sz w:val="20"/>
          <w:szCs w:val="20"/>
          <w:lang w:val="en-US" w:bidi="en-US"/>
        </w:rPr>
        <w:t xml:space="preserve">Nicaragua: </w:t>
      </w:r>
      <w:r w:rsidR="00BB0638" w:rsidRPr="00AC57EA">
        <w:rPr>
          <w:rFonts w:eastAsia="MS Mincho"/>
          <w:sz w:val="20"/>
          <w:szCs w:val="20"/>
          <w:lang w:val="en-US" w:bidi="en-US"/>
        </w:rPr>
        <w:t>(</w:t>
      </w:r>
      <w:r w:rsidR="009D661E" w:rsidRPr="00AC57EA">
        <w:rPr>
          <w:rFonts w:eastAsia="MS Mincho"/>
          <w:sz w:val="20"/>
          <w:szCs w:val="20"/>
          <w:lang w:val="en-US" w:bidi="en-US"/>
        </w:rPr>
        <w:t xml:space="preserve">i) </w:t>
      </w:r>
      <w:r w:rsidR="003F4BED" w:rsidRPr="00AC57EA">
        <w:rPr>
          <w:rFonts w:eastAsia="MS Mincho"/>
          <w:sz w:val="20"/>
          <w:szCs w:val="20"/>
          <w:lang w:val="en-US" w:bidi="en-US"/>
        </w:rPr>
        <w:t xml:space="preserve">to provide appropriate housing, without additional expenses and free of charge, so that </w:t>
      </w:r>
      <w:r w:rsidR="009D661E" w:rsidRPr="00AC57EA">
        <w:rPr>
          <w:rFonts w:eastAsia="MS Mincho"/>
          <w:sz w:val="20"/>
          <w:szCs w:val="20"/>
          <w:lang w:val="en-US" w:bidi="en-US"/>
        </w:rPr>
        <w:t>V.R.P., V.P.C.</w:t>
      </w:r>
      <w:r w:rsidRPr="00AC57EA">
        <w:rPr>
          <w:rFonts w:eastAsia="MS Mincho"/>
          <w:sz w:val="20"/>
          <w:szCs w:val="20"/>
          <w:lang w:val="en-US" w:bidi="en-US"/>
        </w:rPr>
        <w:t xml:space="preserve"> and </w:t>
      </w:r>
      <w:r w:rsidR="009D661E" w:rsidRPr="00AC57EA">
        <w:rPr>
          <w:rFonts w:eastAsia="MS Mincho"/>
          <w:sz w:val="20"/>
          <w:szCs w:val="20"/>
          <w:lang w:val="en-US" w:bidi="en-US"/>
        </w:rPr>
        <w:t xml:space="preserve">N.R.P. </w:t>
      </w:r>
      <w:r w:rsidR="003F4BED" w:rsidRPr="00AC57EA">
        <w:rPr>
          <w:rFonts w:eastAsia="MS Mincho"/>
          <w:sz w:val="20"/>
          <w:szCs w:val="20"/>
          <w:lang w:val="en-US" w:bidi="en-US"/>
        </w:rPr>
        <w:t xml:space="preserve">could live with dignity </w:t>
      </w:r>
      <w:r w:rsidR="00BB0638" w:rsidRPr="00AC57EA">
        <w:rPr>
          <w:rFonts w:eastAsia="MS Mincho"/>
          <w:sz w:val="20"/>
          <w:szCs w:val="20"/>
          <w:lang w:val="en-US" w:bidi="en-US"/>
        </w:rPr>
        <w:t>in t</w:t>
      </w:r>
      <w:r w:rsidR="000F2A01" w:rsidRPr="00AC57EA">
        <w:rPr>
          <w:rFonts w:eastAsia="MS Mincho"/>
          <w:sz w:val="20"/>
          <w:szCs w:val="20"/>
          <w:lang w:val="en-US" w:bidi="en-US"/>
        </w:rPr>
        <w:t>he United States</w:t>
      </w:r>
      <w:r w:rsidR="009D661E" w:rsidRPr="00AC57EA">
        <w:rPr>
          <w:rFonts w:eastAsia="MS Mincho"/>
          <w:sz w:val="20"/>
          <w:szCs w:val="20"/>
          <w:lang w:val="en-US" w:bidi="en-US"/>
        </w:rPr>
        <w:t xml:space="preserve">, </w:t>
      </w:r>
      <w:r w:rsidR="003F4BED" w:rsidRPr="00AC57EA">
        <w:rPr>
          <w:rFonts w:eastAsia="MS Mincho"/>
          <w:sz w:val="20"/>
          <w:szCs w:val="20"/>
          <w:lang w:val="en-US" w:bidi="en-US"/>
        </w:rPr>
        <w:t xml:space="preserve">because the victims were obliged to leave Nicaragua and abandon their home, and were left with nowhere to live. They asked that the State allocate them a prudent sum of </w:t>
      </w:r>
      <w:r w:rsidR="009D661E" w:rsidRPr="00AC57EA">
        <w:rPr>
          <w:rFonts w:eastAsia="MS Mincho"/>
          <w:sz w:val="20"/>
          <w:szCs w:val="20"/>
          <w:lang w:val="en-US" w:bidi="en-US"/>
        </w:rPr>
        <w:t>US$200</w:t>
      </w:r>
      <w:r w:rsidR="00474CE5" w:rsidRPr="00AC57EA">
        <w:rPr>
          <w:rFonts w:eastAsia="MS Mincho"/>
          <w:sz w:val="20"/>
          <w:szCs w:val="20"/>
          <w:lang w:val="en-US" w:bidi="en-US"/>
        </w:rPr>
        <w:t>,000.00</w:t>
      </w:r>
      <w:r w:rsidR="009D661E" w:rsidRPr="00AC57EA">
        <w:rPr>
          <w:sz w:val="20"/>
          <w:szCs w:val="20"/>
          <w:lang w:val="en-US"/>
        </w:rPr>
        <w:t xml:space="preserve"> </w:t>
      </w:r>
      <w:r w:rsidR="003F4BED" w:rsidRPr="00AC57EA">
        <w:rPr>
          <w:sz w:val="20"/>
          <w:szCs w:val="20"/>
          <w:lang w:val="en-US"/>
        </w:rPr>
        <w:t xml:space="preserve">so that they could acquire this; </w:t>
      </w:r>
      <w:r w:rsidR="00BB0638" w:rsidRPr="00AC57EA">
        <w:rPr>
          <w:rFonts w:eastAsia="MS Mincho"/>
          <w:sz w:val="20"/>
          <w:szCs w:val="20"/>
          <w:lang w:val="en-US" w:bidi="en-US"/>
        </w:rPr>
        <w:t>(</w:t>
      </w:r>
      <w:r w:rsidR="009D661E" w:rsidRPr="00AC57EA">
        <w:rPr>
          <w:rFonts w:eastAsia="MS Mincho"/>
          <w:sz w:val="20"/>
          <w:szCs w:val="20"/>
          <w:lang w:val="en-US" w:bidi="en-US"/>
        </w:rPr>
        <w:t xml:space="preserve">ii) </w:t>
      </w:r>
      <w:r w:rsidR="003F4BED" w:rsidRPr="00AC57EA">
        <w:rPr>
          <w:rFonts w:eastAsia="MS Mincho"/>
          <w:sz w:val="20"/>
          <w:szCs w:val="20"/>
          <w:lang w:val="en-US" w:bidi="en-US"/>
        </w:rPr>
        <w:t xml:space="preserve">to send an official letter to the United States Embassy requesting the approval of visitor’s visas so that </w:t>
      </w:r>
      <w:r w:rsidR="009D661E" w:rsidRPr="00AC57EA">
        <w:rPr>
          <w:rFonts w:eastAsia="MS Mincho"/>
          <w:sz w:val="20"/>
          <w:szCs w:val="20"/>
          <w:lang w:val="en-US" w:bidi="en-US"/>
        </w:rPr>
        <w:t>H.J.R.P.</w:t>
      </w:r>
      <w:r w:rsidRPr="00AC57EA">
        <w:rPr>
          <w:rFonts w:eastAsia="MS Mincho"/>
          <w:sz w:val="20"/>
          <w:szCs w:val="20"/>
          <w:lang w:val="en-US" w:bidi="en-US"/>
        </w:rPr>
        <w:t xml:space="preserve"> and </w:t>
      </w:r>
      <w:r w:rsidR="009D661E" w:rsidRPr="00AC57EA">
        <w:rPr>
          <w:rFonts w:eastAsia="MS Mincho"/>
          <w:sz w:val="20"/>
          <w:szCs w:val="20"/>
          <w:lang w:val="en-US" w:bidi="en-US"/>
        </w:rPr>
        <w:t>V.A.R.P.</w:t>
      </w:r>
      <w:r w:rsidR="003F4BED" w:rsidRPr="00AC57EA">
        <w:rPr>
          <w:rFonts w:eastAsia="MS Mincho"/>
          <w:sz w:val="20"/>
          <w:szCs w:val="20"/>
          <w:lang w:val="en-US" w:bidi="en-US"/>
        </w:rPr>
        <w:t xml:space="preserve"> could travel and meet up with the other members of their family; this measure was due to the disintegration of the family when V.P.C., V.R.P. and N.R.P left Nicaragua, and the consequences, because the sisters had n</w:t>
      </w:r>
      <w:r w:rsidR="009C6DF3" w:rsidRPr="00AC57EA">
        <w:rPr>
          <w:rFonts w:eastAsia="MS Mincho"/>
          <w:sz w:val="20"/>
          <w:szCs w:val="20"/>
          <w:lang w:val="en-US" w:bidi="en-US"/>
        </w:rPr>
        <w:t>ot</w:t>
      </w:r>
      <w:r w:rsidR="003F4BED" w:rsidRPr="00AC57EA">
        <w:rPr>
          <w:rFonts w:eastAsia="MS Mincho"/>
          <w:sz w:val="20"/>
          <w:szCs w:val="20"/>
          <w:lang w:val="en-US" w:bidi="en-US"/>
        </w:rPr>
        <w:t xml:space="preserve"> seen their brothers since then; (iii) to approve a project to support victims of sexual abuse, to be implemented in the city of Jinotega, including maintenance expenses for infrastructure and “transportation”, and (iv) not to file any criminal, civil or any other type of action against the </w:t>
      </w:r>
      <w:r w:rsidR="006E2FD4" w:rsidRPr="00AC57EA">
        <w:rPr>
          <w:rFonts w:eastAsia="MS Mincho"/>
          <w:sz w:val="20"/>
          <w:szCs w:val="20"/>
          <w:lang w:val="en-US" w:bidi="en-US"/>
        </w:rPr>
        <w:t xml:space="preserve">petitioner and her family for having </w:t>
      </w:r>
      <w:r w:rsidR="006E2FD4" w:rsidRPr="00AC57EA">
        <w:rPr>
          <w:sz w:val="20"/>
          <w:szCs w:val="20"/>
          <w:lang w:val="en-US"/>
        </w:rPr>
        <w:t>had recourse</w:t>
      </w:r>
      <w:r w:rsidR="006E2FD4" w:rsidRPr="00AC57EA">
        <w:rPr>
          <w:rFonts w:eastAsia="MS Mincho"/>
          <w:sz w:val="20"/>
          <w:szCs w:val="20"/>
          <w:lang w:val="en-US" w:bidi="en-US"/>
        </w:rPr>
        <w:t xml:space="preserve"> to </w:t>
      </w:r>
      <w:r w:rsidR="00B7258C" w:rsidRPr="00AC57EA">
        <w:rPr>
          <w:sz w:val="20"/>
          <w:szCs w:val="20"/>
          <w:lang w:val="en-US"/>
        </w:rPr>
        <w:t>the Inter-American Commission on Human Rights</w:t>
      </w:r>
      <w:r w:rsidR="001C0BD0" w:rsidRPr="00AC57EA">
        <w:rPr>
          <w:sz w:val="20"/>
          <w:szCs w:val="20"/>
          <w:lang w:val="en-US"/>
        </w:rPr>
        <w:t>.</w:t>
      </w:r>
      <w:r w:rsidR="006E2FD4" w:rsidRPr="00AC57EA">
        <w:rPr>
          <w:sz w:val="20"/>
          <w:szCs w:val="20"/>
          <w:lang w:val="en-US"/>
        </w:rPr>
        <w:t xml:space="preserve"> </w:t>
      </w:r>
    </w:p>
    <w:p w14:paraId="68C9CF57" w14:textId="55EA3E56" w:rsidR="009D661E" w:rsidRPr="00AC57EA" w:rsidRDefault="009D661E" w:rsidP="009D661E">
      <w:pPr>
        <w:tabs>
          <w:tab w:val="left" w:pos="567"/>
        </w:tabs>
        <w:spacing w:line="240" w:lineRule="auto"/>
        <w:textAlignment w:val="auto"/>
        <w:rPr>
          <w:rFonts w:eastAsia="MS Mincho"/>
          <w:sz w:val="20"/>
          <w:szCs w:val="20"/>
          <w:lang w:val="en-US" w:bidi="en-US"/>
        </w:rPr>
      </w:pPr>
    </w:p>
    <w:p w14:paraId="70C2B00F" w14:textId="16465F2F" w:rsidR="006E2FD4" w:rsidRPr="00AC57EA" w:rsidRDefault="00EC52D7" w:rsidP="006E2FD4">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9D661E" w:rsidRPr="00AC57EA">
        <w:rPr>
          <w:rFonts w:eastAsia="MS Mincho"/>
          <w:sz w:val="20"/>
          <w:szCs w:val="20"/>
          <w:lang w:val="en-US" w:bidi="en-US"/>
        </w:rPr>
        <w:t xml:space="preserve"> </w:t>
      </w:r>
      <w:r w:rsidR="00B7606D" w:rsidRPr="00AC57EA">
        <w:rPr>
          <w:rFonts w:eastAsia="MS Mincho"/>
          <w:sz w:val="20"/>
          <w:szCs w:val="20"/>
          <w:lang w:val="en-US" w:bidi="en-US"/>
        </w:rPr>
        <w:t>argued the following</w:t>
      </w:r>
      <w:r w:rsidR="009D661E" w:rsidRPr="00AC57EA">
        <w:rPr>
          <w:rFonts w:eastAsia="MS Mincho"/>
          <w:sz w:val="20"/>
          <w:szCs w:val="20"/>
          <w:lang w:val="en-US" w:bidi="en-US"/>
        </w:rPr>
        <w:t xml:space="preserve">: </w:t>
      </w:r>
      <w:r w:rsidR="00B7606D" w:rsidRPr="00AC57EA">
        <w:rPr>
          <w:rFonts w:eastAsia="MS Mincho"/>
          <w:sz w:val="20"/>
          <w:szCs w:val="20"/>
          <w:lang w:val="en-US" w:bidi="en-US"/>
        </w:rPr>
        <w:t>(</w:t>
      </w:r>
      <w:r w:rsidR="009D661E" w:rsidRPr="00AC57EA">
        <w:rPr>
          <w:rFonts w:eastAsia="MS Mincho"/>
          <w:sz w:val="20"/>
          <w:szCs w:val="20"/>
          <w:lang w:val="en-US" w:bidi="en-US"/>
        </w:rPr>
        <w:t xml:space="preserve">i) </w:t>
      </w:r>
      <w:r w:rsidR="006E2FD4" w:rsidRPr="00AC57EA">
        <w:rPr>
          <w:rFonts w:eastAsia="MS Mincho"/>
          <w:sz w:val="20"/>
          <w:szCs w:val="20"/>
          <w:lang w:val="en-US" w:bidi="en-US"/>
        </w:rPr>
        <w:t xml:space="preserve">regarding the request for housing, it opposed the request adducing that it was not duly justified and that V.P.C. continued to own her house in Jinotega, which was free of </w:t>
      </w:r>
      <w:r w:rsidR="002A01B7" w:rsidRPr="00AC57EA">
        <w:rPr>
          <w:rFonts w:eastAsia="MS Mincho"/>
          <w:sz w:val="20"/>
          <w:szCs w:val="20"/>
          <w:lang w:val="en-US" w:bidi="en-US"/>
        </w:rPr>
        <w:t>encumbrances</w:t>
      </w:r>
      <w:r w:rsidR="006E2FD4" w:rsidRPr="00AC57EA">
        <w:rPr>
          <w:rFonts w:eastAsia="MS Mincho"/>
          <w:sz w:val="20"/>
          <w:szCs w:val="20"/>
          <w:lang w:val="en-US" w:bidi="en-US"/>
        </w:rPr>
        <w:t xml:space="preserve"> and could be sold to acquire another house; (ii) the granting of a visa for H.J.R.P. and V.A.R.P. or anyone else was a sovereign power of each country that any citizen could request before the consulate, individually, complying with the requirements established by each country. It added that the State could not become involved in that sovereign decision of the United States, especially as there was no impediment for V.A.R.P. and H.J.R.P. to see their sisters, V.R.P. and N.R.P., because the latter could freely enter and leave Nicaragua with full guarantees that they would not be persecuted; (iii) in Nicaragua, more than 6,000 non-governmental organizations were legally constituted and registered by simple regulations that did not require establishing a special measure of guarantee, and each one of them created and worked with their own financing sources. Consequently, it was not for the State to assume the costs of infrastructure, transportation and maintenance of the said project to support victim of sexual abuse, because this would signify the existence of a center of assistance for victims </w:t>
      </w:r>
      <w:r w:rsidR="0026525C" w:rsidRPr="00AC57EA">
        <w:rPr>
          <w:rFonts w:eastAsia="MS Mincho"/>
          <w:sz w:val="20"/>
          <w:szCs w:val="20"/>
          <w:lang w:val="en-US" w:bidi="en-US"/>
        </w:rPr>
        <w:t>funded by the State and subject to its control. Lastly, it indicated that it could work in coordination with other NGOs of the same nature that function with their own funding</w:t>
      </w:r>
      <w:r w:rsidR="009C6DF3" w:rsidRPr="00AC57EA">
        <w:rPr>
          <w:rFonts w:eastAsia="MS Mincho"/>
          <w:sz w:val="20"/>
          <w:szCs w:val="20"/>
          <w:lang w:val="en-US" w:bidi="en-US"/>
        </w:rPr>
        <w:t xml:space="preserve"> sources</w:t>
      </w:r>
      <w:r w:rsidR="0026525C" w:rsidRPr="00AC57EA">
        <w:rPr>
          <w:rFonts w:eastAsia="MS Mincho"/>
          <w:sz w:val="20"/>
          <w:szCs w:val="20"/>
          <w:lang w:val="en-US" w:bidi="en-US"/>
        </w:rPr>
        <w:t>, and (iv) there was no indication of persecution against V.P.C. or against her sons who reside in Nicaragua; and this was revealed by the fact that she had visited</w:t>
      </w:r>
      <w:r w:rsidR="009C6DF3" w:rsidRPr="00AC57EA">
        <w:rPr>
          <w:rFonts w:eastAsia="MS Mincho"/>
          <w:sz w:val="20"/>
          <w:szCs w:val="20"/>
          <w:lang w:val="en-US" w:bidi="en-US"/>
        </w:rPr>
        <w:t xml:space="preserve"> Nicaragua</w:t>
      </w:r>
      <w:r w:rsidR="0026525C" w:rsidRPr="00AC57EA">
        <w:rPr>
          <w:rFonts w:eastAsia="MS Mincho"/>
          <w:sz w:val="20"/>
          <w:szCs w:val="20"/>
          <w:lang w:val="en-US" w:bidi="en-US"/>
        </w:rPr>
        <w:t xml:space="preserve"> and traveled freely in </w:t>
      </w:r>
      <w:r w:rsidR="009C6DF3" w:rsidRPr="00AC57EA">
        <w:rPr>
          <w:rFonts w:eastAsia="MS Mincho"/>
          <w:sz w:val="20"/>
          <w:szCs w:val="20"/>
          <w:lang w:val="en-US" w:bidi="en-US"/>
        </w:rPr>
        <w:t>its</w:t>
      </w:r>
      <w:r w:rsidR="0026525C" w:rsidRPr="00AC57EA">
        <w:rPr>
          <w:rFonts w:eastAsia="MS Mincho"/>
          <w:sz w:val="20"/>
          <w:szCs w:val="20"/>
          <w:lang w:val="en-US" w:bidi="en-US"/>
        </w:rPr>
        <w:t xml:space="preserve"> territory. The State added that it reaffirmed its commitment to strictly respect human rights, particularly the rights of petition, to life, physical, moral and mental integrity, and legal certainty.</w:t>
      </w:r>
    </w:p>
    <w:p w14:paraId="0415BBB5" w14:textId="77777777" w:rsidR="009D661E" w:rsidRPr="00AC57EA" w:rsidRDefault="009D661E" w:rsidP="009D661E">
      <w:pPr>
        <w:tabs>
          <w:tab w:val="left" w:pos="567"/>
        </w:tabs>
        <w:spacing w:line="240" w:lineRule="auto"/>
        <w:textAlignment w:val="auto"/>
        <w:rPr>
          <w:rFonts w:eastAsia="MS Mincho"/>
          <w:sz w:val="20"/>
          <w:szCs w:val="20"/>
          <w:lang w:val="en-US" w:bidi="en-US"/>
        </w:rPr>
      </w:pPr>
    </w:p>
    <w:p w14:paraId="1E1DA945" w14:textId="24BE5662" w:rsidR="006D638F" w:rsidRPr="00AC57EA" w:rsidRDefault="006D638F"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sz w:val="20"/>
          <w:szCs w:val="20"/>
          <w:lang w:val="en-US" w:bidi="en-US"/>
        </w:rPr>
        <w:t xml:space="preserve">Regarding the request that the State provide housing, the Court considers that, as the State has indicated and the representatives have not contested, V.P.C. </w:t>
      </w:r>
      <w:r w:rsidR="007C5878" w:rsidRPr="00AC57EA">
        <w:rPr>
          <w:sz w:val="20"/>
          <w:szCs w:val="20"/>
          <w:lang w:val="en-US" w:bidi="en-US"/>
        </w:rPr>
        <w:t>still owns</w:t>
      </w:r>
      <w:r w:rsidRPr="00AC57EA">
        <w:rPr>
          <w:sz w:val="20"/>
          <w:szCs w:val="20"/>
          <w:lang w:val="en-US" w:bidi="en-US"/>
        </w:rPr>
        <w:t xml:space="preserve"> a house in Nicaragua</w:t>
      </w:r>
      <w:r w:rsidR="007C5878" w:rsidRPr="00AC57EA">
        <w:rPr>
          <w:sz w:val="20"/>
          <w:szCs w:val="20"/>
          <w:lang w:val="en-US" w:bidi="en-US"/>
        </w:rPr>
        <w:t xml:space="preserve"> that</w:t>
      </w:r>
      <w:r w:rsidRPr="00AC57EA">
        <w:rPr>
          <w:sz w:val="20"/>
          <w:szCs w:val="20"/>
          <w:lang w:val="en-US" w:bidi="en-US"/>
        </w:rPr>
        <w:t xml:space="preserve"> is free of encumbrances. Therefore, the Court does not find it appropriate to order a measure in this regard. In the case of the request for family reunion, the Court notes that the issue of visas is, indeed, a power of each country and that access to visas by V.P.C.’s sons has not been prevented. Moreover, </w:t>
      </w:r>
      <w:r w:rsidR="007C5878" w:rsidRPr="00AC57EA">
        <w:rPr>
          <w:sz w:val="20"/>
          <w:szCs w:val="20"/>
          <w:lang w:val="en-US" w:bidi="en-US"/>
        </w:rPr>
        <w:t>neither</w:t>
      </w:r>
      <w:r w:rsidRPr="00AC57EA">
        <w:rPr>
          <w:sz w:val="20"/>
          <w:szCs w:val="20"/>
          <w:lang w:val="en-US" w:bidi="en-US"/>
        </w:rPr>
        <w:t xml:space="preserve"> the arguments </w:t>
      </w:r>
      <w:r w:rsidR="007C5878" w:rsidRPr="00AC57EA">
        <w:rPr>
          <w:sz w:val="20"/>
          <w:szCs w:val="20"/>
          <w:lang w:val="en-US" w:bidi="en-US"/>
        </w:rPr>
        <w:t>n</w:t>
      </w:r>
      <w:r w:rsidRPr="00AC57EA">
        <w:rPr>
          <w:sz w:val="20"/>
          <w:szCs w:val="20"/>
          <w:lang w:val="en-US" w:bidi="en-US"/>
        </w:rPr>
        <w:t>or the evidence</w:t>
      </w:r>
      <w:r w:rsidR="007C5878" w:rsidRPr="00AC57EA">
        <w:rPr>
          <w:sz w:val="20"/>
          <w:szCs w:val="20"/>
          <w:lang w:val="en-US" w:bidi="en-US"/>
        </w:rPr>
        <w:t xml:space="preserve"> presented in this case</w:t>
      </w:r>
      <w:r w:rsidRPr="00AC57EA">
        <w:rPr>
          <w:sz w:val="20"/>
          <w:szCs w:val="20"/>
          <w:lang w:val="en-US" w:bidi="en-US"/>
        </w:rPr>
        <w:t xml:space="preserve"> </w:t>
      </w:r>
      <w:r w:rsidR="007C5878" w:rsidRPr="00AC57EA">
        <w:rPr>
          <w:sz w:val="20"/>
          <w:szCs w:val="20"/>
          <w:lang w:val="en-US" w:bidi="en-US"/>
        </w:rPr>
        <w:t xml:space="preserve">reveal </w:t>
      </w:r>
      <w:r w:rsidRPr="00AC57EA">
        <w:rPr>
          <w:sz w:val="20"/>
          <w:szCs w:val="20"/>
          <w:lang w:val="en-US" w:bidi="en-US"/>
        </w:rPr>
        <w:t>that V.P.C. and her daughter</w:t>
      </w:r>
      <w:r w:rsidR="009C6DF3" w:rsidRPr="00AC57EA">
        <w:rPr>
          <w:sz w:val="20"/>
          <w:szCs w:val="20"/>
          <w:lang w:val="en-US" w:bidi="en-US"/>
        </w:rPr>
        <w:t>s</w:t>
      </w:r>
      <w:r w:rsidRPr="00AC57EA">
        <w:rPr>
          <w:sz w:val="20"/>
          <w:szCs w:val="20"/>
          <w:lang w:val="en-US" w:bidi="en-US"/>
        </w:rPr>
        <w:t xml:space="preserve"> are unable to travel to Nicaragua to meet up with their loved ones. Accordingly, the Court does not find it appropriate to order a measure in this regard.</w:t>
      </w:r>
    </w:p>
    <w:p w14:paraId="24C4FCB7" w14:textId="77777777" w:rsidR="009D661E" w:rsidRPr="00AC57EA" w:rsidRDefault="009D661E" w:rsidP="009D661E">
      <w:pPr>
        <w:pStyle w:val="Prrafodelista"/>
        <w:spacing w:line="240" w:lineRule="auto"/>
        <w:rPr>
          <w:sz w:val="20"/>
          <w:szCs w:val="20"/>
          <w:lang w:val="en-US" w:bidi="en-US"/>
        </w:rPr>
      </w:pPr>
    </w:p>
    <w:p w14:paraId="341FB5D9" w14:textId="1FA63144" w:rsidR="009D661E" w:rsidRPr="00AC57EA" w:rsidRDefault="006D638F" w:rsidP="006D638F">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sz w:val="20"/>
          <w:szCs w:val="20"/>
          <w:lang w:val="en-US" w:bidi="en-US"/>
        </w:rPr>
        <w:t>In sum</w:t>
      </w:r>
      <w:r w:rsidR="009D661E" w:rsidRPr="00AC57EA">
        <w:rPr>
          <w:sz w:val="20"/>
          <w:szCs w:val="20"/>
          <w:lang w:val="en-US" w:bidi="en-US"/>
        </w:rPr>
        <w:t xml:space="preserve">, </w:t>
      </w:r>
      <w:r w:rsidR="00B7258C" w:rsidRPr="00AC57EA">
        <w:rPr>
          <w:sz w:val="20"/>
          <w:szCs w:val="20"/>
          <w:lang w:val="en-US" w:bidi="en-US"/>
        </w:rPr>
        <w:t>the Court</w:t>
      </w:r>
      <w:r w:rsidR="009D661E" w:rsidRPr="00AC57EA">
        <w:rPr>
          <w:sz w:val="20"/>
          <w:szCs w:val="20"/>
          <w:lang w:val="en-US" w:bidi="en-US"/>
        </w:rPr>
        <w:t xml:space="preserve"> </w:t>
      </w:r>
      <w:r w:rsidRPr="00AC57EA">
        <w:rPr>
          <w:sz w:val="20"/>
          <w:szCs w:val="20"/>
          <w:lang w:val="en-US" w:bidi="en-US"/>
        </w:rPr>
        <w:t xml:space="preserve">finds that the delivery </w:t>
      </w:r>
      <w:r w:rsidR="00171E27" w:rsidRPr="00AC57EA">
        <w:rPr>
          <w:sz w:val="20"/>
          <w:szCs w:val="20"/>
          <w:lang w:val="en-US" w:bidi="en-US"/>
        </w:rPr>
        <w:t xml:space="preserve">of this judgment and </w:t>
      </w:r>
      <w:r w:rsidRPr="00AC57EA">
        <w:rPr>
          <w:sz w:val="20"/>
          <w:szCs w:val="20"/>
          <w:lang w:val="en-US" w:bidi="en-US"/>
        </w:rPr>
        <w:t>the reparations ordered in this chapter are sufficient and adequate to compensate the violations suffered by the victims and does not find it necessary to order the other measures that have been requested. Nevertheless, the Court reiterates to the State of Nicaragua that, pursuant to</w:t>
      </w:r>
      <w:r w:rsidRPr="00AC57EA">
        <w:rPr>
          <w:rFonts w:eastAsia="MS Mincho"/>
          <w:sz w:val="20"/>
          <w:szCs w:val="20"/>
          <w:lang w:val="en-US" w:bidi="en-US"/>
        </w:rPr>
        <w:t xml:space="preserve"> </w:t>
      </w:r>
      <w:r w:rsidR="00B7258C" w:rsidRPr="00AC57EA">
        <w:rPr>
          <w:rFonts w:eastAsia="MS Mincho"/>
          <w:sz w:val="20"/>
          <w:szCs w:val="20"/>
          <w:lang w:val="en-US" w:bidi="en-US"/>
        </w:rPr>
        <w:t>the American Convention</w:t>
      </w:r>
      <w:r w:rsidR="009D661E" w:rsidRPr="00AC57EA">
        <w:rPr>
          <w:rFonts w:eastAsia="MS Mincho"/>
          <w:sz w:val="20"/>
          <w:szCs w:val="20"/>
          <w:lang w:val="en-US" w:bidi="en-US"/>
        </w:rPr>
        <w:t xml:space="preserve">, </w:t>
      </w:r>
      <w:r w:rsidRPr="00AC57EA">
        <w:rPr>
          <w:rFonts w:eastAsia="MS Mincho"/>
          <w:sz w:val="20"/>
          <w:szCs w:val="20"/>
          <w:lang w:val="en-US" w:bidi="en-US"/>
        </w:rPr>
        <w:t xml:space="preserve">victims have </w:t>
      </w:r>
      <w:r w:rsidR="002A5974" w:rsidRPr="00AC57EA">
        <w:rPr>
          <w:rFonts w:eastAsia="MS Mincho"/>
          <w:sz w:val="20"/>
          <w:szCs w:val="20"/>
          <w:lang w:val="en-US" w:bidi="en-US"/>
        </w:rPr>
        <w:t xml:space="preserve">the right </w:t>
      </w:r>
      <w:r w:rsidRPr="00AC57EA">
        <w:rPr>
          <w:rFonts w:eastAsia="MS Mincho"/>
          <w:sz w:val="20"/>
          <w:szCs w:val="20"/>
          <w:lang w:val="en-US" w:bidi="en-US"/>
        </w:rPr>
        <w:t>to lodge petitions before</w:t>
      </w:r>
      <w:r w:rsidR="009D661E" w:rsidRPr="00AC57EA">
        <w:rPr>
          <w:rFonts w:eastAsia="MS Mincho"/>
          <w:sz w:val="20"/>
          <w:szCs w:val="20"/>
          <w:lang w:val="en-US" w:bidi="en-US"/>
        </w:rPr>
        <w:t xml:space="preserve"> </w:t>
      </w:r>
      <w:r w:rsidR="00B7258C" w:rsidRPr="00AC57EA">
        <w:rPr>
          <w:rFonts w:eastAsia="MS Mincho"/>
          <w:sz w:val="20"/>
          <w:szCs w:val="20"/>
          <w:lang w:val="en-US" w:bidi="en-US"/>
        </w:rPr>
        <w:t>the Inter-American Commission</w:t>
      </w:r>
      <w:r w:rsidR="009D661E" w:rsidRPr="00AC57EA">
        <w:rPr>
          <w:rFonts w:eastAsia="MS Mincho"/>
          <w:sz w:val="20"/>
          <w:szCs w:val="20"/>
          <w:lang w:val="en-US" w:bidi="en-US"/>
        </w:rPr>
        <w:t xml:space="preserve"> </w:t>
      </w:r>
      <w:r w:rsidRPr="00AC57EA">
        <w:rPr>
          <w:rFonts w:eastAsia="MS Mincho"/>
          <w:sz w:val="20"/>
          <w:szCs w:val="20"/>
          <w:lang w:val="en-US" w:bidi="en-US"/>
        </w:rPr>
        <w:t xml:space="preserve">if they consider this pertinent and, pursuant to </w:t>
      </w:r>
      <w:r w:rsidR="00B7258C" w:rsidRPr="00AC57EA">
        <w:rPr>
          <w:rFonts w:eastAsia="MS Mincho"/>
          <w:sz w:val="20"/>
          <w:szCs w:val="20"/>
          <w:lang w:val="en-US" w:bidi="en-US"/>
        </w:rPr>
        <w:t>Article</w:t>
      </w:r>
      <w:r w:rsidR="009D661E" w:rsidRPr="00AC57EA">
        <w:rPr>
          <w:rFonts w:eastAsia="MS Mincho"/>
          <w:sz w:val="20"/>
          <w:szCs w:val="20"/>
          <w:lang w:val="en-US" w:bidi="en-US"/>
        </w:rPr>
        <w:t xml:space="preserve"> 53</w:t>
      </w:r>
      <w:r w:rsidR="00B7258C" w:rsidRPr="00AC57EA">
        <w:rPr>
          <w:rFonts w:eastAsia="MS Mincho"/>
          <w:sz w:val="20"/>
          <w:szCs w:val="20"/>
          <w:lang w:val="en-US" w:bidi="en-US"/>
        </w:rPr>
        <w:t xml:space="preserve"> of the</w:t>
      </w:r>
      <w:r w:rsidRPr="00AC57EA">
        <w:rPr>
          <w:rFonts w:eastAsia="MS Mincho"/>
          <w:sz w:val="20"/>
          <w:szCs w:val="20"/>
          <w:lang w:val="en-US" w:bidi="en-US"/>
        </w:rPr>
        <w:t xml:space="preserve"> Court’s</w:t>
      </w:r>
      <w:r w:rsidR="00B7258C" w:rsidRPr="00AC57EA">
        <w:rPr>
          <w:rFonts w:eastAsia="MS Mincho"/>
          <w:sz w:val="20"/>
          <w:szCs w:val="20"/>
          <w:lang w:val="en-US" w:bidi="en-US"/>
        </w:rPr>
        <w:t xml:space="preserve"> Rules of Procedure</w:t>
      </w:r>
      <w:r w:rsidRPr="00AC57EA">
        <w:rPr>
          <w:rFonts w:eastAsia="MS Mincho"/>
          <w:sz w:val="20"/>
          <w:szCs w:val="20"/>
          <w:lang w:val="en-US" w:bidi="en-US"/>
        </w:rPr>
        <w:t>, States may not prosecute</w:t>
      </w:r>
      <w:r w:rsidR="009D661E" w:rsidRPr="00AC57EA">
        <w:rPr>
          <w:rFonts w:eastAsia="MS Mincho"/>
          <w:sz w:val="20"/>
          <w:szCs w:val="20"/>
          <w:lang w:val="en-US" w:bidi="en-US"/>
        </w:rPr>
        <w:t xml:space="preserve"> </w:t>
      </w:r>
      <w:r w:rsidR="00171E27" w:rsidRPr="00AC57EA">
        <w:rPr>
          <w:rFonts w:eastAsia="MS Mincho"/>
          <w:sz w:val="20"/>
          <w:szCs w:val="20"/>
          <w:lang w:val="en-US" w:bidi="en-US"/>
        </w:rPr>
        <w:t>the presumed victims</w:t>
      </w:r>
      <w:r w:rsidR="009D661E" w:rsidRPr="00AC57EA">
        <w:rPr>
          <w:rFonts w:eastAsia="MS Mincho"/>
          <w:sz w:val="20"/>
          <w:szCs w:val="20"/>
          <w:lang w:val="en-US" w:bidi="en-US"/>
        </w:rPr>
        <w:t xml:space="preserve"> o</w:t>
      </w:r>
      <w:r w:rsidRPr="00AC57EA">
        <w:rPr>
          <w:rFonts w:eastAsia="MS Mincho"/>
          <w:sz w:val="20"/>
          <w:szCs w:val="20"/>
          <w:lang w:val="en-US" w:bidi="en-US"/>
        </w:rPr>
        <w:t>r their representatives or legal advisers or take reprisals against them based on their statements or their legal defense before</w:t>
      </w:r>
      <w:r w:rsidR="009D661E" w:rsidRPr="00AC57EA">
        <w:rPr>
          <w:rFonts w:eastAsia="MS Mincho"/>
          <w:sz w:val="20"/>
          <w:szCs w:val="20"/>
          <w:lang w:val="en-US" w:bidi="en-US"/>
        </w:rPr>
        <w:t xml:space="preserve"> </w:t>
      </w:r>
      <w:r w:rsidR="00B7258C" w:rsidRPr="00AC57EA">
        <w:rPr>
          <w:rFonts w:eastAsia="MS Mincho"/>
          <w:sz w:val="20"/>
          <w:szCs w:val="20"/>
          <w:lang w:val="en-US" w:bidi="en-US"/>
        </w:rPr>
        <w:t>the Court</w:t>
      </w:r>
      <w:r w:rsidR="009D661E" w:rsidRPr="00AC57EA">
        <w:rPr>
          <w:rFonts w:eastAsia="MS Mincho"/>
          <w:sz w:val="20"/>
          <w:szCs w:val="20"/>
          <w:lang w:val="en-US" w:bidi="en-US"/>
        </w:rPr>
        <w:t>.</w:t>
      </w:r>
    </w:p>
    <w:p w14:paraId="3F90169B" w14:textId="77777777" w:rsidR="009D661E" w:rsidRPr="00AC57EA" w:rsidRDefault="009D661E" w:rsidP="009D661E">
      <w:pPr>
        <w:autoSpaceDE w:val="0"/>
        <w:autoSpaceDN w:val="0"/>
        <w:spacing w:line="240" w:lineRule="auto"/>
        <w:rPr>
          <w:rFonts w:cs="Verdana"/>
          <w:sz w:val="20"/>
          <w:szCs w:val="20"/>
          <w:lang w:val="en-US"/>
        </w:rPr>
      </w:pPr>
    </w:p>
    <w:p w14:paraId="15C00ACF" w14:textId="16092A39" w:rsidR="009D661E" w:rsidRPr="00AC57EA" w:rsidRDefault="00D2733C" w:rsidP="002C415B">
      <w:pPr>
        <w:keepNext/>
        <w:keepLines/>
        <w:numPr>
          <w:ilvl w:val="0"/>
          <w:numId w:val="11"/>
        </w:numPr>
        <w:tabs>
          <w:tab w:val="left" w:pos="567"/>
          <w:tab w:val="left" w:pos="1134"/>
        </w:tabs>
        <w:spacing w:line="240" w:lineRule="auto"/>
        <w:ind w:left="567" w:firstLine="0"/>
        <w:textAlignment w:val="auto"/>
        <w:outlineLvl w:val="1"/>
        <w:rPr>
          <w:rFonts w:eastAsia="MS Mincho"/>
          <w:b/>
          <w:bCs/>
          <w:i/>
          <w:sz w:val="20"/>
          <w:szCs w:val="20"/>
          <w:lang w:val="en-US"/>
        </w:rPr>
      </w:pPr>
      <w:r w:rsidRPr="00AC57EA">
        <w:rPr>
          <w:rFonts w:eastAsia="MS Mincho"/>
          <w:b/>
          <w:bCs/>
          <w:i/>
          <w:sz w:val="20"/>
          <w:szCs w:val="20"/>
          <w:lang w:val="en-US"/>
        </w:rPr>
        <w:t>Compensation</w:t>
      </w:r>
    </w:p>
    <w:p w14:paraId="036B5A28" w14:textId="77777777" w:rsidR="009D661E" w:rsidRPr="00AC57EA" w:rsidRDefault="009D661E" w:rsidP="009D661E">
      <w:pPr>
        <w:spacing w:line="240" w:lineRule="auto"/>
        <w:ind w:left="142"/>
        <w:rPr>
          <w:sz w:val="20"/>
          <w:szCs w:val="20"/>
          <w:lang w:val="en-US"/>
        </w:rPr>
      </w:pPr>
    </w:p>
    <w:p w14:paraId="486E516D" w14:textId="57BDB0ED" w:rsidR="009D661E" w:rsidRPr="00AC57EA" w:rsidRDefault="00B7258C" w:rsidP="009D661E">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sz w:val="20"/>
          <w:szCs w:val="20"/>
          <w:lang w:val="en-US"/>
        </w:rPr>
        <w:t xml:space="preserve">The </w:t>
      </w:r>
      <w:r w:rsidRPr="00AC57EA">
        <w:rPr>
          <w:b/>
          <w:bCs/>
          <w:i/>
          <w:iCs/>
          <w:sz w:val="20"/>
          <w:szCs w:val="20"/>
          <w:lang w:val="en-US"/>
        </w:rPr>
        <w:t>Commission</w:t>
      </w:r>
      <w:r w:rsidR="009D661E" w:rsidRPr="00AC57EA">
        <w:rPr>
          <w:sz w:val="20"/>
          <w:szCs w:val="20"/>
          <w:lang w:val="en-US"/>
        </w:rPr>
        <w:t xml:space="preserve"> </w:t>
      </w:r>
      <w:r w:rsidR="0027602B" w:rsidRPr="00AC57EA">
        <w:rPr>
          <w:sz w:val="20"/>
          <w:szCs w:val="20"/>
          <w:lang w:val="en-US"/>
        </w:rPr>
        <w:t>asked</w:t>
      </w:r>
      <w:r w:rsidR="009D661E" w:rsidRPr="00AC57EA">
        <w:rPr>
          <w:sz w:val="20"/>
          <w:szCs w:val="20"/>
          <w:lang w:val="en-US"/>
        </w:rPr>
        <w:t xml:space="preserve"> </w:t>
      </w:r>
      <w:r w:rsidRPr="00AC57EA">
        <w:rPr>
          <w:sz w:val="20"/>
          <w:szCs w:val="20"/>
          <w:lang w:val="en-US"/>
        </w:rPr>
        <w:t>the Court</w:t>
      </w:r>
      <w:r w:rsidR="009D661E" w:rsidRPr="00AC57EA">
        <w:rPr>
          <w:sz w:val="20"/>
          <w:szCs w:val="20"/>
          <w:lang w:val="en-US"/>
        </w:rPr>
        <w:t xml:space="preserve">, </w:t>
      </w:r>
      <w:r w:rsidR="0027602B" w:rsidRPr="00AC57EA">
        <w:rPr>
          <w:sz w:val="20"/>
          <w:szCs w:val="20"/>
          <w:lang w:val="en-US"/>
        </w:rPr>
        <w:t xml:space="preserve">in general terms, to order the State to </w:t>
      </w:r>
      <w:r w:rsidR="007C5878" w:rsidRPr="00AC57EA">
        <w:rPr>
          <w:sz w:val="20"/>
          <w:szCs w:val="20"/>
          <w:lang w:val="en-US"/>
        </w:rPr>
        <w:t xml:space="preserve">provide </w:t>
      </w:r>
      <w:r w:rsidR="0027602B" w:rsidRPr="00AC57EA">
        <w:rPr>
          <w:sz w:val="20"/>
          <w:szCs w:val="20"/>
          <w:lang w:val="en-US"/>
        </w:rPr>
        <w:t>comprehensive</w:t>
      </w:r>
      <w:r w:rsidR="007C5878" w:rsidRPr="00AC57EA">
        <w:rPr>
          <w:sz w:val="20"/>
          <w:szCs w:val="20"/>
          <w:lang w:val="en-US"/>
        </w:rPr>
        <w:t xml:space="preserve"> pecuniary and non-pecuniary</w:t>
      </w:r>
      <w:r w:rsidR="0027602B" w:rsidRPr="00AC57EA">
        <w:rPr>
          <w:sz w:val="20"/>
          <w:szCs w:val="20"/>
          <w:lang w:val="en-US"/>
        </w:rPr>
        <w:t xml:space="preserve"> reparation </w:t>
      </w:r>
      <w:r w:rsidR="007C5878" w:rsidRPr="00AC57EA">
        <w:rPr>
          <w:sz w:val="20"/>
          <w:szCs w:val="20"/>
          <w:lang w:val="en-US"/>
        </w:rPr>
        <w:t xml:space="preserve">for the human rights violations declared in its </w:t>
      </w:r>
      <w:r w:rsidR="00EC52D7" w:rsidRPr="00AC57EA">
        <w:rPr>
          <w:sz w:val="20"/>
          <w:szCs w:val="20"/>
          <w:lang w:val="en-US"/>
        </w:rPr>
        <w:t>Merits Report</w:t>
      </w:r>
      <w:r w:rsidR="007C5878" w:rsidRPr="00AC57EA">
        <w:rPr>
          <w:sz w:val="20"/>
          <w:szCs w:val="20"/>
          <w:lang w:val="en-US"/>
        </w:rPr>
        <w:t>.</w:t>
      </w:r>
    </w:p>
    <w:p w14:paraId="4B369279" w14:textId="77777777" w:rsidR="009D661E" w:rsidRPr="00AC57EA" w:rsidRDefault="009D661E" w:rsidP="009D661E">
      <w:pPr>
        <w:tabs>
          <w:tab w:val="left" w:pos="567"/>
        </w:tabs>
        <w:spacing w:line="240" w:lineRule="auto"/>
        <w:rPr>
          <w:rFonts w:eastAsia="Calibri"/>
          <w:b/>
          <w:i/>
          <w:sz w:val="20"/>
          <w:szCs w:val="20"/>
          <w:lang w:val="en-US"/>
        </w:rPr>
      </w:pPr>
    </w:p>
    <w:p w14:paraId="079DF790" w14:textId="6D599B05" w:rsidR="009D661E" w:rsidRPr="00AC57EA" w:rsidRDefault="00EC52D7" w:rsidP="009D661E">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9D661E" w:rsidRPr="00AC57EA">
        <w:rPr>
          <w:rFonts w:eastAsia="Verdana" w:cs="Verdana"/>
          <w:sz w:val="20"/>
          <w:szCs w:val="20"/>
          <w:lang w:val="en-US"/>
        </w:rPr>
        <w:t xml:space="preserve"> a</w:t>
      </w:r>
      <w:r w:rsidR="007C5878" w:rsidRPr="00AC57EA">
        <w:rPr>
          <w:rFonts w:eastAsia="Verdana" w:cs="Verdana"/>
          <w:sz w:val="20"/>
          <w:szCs w:val="20"/>
          <w:lang w:val="en-US"/>
        </w:rPr>
        <w:t xml:space="preserve">rgued, in general terms, that the reparations requested by </w:t>
      </w:r>
      <w:r w:rsidR="00171E27" w:rsidRPr="00AC57EA">
        <w:rPr>
          <w:rFonts w:eastAsia="Verdana" w:cs="Verdana"/>
          <w:sz w:val="20"/>
          <w:szCs w:val="20"/>
          <w:lang w:val="en-US"/>
        </w:rPr>
        <w:t>the representatives</w:t>
      </w:r>
      <w:r w:rsidR="009D661E" w:rsidRPr="00AC57EA">
        <w:rPr>
          <w:rFonts w:eastAsia="Verdana" w:cs="Verdana"/>
          <w:sz w:val="20"/>
          <w:szCs w:val="20"/>
          <w:lang w:val="en-US"/>
        </w:rPr>
        <w:t xml:space="preserve"> </w:t>
      </w:r>
      <w:r w:rsidR="007C5878" w:rsidRPr="00AC57EA">
        <w:rPr>
          <w:rFonts w:eastAsia="Verdana" w:cs="Verdana"/>
          <w:sz w:val="20"/>
          <w:szCs w:val="20"/>
          <w:lang w:val="en-US"/>
        </w:rPr>
        <w:t xml:space="preserve">were exceedingly high and sought enrichment, rather than compensation. It therefore asked the Court to take into account the economic situation of Nicaragua. It added that the sum requested by </w:t>
      </w:r>
      <w:r w:rsidR="00171E27" w:rsidRPr="00AC57EA">
        <w:rPr>
          <w:rFonts w:eastAsia="Verdana" w:cs="Verdana"/>
          <w:bCs/>
          <w:sz w:val="20"/>
          <w:szCs w:val="20"/>
          <w:lang w:val="en-US"/>
        </w:rPr>
        <w:t>the representatives</w:t>
      </w:r>
      <w:r w:rsidR="009D661E" w:rsidRPr="00AC57EA">
        <w:rPr>
          <w:rFonts w:eastAsia="Verdana" w:cs="Verdana"/>
          <w:bCs/>
          <w:sz w:val="20"/>
          <w:szCs w:val="20"/>
          <w:lang w:val="en-US"/>
        </w:rPr>
        <w:t xml:space="preserve"> </w:t>
      </w:r>
      <w:r w:rsidR="007C5878" w:rsidRPr="00AC57EA">
        <w:rPr>
          <w:rFonts w:eastAsia="Verdana" w:cs="Verdana"/>
          <w:bCs/>
          <w:sz w:val="20"/>
          <w:szCs w:val="20"/>
          <w:lang w:val="en-US"/>
        </w:rPr>
        <w:t>was not consonant with the amounts established by the Court in other more serious cases</w:t>
      </w:r>
      <w:r w:rsidR="001C0BD0" w:rsidRPr="00AC57EA">
        <w:rPr>
          <w:rFonts w:eastAsia="Verdana" w:cs="Verdana"/>
          <w:bCs/>
          <w:sz w:val="20"/>
          <w:szCs w:val="20"/>
          <w:lang w:val="en-US"/>
        </w:rPr>
        <w:t>.</w:t>
      </w:r>
    </w:p>
    <w:p w14:paraId="522F0D5A" w14:textId="77777777" w:rsidR="009D661E" w:rsidRPr="00AC57EA" w:rsidRDefault="009D661E" w:rsidP="009D661E">
      <w:pPr>
        <w:tabs>
          <w:tab w:val="left" w:pos="1200"/>
        </w:tabs>
        <w:spacing w:line="240" w:lineRule="auto"/>
        <w:ind w:left="142"/>
        <w:rPr>
          <w:sz w:val="20"/>
          <w:szCs w:val="20"/>
          <w:lang w:val="en-US"/>
        </w:rPr>
      </w:pPr>
      <w:r w:rsidRPr="00AC57EA">
        <w:rPr>
          <w:sz w:val="20"/>
          <w:szCs w:val="20"/>
          <w:lang w:val="en-US"/>
        </w:rPr>
        <w:tab/>
      </w:r>
    </w:p>
    <w:p w14:paraId="72201ED1" w14:textId="359AC988" w:rsidR="009D661E" w:rsidRPr="00AC57EA" w:rsidRDefault="009D661E" w:rsidP="009D661E">
      <w:pPr>
        <w:pStyle w:val="Ttulo2"/>
        <w:tabs>
          <w:tab w:val="left" w:pos="1843"/>
        </w:tabs>
        <w:spacing w:before="0" w:line="240" w:lineRule="auto"/>
        <w:ind w:left="1134"/>
        <w:rPr>
          <w:rFonts w:ascii="Verdana" w:hAnsi="Verdana"/>
          <w:b w:val="0"/>
          <w:i/>
          <w:color w:val="auto"/>
          <w:sz w:val="20"/>
          <w:szCs w:val="20"/>
          <w:lang w:val="en-US"/>
        </w:rPr>
      </w:pPr>
      <w:bookmarkStart w:id="163" w:name="_Toc495658702"/>
      <w:bookmarkStart w:id="164" w:name="_Toc476390742"/>
      <w:bookmarkStart w:id="165" w:name="_Toc514172670"/>
      <w:r w:rsidRPr="00AC57EA">
        <w:rPr>
          <w:rFonts w:ascii="Verdana" w:hAnsi="Verdana"/>
          <w:b w:val="0"/>
          <w:i/>
          <w:color w:val="auto"/>
          <w:sz w:val="20"/>
          <w:szCs w:val="20"/>
          <w:lang w:val="en-US"/>
        </w:rPr>
        <w:t>D.1</w:t>
      </w:r>
      <w:r w:rsidRPr="00AC57EA">
        <w:rPr>
          <w:rFonts w:ascii="Verdana" w:hAnsi="Verdana"/>
          <w:b w:val="0"/>
          <w:i/>
          <w:color w:val="auto"/>
          <w:sz w:val="20"/>
          <w:szCs w:val="20"/>
          <w:lang w:val="en-US"/>
        </w:rPr>
        <w:tab/>
      </w:r>
      <w:r w:rsidR="007E72AE" w:rsidRPr="00AC57EA">
        <w:rPr>
          <w:rFonts w:ascii="Verdana" w:hAnsi="Verdana"/>
          <w:b w:val="0"/>
          <w:i/>
          <w:color w:val="auto"/>
          <w:sz w:val="20"/>
          <w:szCs w:val="20"/>
          <w:lang w:val="en-US"/>
        </w:rPr>
        <w:t>Pecuniary damage</w:t>
      </w:r>
      <w:bookmarkEnd w:id="163"/>
      <w:bookmarkEnd w:id="164"/>
      <w:bookmarkEnd w:id="165"/>
    </w:p>
    <w:p w14:paraId="554B320F" w14:textId="77777777" w:rsidR="009D661E" w:rsidRPr="00AC57EA" w:rsidRDefault="009D661E" w:rsidP="009D661E">
      <w:pPr>
        <w:tabs>
          <w:tab w:val="left" w:pos="2330"/>
        </w:tabs>
        <w:autoSpaceDE w:val="0"/>
        <w:autoSpaceDN w:val="0"/>
        <w:spacing w:line="240" w:lineRule="auto"/>
        <w:outlineLvl w:val="2"/>
        <w:rPr>
          <w:rFonts w:eastAsia="Calibri"/>
          <w:b/>
          <w:i/>
          <w:sz w:val="20"/>
          <w:szCs w:val="20"/>
          <w:lang w:val="en-US"/>
        </w:rPr>
      </w:pPr>
      <w:r w:rsidRPr="00AC57EA">
        <w:rPr>
          <w:rFonts w:eastAsia="Calibri"/>
          <w:b/>
          <w:i/>
          <w:sz w:val="20"/>
          <w:szCs w:val="20"/>
          <w:lang w:val="en-US"/>
        </w:rPr>
        <w:tab/>
      </w:r>
    </w:p>
    <w:p w14:paraId="40CC4649" w14:textId="219CF7A5" w:rsidR="009D661E" w:rsidRPr="00AC57EA" w:rsidRDefault="007C5878" w:rsidP="009D661E">
      <w:pPr>
        <w:numPr>
          <w:ilvl w:val="0"/>
          <w:numId w:val="2"/>
        </w:numPr>
        <w:tabs>
          <w:tab w:val="left" w:pos="567"/>
          <w:tab w:val="num" w:pos="5057"/>
        </w:tabs>
        <w:spacing w:line="240" w:lineRule="auto"/>
        <w:ind w:left="0" w:firstLine="0"/>
        <w:textAlignment w:val="auto"/>
        <w:rPr>
          <w:rFonts w:eastAsia="MS Mincho"/>
          <w:bCs/>
          <w:sz w:val="20"/>
          <w:szCs w:val="20"/>
          <w:lang w:val="en-US" w:bidi="en-US"/>
        </w:rPr>
      </w:pPr>
      <w:r w:rsidRPr="00AC57EA">
        <w:rPr>
          <w:rFonts w:cs="Verdana"/>
          <w:bCs/>
          <w:iCs/>
          <w:sz w:val="20"/>
          <w:szCs w:val="20"/>
          <w:lang w:val="en-US"/>
        </w:rPr>
        <w:t>In its case law, t</w:t>
      </w:r>
      <w:r w:rsidR="00B7258C" w:rsidRPr="00AC57EA">
        <w:rPr>
          <w:rFonts w:cs="Verdana"/>
          <w:bCs/>
          <w:iCs/>
          <w:sz w:val="20"/>
          <w:szCs w:val="20"/>
          <w:lang w:val="en-US"/>
        </w:rPr>
        <w:t>he Court</w:t>
      </w:r>
      <w:r w:rsidR="009D661E" w:rsidRPr="00AC57EA">
        <w:rPr>
          <w:rFonts w:cs="Verdana"/>
          <w:bCs/>
          <w:i/>
          <w:iCs/>
          <w:sz w:val="20"/>
          <w:szCs w:val="20"/>
          <w:lang w:val="en-US"/>
        </w:rPr>
        <w:t xml:space="preserve"> </w:t>
      </w:r>
      <w:r w:rsidR="009D661E" w:rsidRPr="00AC57EA">
        <w:rPr>
          <w:rFonts w:cs="Verdana"/>
          <w:bCs/>
          <w:iCs/>
          <w:sz w:val="20"/>
          <w:szCs w:val="20"/>
          <w:lang w:val="en-US"/>
        </w:rPr>
        <w:t>ha</w:t>
      </w:r>
      <w:r w:rsidRPr="00AC57EA">
        <w:rPr>
          <w:rFonts w:cs="Verdana"/>
          <w:bCs/>
          <w:iCs/>
          <w:sz w:val="20"/>
          <w:szCs w:val="20"/>
          <w:lang w:val="en-US"/>
        </w:rPr>
        <w:t>s developed</w:t>
      </w:r>
      <w:r w:rsidR="009D661E" w:rsidRPr="00AC57EA">
        <w:rPr>
          <w:rFonts w:cs="Verdana"/>
          <w:bCs/>
          <w:iCs/>
          <w:sz w:val="20"/>
          <w:szCs w:val="20"/>
          <w:lang w:val="en-US"/>
        </w:rPr>
        <w:t xml:space="preserve"> </w:t>
      </w:r>
      <w:r w:rsidRPr="00AC57EA">
        <w:rPr>
          <w:rFonts w:cs="Verdana"/>
          <w:bCs/>
          <w:iCs/>
          <w:sz w:val="20"/>
          <w:szCs w:val="20"/>
          <w:lang w:val="en-US"/>
        </w:rPr>
        <w:t xml:space="preserve">the concept of </w:t>
      </w:r>
      <w:r w:rsidR="007E72AE" w:rsidRPr="00AC57EA">
        <w:rPr>
          <w:rFonts w:cs="Verdana"/>
          <w:bCs/>
          <w:iCs/>
          <w:sz w:val="20"/>
          <w:szCs w:val="20"/>
          <w:lang w:val="en-US"/>
        </w:rPr>
        <w:t>pecuniary damage</w:t>
      </w:r>
      <w:r w:rsidR="00171E27" w:rsidRPr="00AC57EA">
        <w:rPr>
          <w:rFonts w:cs="Verdana"/>
          <w:bCs/>
          <w:iCs/>
          <w:sz w:val="20"/>
          <w:szCs w:val="20"/>
          <w:lang w:val="en-US"/>
        </w:rPr>
        <w:t xml:space="preserve"> and </w:t>
      </w:r>
      <w:r w:rsidR="009D661E" w:rsidRPr="00AC57EA">
        <w:rPr>
          <w:rFonts w:cs="Verdana"/>
          <w:bCs/>
          <w:iCs/>
          <w:sz w:val="20"/>
          <w:szCs w:val="20"/>
          <w:lang w:val="en-US"/>
        </w:rPr>
        <w:t>ha</w:t>
      </w:r>
      <w:r w:rsidRPr="00AC57EA">
        <w:rPr>
          <w:rFonts w:cs="Verdana"/>
          <w:bCs/>
          <w:iCs/>
          <w:sz w:val="20"/>
          <w:szCs w:val="20"/>
          <w:lang w:val="en-US"/>
        </w:rPr>
        <w:t>s established that this supposes the loss of, or detriment to, the income of the victims, the expenses incurred as a result of the facts, and the consequences of a pecuniary nature that have a causal nexus with the facts of the case.</w:t>
      </w:r>
      <w:r w:rsidR="009D661E" w:rsidRPr="00AC57EA">
        <w:rPr>
          <w:rFonts w:eastAsia="MS Mincho"/>
          <w:bCs/>
          <w:sz w:val="20"/>
          <w:szCs w:val="20"/>
          <w:vertAlign w:val="superscript"/>
          <w:lang w:val="en-US" w:bidi="en-US"/>
        </w:rPr>
        <w:footnoteReference w:id="448"/>
      </w:r>
    </w:p>
    <w:p w14:paraId="77B13A61" w14:textId="77777777" w:rsidR="009D661E" w:rsidRPr="00AC57EA" w:rsidRDefault="009D661E" w:rsidP="009D661E">
      <w:pPr>
        <w:tabs>
          <w:tab w:val="left" w:pos="567"/>
        </w:tabs>
        <w:autoSpaceDE w:val="0"/>
        <w:autoSpaceDN w:val="0"/>
        <w:spacing w:line="240" w:lineRule="auto"/>
        <w:outlineLvl w:val="2"/>
        <w:rPr>
          <w:rFonts w:eastAsia="Calibri"/>
          <w:b/>
          <w:i/>
          <w:sz w:val="20"/>
          <w:szCs w:val="20"/>
          <w:lang w:val="en-US"/>
        </w:rPr>
      </w:pPr>
    </w:p>
    <w:p w14:paraId="65198F9A" w14:textId="37786F51" w:rsidR="009D661E" w:rsidRPr="00AC57EA" w:rsidRDefault="009D661E" w:rsidP="009D661E">
      <w:pPr>
        <w:spacing w:line="240" w:lineRule="auto"/>
        <w:ind w:left="1985"/>
        <w:rPr>
          <w:i/>
          <w:iCs/>
          <w:sz w:val="20"/>
          <w:szCs w:val="20"/>
          <w:lang w:val="en-US"/>
        </w:rPr>
      </w:pPr>
      <w:r w:rsidRPr="00AC57EA">
        <w:rPr>
          <w:i/>
          <w:iCs/>
          <w:sz w:val="20"/>
          <w:szCs w:val="20"/>
          <w:lang w:val="en-US"/>
        </w:rPr>
        <w:t xml:space="preserve">a) </w:t>
      </w:r>
      <w:r w:rsidR="00D2733C" w:rsidRPr="00AC57EA">
        <w:rPr>
          <w:i/>
          <w:iCs/>
          <w:sz w:val="20"/>
          <w:szCs w:val="20"/>
          <w:lang w:val="en-US"/>
        </w:rPr>
        <w:t>Indirect damage</w:t>
      </w:r>
    </w:p>
    <w:p w14:paraId="20A6E43C" w14:textId="7FC91A5A" w:rsidR="009D661E" w:rsidRPr="00AC57EA" w:rsidRDefault="009D661E" w:rsidP="00252E46">
      <w:pPr>
        <w:spacing w:line="240" w:lineRule="auto"/>
        <w:rPr>
          <w:i/>
          <w:iCs/>
          <w:sz w:val="20"/>
          <w:szCs w:val="20"/>
          <w:lang w:val="en-US"/>
        </w:rPr>
      </w:pPr>
    </w:p>
    <w:p w14:paraId="3D8E8ABE" w14:textId="31A3BB46" w:rsidR="009D661E" w:rsidRPr="00AC57EA" w:rsidRDefault="00171E27" w:rsidP="0083346A">
      <w:pPr>
        <w:numPr>
          <w:ilvl w:val="0"/>
          <w:numId w:val="2"/>
        </w:numPr>
        <w:tabs>
          <w:tab w:val="left" w:pos="567"/>
          <w:tab w:val="num" w:pos="5057"/>
        </w:tabs>
        <w:spacing w:line="240" w:lineRule="auto"/>
        <w:ind w:left="0" w:firstLine="0"/>
        <w:textAlignment w:val="auto"/>
        <w:rPr>
          <w:rFonts w:eastAsia="MS Mincho" w:cs="Tahoma"/>
          <w:b/>
          <w:sz w:val="20"/>
          <w:szCs w:val="20"/>
          <w:lang w:val="en-US"/>
        </w:rPr>
      </w:pPr>
      <w:r w:rsidRPr="00AC57EA">
        <w:rPr>
          <w:rFonts w:eastAsia="Verdana" w:cs="Verdana"/>
          <w:sz w:val="20"/>
          <w:szCs w:val="20"/>
          <w:lang w:val="en-US"/>
        </w:rPr>
        <w:t xml:space="preserve">The </w:t>
      </w:r>
      <w:r w:rsidRPr="00AC57EA">
        <w:rPr>
          <w:rFonts w:eastAsia="Verdana" w:cs="Verdana"/>
          <w:b/>
          <w:bCs/>
          <w:i/>
          <w:iCs/>
          <w:sz w:val="20"/>
          <w:szCs w:val="20"/>
          <w:lang w:val="en-US"/>
        </w:rPr>
        <w:t>representatives</w:t>
      </w:r>
      <w:r w:rsidR="009D661E" w:rsidRPr="00AC57EA">
        <w:rPr>
          <w:rFonts w:eastAsia="Verdana" w:cs="Verdana"/>
          <w:sz w:val="20"/>
          <w:szCs w:val="20"/>
          <w:lang w:val="en-US"/>
        </w:rPr>
        <w:t xml:space="preserve"> </w:t>
      </w:r>
      <w:r w:rsidR="007C5878" w:rsidRPr="00AC57EA">
        <w:rPr>
          <w:rFonts w:eastAsia="Verdana" w:cs="Verdana"/>
          <w:sz w:val="20"/>
          <w:szCs w:val="20"/>
          <w:lang w:val="en-US"/>
        </w:rPr>
        <w:t>asked</w:t>
      </w:r>
      <w:r w:rsidR="009D661E" w:rsidRPr="00AC57EA">
        <w:rPr>
          <w:rFonts w:eastAsia="Verdana" w:cs="Verdana"/>
          <w:sz w:val="20"/>
          <w:szCs w:val="20"/>
          <w:lang w:val="en-US"/>
        </w:rPr>
        <w:t xml:space="preserve"> </w:t>
      </w:r>
      <w:r w:rsidR="00B7258C" w:rsidRPr="00AC57EA">
        <w:rPr>
          <w:rFonts w:eastAsia="Verdana" w:cs="Verdana"/>
          <w:sz w:val="20"/>
          <w:szCs w:val="20"/>
          <w:lang w:val="en-US"/>
        </w:rPr>
        <w:t>the Court</w:t>
      </w:r>
      <w:r w:rsidR="009D661E" w:rsidRPr="00AC57EA">
        <w:rPr>
          <w:rFonts w:eastAsia="Verdana" w:cs="Verdana"/>
          <w:sz w:val="20"/>
          <w:szCs w:val="20"/>
          <w:lang w:val="en-US"/>
        </w:rPr>
        <w:t xml:space="preserve"> </w:t>
      </w:r>
      <w:r w:rsidR="0083346A" w:rsidRPr="00AC57EA">
        <w:rPr>
          <w:rFonts w:eastAsia="Verdana" w:cs="Verdana"/>
          <w:sz w:val="20"/>
          <w:szCs w:val="20"/>
          <w:lang w:val="en-US"/>
        </w:rPr>
        <w:t>t</w:t>
      </w:r>
      <w:r w:rsidR="009D661E" w:rsidRPr="00AC57EA">
        <w:rPr>
          <w:rFonts w:eastAsia="Verdana" w:cs="Verdana"/>
          <w:sz w:val="20"/>
          <w:szCs w:val="20"/>
          <w:lang w:val="en-US"/>
        </w:rPr>
        <w:t>o</w:t>
      </w:r>
      <w:r w:rsidR="0083346A" w:rsidRPr="00AC57EA">
        <w:rPr>
          <w:rFonts w:eastAsia="Verdana" w:cs="Verdana"/>
          <w:sz w:val="20"/>
          <w:szCs w:val="20"/>
          <w:lang w:val="en-US"/>
        </w:rPr>
        <w:t xml:space="preserve"> order the State to pay the victim or her representatives, under the heading of </w:t>
      </w:r>
      <w:r w:rsidR="00D2733C" w:rsidRPr="00AC57EA">
        <w:rPr>
          <w:rFonts w:eastAsia="Verdana" w:cs="Verdana"/>
          <w:sz w:val="20"/>
          <w:szCs w:val="20"/>
          <w:lang w:val="en-US"/>
        </w:rPr>
        <w:t>indirect damage</w:t>
      </w:r>
      <w:r w:rsidR="009D661E" w:rsidRPr="00AC57EA">
        <w:rPr>
          <w:rFonts w:eastAsia="Verdana" w:cs="Verdana"/>
          <w:sz w:val="20"/>
          <w:szCs w:val="20"/>
          <w:lang w:val="en-US"/>
        </w:rPr>
        <w:t>,</w:t>
      </w:r>
      <w:r w:rsidR="0083346A" w:rsidRPr="00AC57EA">
        <w:rPr>
          <w:rFonts w:eastAsia="Verdana" w:cs="Verdana"/>
          <w:sz w:val="20"/>
          <w:szCs w:val="20"/>
          <w:lang w:val="en-US"/>
        </w:rPr>
        <w:t xml:space="preserve"> all the direct and immediate expenditure they had incur</w:t>
      </w:r>
      <w:r w:rsidR="009C6DF3" w:rsidRPr="00AC57EA">
        <w:rPr>
          <w:rFonts w:eastAsia="Verdana" w:cs="Verdana"/>
          <w:sz w:val="20"/>
          <w:szCs w:val="20"/>
          <w:lang w:val="en-US"/>
        </w:rPr>
        <w:t>red</w:t>
      </w:r>
      <w:r w:rsidR="0083346A" w:rsidRPr="00AC57EA">
        <w:rPr>
          <w:rFonts w:eastAsia="Verdana" w:cs="Verdana"/>
          <w:sz w:val="20"/>
          <w:szCs w:val="20"/>
          <w:lang w:val="en-US"/>
        </w:rPr>
        <w:t xml:space="preserve"> as a result of the wrongful act committed; </w:t>
      </w:r>
      <w:r w:rsidR="009C6DF3" w:rsidRPr="00AC57EA">
        <w:rPr>
          <w:rFonts w:eastAsia="Verdana" w:cs="Verdana"/>
          <w:sz w:val="20"/>
          <w:szCs w:val="20"/>
          <w:lang w:val="en-US"/>
        </w:rPr>
        <w:t>in other words</w:t>
      </w:r>
      <w:r w:rsidR="0083346A" w:rsidRPr="00AC57EA">
        <w:rPr>
          <w:rFonts w:eastAsia="Verdana" w:cs="Verdana"/>
          <w:sz w:val="20"/>
          <w:szCs w:val="20"/>
          <w:lang w:val="en-US"/>
        </w:rPr>
        <w:t xml:space="preserve">, the expenses incurred by V.P.C., both in Nicaragua and in the United State, owing to the medical care </w:t>
      </w:r>
      <w:r w:rsidR="009C6DF3" w:rsidRPr="00AC57EA">
        <w:rPr>
          <w:rFonts w:eastAsia="Verdana" w:cs="Verdana"/>
          <w:sz w:val="20"/>
          <w:szCs w:val="20"/>
          <w:lang w:val="en-US"/>
        </w:rPr>
        <w:t>required for</w:t>
      </w:r>
      <w:r w:rsidR="0083346A" w:rsidRPr="00AC57EA">
        <w:rPr>
          <w:rFonts w:eastAsia="Verdana" w:cs="Verdana"/>
          <w:sz w:val="20"/>
          <w:szCs w:val="20"/>
          <w:lang w:val="en-US"/>
        </w:rPr>
        <w:t xml:space="preserve"> the physical harm and </w:t>
      </w:r>
      <w:r w:rsidR="009C6DF3" w:rsidRPr="00AC57EA">
        <w:rPr>
          <w:rFonts w:eastAsia="Verdana" w:cs="Verdana"/>
          <w:sz w:val="20"/>
          <w:szCs w:val="20"/>
          <w:lang w:val="en-US"/>
        </w:rPr>
        <w:t>ailments</w:t>
      </w:r>
      <w:r w:rsidR="0083346A" w:rsidRPr="00AC57EA">
        <w:rPr>
          <w:rFonts w:eastAsia="Verdana" w:cs="Verdana"/>
          <w:sz w:val="20"/>
          <w:szCs w:val="20"/>
          <w:lang w:val="en-US"/>
        </w:rPr>
        <w:t xml:space="preserve"> suffered by V.R.P.</w:t>
      </w:r>
      <w:r w:rsidR="009C6DF3" w:rsidRPr="00AC57EA">
        <w:rPr>
          <w:rFonts w:eastAsia="Verdana" w:cs="Verdana"/>
          <w:sz w:val="20"/>
          <w:szCs w:val="20"/>
          <w:lang w:val="en-US"/>
        </w:rPr>
        <w:t>,</w:t>
      </w:r>
      <w:r w:rsidR="0083346A" w:rsidRPr="00AC57EA">
        <w:rPr>
          <w:rFonts w:eastAsia="Verdana" w:cs="Verdana"/>
          <w:sz w:val="20"/>
          <w:szCs w:val="20"/>
          <w:lang w:val="en-US"/>
        </w:rPr>
        <w:t xml:space="preserve"> and </w:t>
      </w:r>
      <w:r w:rsidR="009C6DF3" w:rsidRPr="00AC57EA">
        <w:rPr>
          <w:rFonts w:eastAsia="Verdana" w:cs="Verdana"/>
          <w:sz w:val="20"/>
          <w:szCs w:val="20"/>
          <w:lang w:val="en-US"/>
        </w:rPr>
        <w:t xml:space="preserve">also </w:t>
      </w:r>
      <w:r w:rsidR="0083346A" w:rsidRPr="00AC57EA">
        <w:rPr>
          <w:rFonts w:eastAsia="Verdana" w:cs="Verdana"/>
          <w:sz w:val="20"/>
          <w:szCs w:val="20"/>
          <w:lang w:val="en-US"/>
        </w:rPr>
        <w:t>the mental harm</w:t>
      </w:r>
      <w:r w:rsidR="009C6DF3" w:rsidRPr="00AC57EA">
        <w:rPr>
          <w:rFonts w:eastAsia="Verdana" w:cs="Verdana"/>
          <w:sz w:val="20"/>
          <w:szCs w:val="20"/>
          <w:lang w:val="en-US"/>
        </w:rPr>
        <w:t xml:space="preserve"> (expenses for surgical procedures, therapies and medication)</w:t>
      </w:r>
      <w:r w:rsidR="0083346A" w:rsidRPr="00AC57EA">
        <w:rPr>
          <w:rFonts w:eastAsia="Verdana" w:cs="Verdana"/>
          <w:sz w:val="20"/>
          <w:szCs w:val="20"/>
          <w:lang w:val="en-US"/>
        </w:rPr>
        <w:t xml:space="preserve">. </w:t>
      </w:r>
      <w:r w:rsidR="009C6DF3" w:rsidRPr="00AC57EA">
        <w:rPr>
          <w:rFonts w:eastAsia="Verdana" w:cs="Verdana"/>
          <w:sz w:val="20"/>
          <w:szCs w:val="20"/>
          <w:lang w:val="en-US"/>
        </w:rPr>
        <w:t>U</w:t>
      </w:r>
      <w:r w:rsidR="0083346A" w:rsidRPr="00AC57EA">
        <w:rPr>
          <w:rFonts w:eastAsia="Verdana" w:cs="Verdana"/>
          <w:sz w:val="20"/>
          <w:szCs w:val="20"/>
          <w:lang w:val="en-US"/>
        </w:rPr>
        <w:t>nder this heading</w:t>
      </w:r>
      <w:r w:rsidR="009C6DF3" w:rsidRPr="00AC57EA">
        <w:rPr>
          <w:rFonts w:eastAsia="Verdana" w:cs="Verdana"/>
          <w:sz w:val="20"/>
          <w:szCs w:val="20"/>
          <w:lang w:val="en-US"/>
        </w:rPr>
        <w:t>, the representatives included</w:t>
      </w:r>
      <w:r w:rsidR="0083346A" w:rsidRPr="00AC57EA">
        <w:rPr>
          <w:rFonts w:eastAsia="Verdana" w:cs="Verdana"/>
          <w:sz w:val="20"/>
          <w:szCs w:val="20"/>
          <w:lang w:val="en-US"/>
        </w:rPr>
        <w:t xml:space="preserve"> the judicial expenses incurred owing to the complaint filed against the person V.R.P. indicated was her aggressor, which include</w:t>
      </w:r>
      <w:r w:rsidR="00960A57" w:rsidRPr="00AC57EA">
        <w:rPr>
          <w:rFonts w:eastAsia="Verdana" w:cs="Verdana"/>
          <w:sz w:val="20"/>
          <w:szCs w:val="20"/>
          <w:lang w:val="en-US"/>
        </w:rPr>
        <w:t>d</w:t>
      </w:r>
      <w:r w:rsidR="0083346A" w:rsidRPr="00AC57EA">
        <w:rPr>
          <w:rFonts w:eastAsia="Verdana" w:cs="Verdana"/>
          <w:sz w:val="20"/>
          <w:szCs w:val="20"/>
          <w:lang w:val="en-US"/>
        </w:rPr>
        <w:t xml:space="preserve"> expenditure for travel, copies of documents, payment of judicial taxes and fees in the domestic sphere. These expenses were increased by the need to file actions owing to the irregularities in the proceedings, </w:t>
      </w:r>
      <w:r w:rsidR="00960A57" w:rsidRPr="00AC57EA">
        <w:rPr>
          <w:rFonts w:eastAsia="Verdana" w:cs="Verdana"/>
          <w:sz w:val="20"/>
          <w:szCs w:val="20"/>
          <w:lang w:val="en-US"/>
        </w:rPr>
        <w:t xml:space="preserve">and </w:t>
      </w:r>
      <w:r w:rsidR="0083346A" w:rsidRPr="00AC57EA">
        <w:rPr>
          <w:rFonts w:eastAsia="Verdana" w:cs="Verdana"/>
          <w:sz w:val="20"/>
          <w:szCs w:val="20"/>
          <w:lang w:val="en-US"/>
        </w:rPr>
        <w:t>even having to resort to the inter-American system. The representatives also indicated that V.P.C. had to cover the costs of the move to the United States and of the asylum procedure in that country for her two daughters and herself.</w:t>
      </w:r>
      <w:r w:rsidR="0083346A" w:rsidRPr="00AC57EA">
        <w:rPr>
          <w:rFonts w:eastAsia="MS Mincho" w:cs="Tahoma"/>
          <w:b/>
          <w:sz w:val="20"/>
          <w:szCs w:val="20"/>
          <w:lang w:val="en-US"/>
        </w:rPr>
        <w:t xml:space="preserve"> </w:t>
      </w:r>
      <w:r w:rsidRPr="00AC57EA">
        <w:rPr>
          <w:rFonts w:eastAsia="Verdana" w:cs="Verdana"/>
          <w:sz w:val="20"/>
          <w:szCs w:val="20"/>
          <w:lang w:val="en-US"/>
        </w:rPr>
        <w:t>The representatives</w:t>
      </w:r>
      <w:r w:rsidR="002E2199" w:rsidRPr="00AC57EA">
        <w:rPr>
          <w:rFonts w:eastAsia="Verdana" w:cs="Verdana"/>
          <w:sz w:val="20"/>
          <w:szCs w:val="20"/>
          <w:lang w:val="en-US"/>
        </w:rPr>
        <w:t xml:space="preserve"> indica</w:t>
      </w:r>
      <w:r w:rsidR="0083346A" w:rsidRPr="00AC57EA">
        <w:rPr>
          <w:rFonts w:eastAsia="Verdana" w:cs="Verdana"/>
          <w:sz w:val="20"/>
          <w:szCs w:val="20"/>
          <w:lang w:val="en-US"/>
        </w:rPr>
        <w:t>ted that s</w:t>
      </w:r>
      <w:r w:rsidR="00960A57" w:rsidRPr="00AC57EA">
        <w:rPr>
          <w:rFonts w:eastAsia="Verdana" w:cs="Verdana"/>
          <w:sz w:val="20"/>
          <w:szCs w:val="20"/>
          <w:lang w:val="en-US"/>
        </w:rPr>
        <w:t>ome</w:t>
      </w:r>
      <w:r w:rsidR="0083346A" w:rsidRPr="00AC57EA">
        <w:rPr>
          <w:rFonts w:eastAsia="Verdana" w:cs="Verdana"/>
          <w:sz w:val="20"/>
          <w:szCs w:val="20"/>
          <w:lang w:val="en-US"/>
        </w:rPr>
        <w:t xml:space="preserve"> of these expenses were substantiated by documents and invoices and provided documentation on hospital expenses amounting to</w:t>
      </w:r>
      <w:r w:rsidR="0083346A" w:rsidRPr="00AC57EA">
        <w:rPr>
          <w:rFonts w:eastAsia="MS Mincho" w:cs="Tahoma"/>
          <w:b/>
          <w:sz w:val="20"/>
          <w:szCs w:val="20"/>
          <w:lang w:val="en-US"/>
        </w:rPr>
        <w:t xml:space="preserve"> </w:t>
      </w:r>
      <w:r w:rsidR="009D661E" w:rsidRPr="00AC57EA">
        <w:rPr>
          <w:rFonts w:eastAsia="Verdana" w:cs="Verdana"/>
          <w:sz w:val="20"/>
          <w:szCs w:val="20"/>
          <w:lang w:val="en-US"/>
        </w:rPr>
        <w:t>US$2</w:t>
      </w:r>
      <w:r w:rsidR="00BB0638" w:rsidRPr="00AC57EA">
        <w:rPr>
          <w:rFonts w:eastAsia="Verdana" w:cs="Verdana"/>
          <w:sz w:val="20"/>
          <w:szCs w:val="20"/>
          <w:lang w:val="en-US"/>
        </w:rPr>
        <w:t>,</w:t>
      </w:r>
      <w:r w:rsidR="009D661E" w:rsidRPr="00AC57EA">
        <w:rPr>
          <w:rFonts w:eastAsia="Verdana" w:cs="Verdana"/>
          <w:sz w:val="20"/>
          <w:szCs w:val="20"/>
          <w:lang w:val="en-US"/>
        </w:rPr>
        <w:t>023</w:t>
      </w:r>
      <w:r w:rsidR="00BB0638" w:rsidRPr="00AC57EA">
        <w:rPr>
          <w:rFonts w:eastAsia="Verdana" w:cs="Verdana"/>
          <w:sz w:val="20"/>
          <w:szCs w:val="20"/>
          <w:lang w:val="en-US"/>
        </w:rPr>
        <w:t>.</w:t>
      </w:r>
      <w:r w:rsidR="009D661E" w:rsidRPr="00AC57EA">
        <w:rPr>
          <w:rFonts w:eastAsia="Verdana" w:cs="Verdana"/>
          <w:sz w:val="20"/>
          <w:szCs w:val="20"/>
          <w:lang w:val="en-US"/>
        </w:rPr>
        <w:t>94</w:t>
      </w:r>
      <w:r w:rsidRPr="00AC57EA">
        <w:rPr>
          <w:rFonts w:eastAsia="Verdana" w:cs="Verdana"/>
          <w:sz w:val="20"/>
          <w:szCs w:val="20"/>
          <w:lang w:val="en-US"/>
        </w:rPr>
        <w:t xml:space="preserve"> and</w:t>
      </w:r>
      <w:r w:rsidR="00405954" w:rsidRPr="00AC57EA">
        <w:rPr>
          <w:rFonts w:eastAsia="Verdana" w:cs="Verdana"/>
          <w:sz w:val="20"/>
          <w:szCs w:val="20"/>
          <w:lang w:val="en-US"/>
        </w:rPr>
        <w:t xml:space="preserve"> pharmaceutical expenses amounting to </w:t>
      </w:r>
      <w:r w:rsidR="009D661E" w:rsidRPr="00AC57EA">
        <w:rPr>
          <w:rFonts w:eastAsia="Verdana" w:cs="Verdana"/>
          <w:sz w:val="20"/>
          <w:szCs w:val="20"/>
          <w:lang w:val="en-US"/>
        </w:rPr>
        <w:t>US$281</w:t>
      </w:r>
      <w:r w:rsidR="00BB0638" w:rsidRPr="00AC57EA">
        <w:rPr>
          <w:rFonts w:eastAsia="Verdana" w:cs="Verdana"/>
          <w:sz w:val="20"/>
          <w:szCs w:val="20"/>
          <w:lang w:val="en-US"/>
        </w:rPr>
        <w:t>.</w:t>
      </w:r>
      <w:r w:rsidR="009D661E" w:rsidRPr="00AC57EA">
        <w:rPr>
          <w:rFonts w:eastAsia="Verdana" w:cs="Verdana"/>
          <w:sz w:val="20"/>
          <w:szCs w:val="20"/>
          <w:lang w:val="en-US"/>
        </w:rPr>
        <w:t xml:space="preserve">50, </w:t>
      </w:r>
      <w:r w:rsidR="00BB0638" w:rsidRPr="00AC57EA">
        <w:rPr>
          <w:rFonts w:eastAsia="Verdana" w:cs="Verdana"/>
          <w:sz w:val="20"/>
          <w:szCs w:val="20"/>
          <w:lang w:val="en-US"/>
        </w:rPr>
        <w:t>for a total of</w:t>
      </w:r>
      <w:r w:rsidR="009D661E" w:rsidRPr="00AC57EA">
        <w:rPr>
          <w:rFonts w:eastAsia="Verdana" w:cs="Verdana"/>
          <w:sz w:val="20"/>
          <w:szCs w:val="20"/>
          <w:lang w:val="en-US"/>
        </w:rPr>
        <w:t xml:space="preserve"> US$2</w:t>
      </w:r>
      <w:r w:rsidR="00BB0638" w:rsidRPr="00AC57EA">
        <w:rPr>
          <w:rFonts w:eastAsia="Verdana" w:cs="Verdana"/>
          <w:sz w:val="20"/>
          <w:szCs w:val="20"/>
          <w:lang w:val="en-US"/>
        </w:rPr>
        <w:t>,</w:t>
      </w:r>
      <w:r w:rsidR="009D661E" w:rsidRPr="00AC57EA">
        <w:rPr>
          <w:rFonts w:eastAsia="Verdana" w:cs="Verdana"/>
          <w:sz w:val="20"/>
          <w:szCs w:val="20"/>
          <w:lang w:val="en-US"/>
        </w:rPr>
        <w:t>305</w:t>
      </w:r>
      <w:r w:rsidR="00BB0638" w:rsidRPr="00AC57EA">
        <w:rPr>
          <w:rFonts w:eastAsia="MS Mincho" w:cs="Tahoma"/>
          <w:sz w:val="20"/>
          <w:szCs w:val="20"/>
          <w:lang w:val="en-US"/>
        </w:rPr>
        <w:t>.</w:t>
      </w:r>
      <w:r w:rsidR="009D661E" w:rsidRPr="00AC57EA">
        <w:rPr>
          <w:rFonts w:eastAsia="MS Mincho" w:cs="Tahoma"/>
          <w:sz w:val="20"/>
          <w:szCs w:val="20"/>
          <w:lang w:val="en-US"/>
        </w:rPr>
        <w:t>44</w:t>
      </w:r>
      <w:r w:rsidR="001C0BD0" w:rsidRPr="00AC57EA">
        <w:rPr>
          <w:rFonts w:eastAsia="MS Mincho" w:cs="Tahoma"/>
          <w:sz w:val="20"/>
          <w:szCs w:val="20"/>
          <w:lang w:val="en-US"/>
        </w:rPr>
        <w:t>.</w:t>
      </w:r>
    </w:p>
    <w:p w14:paraId="206D76AA" w14:textId="77777777" w:rsidR="009D661E" w:rsidRPr="00AC57EA" w:rsidRDefault="009D661E" w:rsidP="009D661E">
      <w:pPr>
        <w:tabs>
          <w:tab w:val="left" w:pos="567"/>
        </w:tabs>
        <w:spacing w:line="240" w:lineRule="auto"/>
        <w:textAlignment w:val="auto"/>
        <w:rPr>
          <w:rFonts w:eastAsia="MS Mincho" w:cs="Tahoma"/>
          <w:b/>
          <w:sz w:val="20"/>
          <w:szCs w:val="20"/>
          <w:lang w:val="en-US"/>
        </w:rPr>
      </w:pPr>
    </w:p>
    <w:p w14:paraId="226E10DB" w14:textId="456629B7" w:rsidR="009D661E" w:rsidRPr="00AC57EA" w:rsidRDefault="00171E27" w:rsidP="00405954">
      <w:pPr>
        <w:numPr>
          <w:ilvl w:val="0"/>
          <w:numId w:val="2"/>
        </w:numPr>
        <w:tabs>
          <w:tab w:val="left" w:pos="567"/>
          <w:tab w:val="num" w:pos="5057"/>
        </w:tabs>
        <w:spacing w:line="240" w:lineRule="auto"/>
        <w:ind w:left="0" w:firstLine="0"/>
        <w:textAlignment w:val="auto"/>
        <w:rPr>
          <w:rFonts w:eastAsia="MS Mincho" w:cs="Tahoma"/>
          <w:b/>
          <w:sz w:val="20"/>
          <w:szCs w:val="20"/>
          <w:lang w:val="en-US"/>
        </w:rPr>
      </w:pPr>
      <w:r w:rsidRPr="00AC57EA">
        <w:rPr>
          <w:rFonts w:eastAsia="Verdana" w:cs="Verdana"/>
          <w:sz w:val="20"/>
          <w:szCs w:val="20"/>
          <w:lang w:val="en-US"/>
        </w:rPr>
        <w:t>The representatives</w:t>
      </w:r>
      <w:r w:rsidR="002E2199" w:rsidRPr="00AC57EA">
        <w:rPr>
          <w:rFonts w:eastAsia="Verdana" w:cs="Verdana"/>
          <w:sz w:val="20"/>
          <w:szCs w:val="20"/>
          <w:lang w:val="en-US"/>
        </w:rPr>
        <w:t xml:space="preserve"> </w:t>
      </w:r>
      <w:r w:rsidR="00405954" w:rsidRPr="00AC57EA">
        <w:rPr>
          <w:rFonts w:eastAsia="Verdana" w:cs="Verdana"/>
          <w:sz w:val="20"/>
          <w:szCs w:val="20"/>
          <w:lang w:val="en-US"/>
        </w:rPr>
        <w:t xml:space="preserve">added that, to the amount indicated should be added those expenses that it was impossible to quantify in detail owing to the passage of time and their informal nature. Thus, </w:t>
      </w:r>
      <w:r w:rsidRPr="00AC57EA">
        <w:rPr>
          <w:rFonts w:eastAsia="Verdana" w:cs="Verdana"/>
          <w:sz w:val="20"/>
          <w:szCs w:val="20"/>
          <w:lang w:val="en-US"/>
        </w:rPr>
        <w:t>the representatives</w:t>
      </w:r>
      <w:r w:rsidR="00405954" w:rsidRPr="00AC57EA">
        <w:rPr>
          <w:rFonts w:eastAsia="Verdana" w:cs="Verdana"/>
          <w:sz w:val="20"/>
          <w:szCs w:val="20"/>
          <w:lang w:val="en-US"/>
        </w:rPr>
        <w:t xml:space="preserve"> indicated that the following disbursements had been made:</w:t>
      </w:r>
      <w:r w:rsidR="009D661E" w:rsidRPr="00AC57EA">
        <w:rPr>
          <w:rFonts w:eastAsia="Verdana" w:cs="Verdana"/>
          <w:sz w:val="20"/>
          <w:szCs w:val="20"/>
          <w:lang w:val="en-US"/>
        </w:rPr>
        <w:t xml:space="preserve"> </w:t>
      </w:r>
      <w:r w:rsidR="00BB0638" w:rsidRPr="00AC57EA">
        <w:rPr>
          <w:rFonts w:eastAsia="Verdana" w:cs="Verdana"/>
          <w:sz w:val="20"/>
          <w:szCs w:val="20"/>
          <w:lang w:val="en-US"/>
        </w:rPr>
        <w:t>(</w:t>
      </w:r>
      <w:r w:rsidR="009D661E" w:rsidRPr="00AC57EA">
        <w:rPr>
          <w:rFonts w:eastAsia="Verdana" w:cs="Verdana"/>
          <w:sz w:val="20"/>
          <w:szCs w:val="20"/>
          <w:lang w:val="en-US"/>
        </w:rPr>
        <w:t>a) US$7</w:t>
      </w:r>
      <w:r w:rsidR="00474CE5" w:rsidRPr="00AC57EA">
        <w:rPr>
          <w:rFonts w:eastAsia="Verdana" w:cs="Verdana"/>
          <w:sz w:val="20"/>
          <w:szCs w:val="20"/>
          <w:lang w:val="en-US"/>
        </w:rPr>
        <w:t>,000.00</w:t>
      </w:r>
      <w:r w:rsidR="009D661E" w:rsidRPr="00AC57EA">
        <w:rPr>
          <w:rFonts w:eastAsia="Verdana" w:cs="Verdana"/>
          <w:sz w:val="20"/>
          <w:szCs w:val="20"/>
          <w:lang w:val="en-US"/>
        </w:rPr>
        <w:t xml:space="preserve"> </w:t>
      </w:r>
      <w:r w:rsidR="00405954" w:rsidRPr="00AC57EA">
        <w:rPr>
          <w:rFonts w:eastAsia="Verdana" w:cs="Verdana"/>
          <w:sz w:val="20"/>
          <w:szCs w:val="20"/>
          <w:lang w:val="en-US"/>
        </w:rPr>
        <w:t xml:space="preserve">for medical expenses owing to the physical and mental condition of the child, including her admission to the Victoria Hospital in Jinotega, surgical procedure, biopsy examinations, payment of the gynecologist and the pediatrician, medicines, appointments for subsequent care, psychiatric expenses, therapeutic expenses, transportation expenses, accommodation expenses, medical expenses in the United State, all without any evidentiary support: (b) </w:t>
      </w:r>
      <w:r w:rsidR="009D661E" w:rsidRPr="00AC57EA">
        <w:rPr>
          <w:rFonts w:eastAsia="Verdana" w:cs="Verdana"/>
          <w:sz w:val="20"/>
          <w:szCs w:val="20"/>
          <w:lang w:val="en-US"/>
        </w:rPr>
        <w:t>US$39</w:t>
      </w:r>
      <w:r w:rsidR="00BB0638" w:rsidRPr="00AC57EA">
        <w:rPr>
          <w:rFonts w:eastAsia="Verdana" w:cs="Verdana"/>
          <w:sz w:val="20"/>
          <w:szCs w:val="20"/>
          <w:lang w:val="en-US"/>
        </w:rPr>
        <w:t>,</w:t>
      </w:r>
      <w:r w:rsidR="009D661E" w:rsidRPr="00AC57EA">
        <w:rPr>
          <w:rFonts w:eastAsia="Verdana" w:cs="Verdana"/>
          <w:sz w:val="20"/>
          <w:szCs w:val="20"/>
          <w:lang w:val="en-US"/>
        </w:rPr>
        <w:t>024</w:t>
      </w:r>
      <w:r w:rsidR="00BB0638" w:rsidRPr="00AC57EA">
        <w:rPr>
          <w:rFonts w:eastAsia="Verdana" w:cs="Verdana"/>
          <w:sz w:val="20"/>
          <w:szCs w:val="20"/>
          <w:lang w:val="en-US"/>
        </w:rPr>
        <w:t>.</w:t>
      </w:r>
      <w:r w:rsidR="009D661E" w:rsidRPr="00AC57EA">
        <w:rPr>
          <w:rFonts w:eastAsia="Verdana" w:cs="Verdana"/>
          <w:sz w:val="20"/>
          <w:szCs w:val="20"/>
          <w:lang w:val="en-US"/>
        </w:rPr>
        <w:t xml:space="preserve">00 </w:t>
      </w:r>
      <w:r w:rsidR="00405954" w:rsidRPr="00AC57EA">
        <w:rPr>
          <w:rFonts w:eastAsia="Verdana" w:cs="Verdana"/>
          <w:sz w:val="20"/>
          <w:szCs w:val="20"/>
          <w:lang w:val="en-US"/>
        </w:rPr>
        <w:t xml:space="preserve">for legal expenses in </w:t>
      </w:r>
      <w:r w:rsidR="009D661E" w:rsidRPr="00AC57EA">
        <w:rPr>
          <w:rFonts w:eastAsia="Verdana" w:cs="Verdana"/>
          <w:sz w:val="20"/>
          <w:szCs w:val="20"/>
          <w:lang w:val="en-US"/>
        </w:rPr>
        <w:t xml:space="preserve">Nicaragua, </w:t>
      </w:r>
      <w:r w:rsidR="00405954" w:rsidRPr="00AC57EA">
        <w:rPr>
          <w:rFonts w:eastAsia="Verdana" w:cs="Verdana"/>
          <w:sz w:val="20"/>
          <w:szCs w:val="20"/>
          <w:lang w:val="en-US"/>
        </w:rPr>
        <w:t xml:space="preserve">including the filing of the complaint, </w:t>
      </w:r>
      <w:r w:rsidR="00CB1CED" w:rsidRPr="00AC57EA">
        <w:rPr>
          <w:rFonts w:eastAsia="Verdana" w:cs="Verdana"/>
          <w:sz w:val="20"/>
          <w:szCs w:val="20"/>
          <w:lang w:val="en-US"/>
        </w:rPr>
        <w:t>transfers</w:t>
      </w:r>
      <w:r w:rsidR="00960A57" w:rsidRPr="00AC57EA">
        <w:rPr>
          <w:rFonts w:eastAsia="Verdana" w:cs="Verdana"/>
          <w:sz w:val="20"/>
          <w:szCs w:val="20"/>
          <w:lang w:val="en-US"/>
        </w:rPr>
        <w:t xml:space="preserve"> for</w:t>
      </w:r>
      <w:r w:rsidR="00405954" w:rsidRPr="00AC57EA">
        <w:rPr>
          <w:rFonts w:eastAsia="Verdana" w:cs="Verdana"/>
          <w:sz w:val="20"/>
          <w:szCs w:val="20"/>
          <w:lang w:val="en-US"/>
        </w:rPr>
        <w:t xml:space="preserve"> witnesses, expenses for copies, expenses for the criminal prosecution</w:t>
      </w:r>
      <w:r w:rsidR="00CB1CED" w:rsidRPr="00AC57EA">
        <w:rPr>
          <w:rFonts w:eastAsia="Verdana" w:cs="Verdana"/>
          <w:sz w:val="20"/>
          <w:szCs w:val="20"/>
          <w:lang w:val="en-US"/>
        </w:rPr>
        <w:t>,</w:t>
      </w:r>
      <w:r w:rsidR="00405954" w:rsidRPr="00AC57EA">
        <w:rPr>
          <w:rFonts w:eastAsia="Verdana" w:cs="Verdana"/>
          <w:sz w:val="20"/>
          <w:szCs w:val="20"/>
          <w:lang w:val="en-US"/>
        </w:rPr>
        <w:t xml:space="preserve"> tra</w:t>
      </w:r>
      <w:r w:rsidR="00960A57" w:rsidRPr="00AC57EA">
        <w:rPr>
          <w:rFonts w:eastAsia="Verdana" w:cs="Verdana"/>
          <w:sz w:val="20"/>
          <w:szCs w:val="20"/>
          <w:lang w:val="en-US"/>
        </w:rPr>
        <w:t>ns</w:t>
      </w:r>
      <w:r w:rsidR="00CB1CED" w:rsidRPr="00AC57EA">
        <w:rPr>
          <w:rFonts w:eastAsia="Verdana" w:cs="Verdana"/>
          <w:sz w:val="20"/>
          <w:szCs w:val="20"/>
          <w:lang w:val="en-US"/>
        </w:rPr>
        <w:t xml:space="preserve">fers </w:t>
      </w:r>
      <w:r w:rsidR="00405954" w:rsidRPr="00AC57EA">
        <w:rPr>
          <w:rFonts w:eastAsia="Verdana" w:cs="Verdana"/>
          <w:sz w:val="20"/>
          <w:szCs w:val="20"/>
          <w:lang w:val="en-US"/>
        </w:rPr>
        <w:t xml:space="preserve">for the visual inspection, </w:t>
      </w:r>
      <w:r w:rsidR="00960A57" w:rsidRPr="00AC57EA">
        <w:rPr>
          <w:rFonts w:eastAsia="Verdana" w:cs="Verdana"/>
          <w:sz w:val="20"/>
          <w:szCs w:val="20"/>
          <w:lang w:val="en-US"/>
        </w:rPr>
        <w:t>trans</w:t>
      </w:r>
      <w:r w:rsidR="00CB1CED" w:rsidRPr="00AC57EA">
        <w:rPr>
          <w:rFonts w:eastAsia="Verdana" w:cs="Verdana"/>
          <w:sz w:val="20"/>
          <w:szCs w:val="20"/>
          <w:lang w:val="en-US"/>
        </w:rPr>
        <w:t>fers</w:t>
      </w:r>
      <w:r w:rsidR="00960A57" w:rsidRPr="00AC57EA">
        <w:rPr>
          <w:rFonts w:eastAsia="Verdana" w:cs="Verdana"/>
          <w:sz w:val="20"/>
          <w:szCs w:val="20"/>
          <w:lang w:val="en-US"/>
        </w:rPr>
        <w:t xml:space="preserve"> for </w:t>
      </w:r>
      <w:r w:rsidR="00405954" w:rsidRPr="00AC57EA">
        <w:rPr>
          <w:rFonts w:eastAsia="Verdana" w:cs="Verdana"/>
          <w:sz w:val="20"/>
          <w:szCs w:val="20"/>
          <w:lang w:val="en-US"/>
        </w:rPr>
        <w:t xml:space="preserve">the forensic physicians, </w:t>
      </w:r>
      <w:r w:rsidR="00960A57" w:rsidRPr="00AC57EA">
        <w:rPr>
          <w:rFonts w:eastAsia="Verdana" w:cs="Verdana"/>
          <w:sz w:val="20"/>
          <w:szCs w:val="20"/>
          <w:lang w:val="en-US"/>
        </w:rPr>
        <w:t xml:space="preserve">transportation </w:t>
      </w:r>
      <w:r w:rsidR="00405954" w:rsidRPr="00AC57EA">
        <w:rPr>
          <w:rFonts w:eastAsia="Verdana" w:cs="Verdana"/>
          <w:sz w:val="20"/>
          <w:szCs w:val="20"/>
          <w:lang w:val="en-US"/>
        </w:rPr>
        <w:t>to Matagalpa owing to the appeal against the order of imprisonment</w:t>
      </w:r>
      <w:r w:rsidR="00CB1CED" w:rsidRPr="00AC57EA">
        <w:rPr>
          <w:rFonts w:eastAsia="Verdana" w:cs="Verdana"/>
          <w:sz w:val="20"/>
          <w:szCs w:val="20"/>
          <w:lang w:val="en-US"/>
        </w:rPr>
        <w:t>,</w:t>
      </w:r>
      <w:r w:rsidR="00405954" w:rsidRPr="00AC57EA">
        <w:rPr>
          <w:rFonts w:eastAsia="Verdana" w:cs="Verdana"/>
          <w:sz w:val="20"/>
          <w:szCs w:val="20"/>
          <w:lang w:val="en-US"/>
        </w:rPr>
        <w:t xml:space="preserve"> presentation of evidence, </w:t>
      </w:r>
      <w:r w:rsidR="00960A57" w:rsidRPr="00AC57EA">
        <w:rPr>
          <w:rFonts w:eastAsia="Verdana" w:cs="Verdana"/>
          <w:sz w:val="20"/>
          <w:szCs w:val="20"/>
          <w:lang w:val="en-US"/>
        </w:rPr>
        <w:t>trans</w:t>
      </w:r>
      <w:r w:rsidR="00CB1CED" w:rsidRPr="00AC57EA">
        <w:rPr>
          <w:rFonts w:eastAsia="Verdana" w:cs="Verdana"/>
          <w:sz w:val="20"/>
          <w:szCs w:val="20"/>
          <w:lang w:val="en-US"/>
        </w:rPr>
        <w:t>fers</w:t>
      </w:r>
      <w:r w:rsidR="00405954" w:rsidRPr="00AC57EA">
        <w:rPr>
          <w:rFonts w:eastAsia="Verdana" w:cs="Verdana"/>
          <w:sz w:val="20"/>
          <w:szCs w:val="20"/>
          <w:lang w:val="en-US"/>
        </w:rPr>
        <w:t xml:space="preserve"> to the jury selection, appeal for the annulment of the verdict, presentation of testimonies, trans</w:t>
      </w:r>
      <w:r w:rsidR="00CB1CED" w:rsidRPr="00AC57EA">
        <w:rPr>
          <w:rFonts w:eastAsia="Verdana" w:cs="Verdana"/>
          <w:sz w:val="20"/>
          <w:szCs w:val="20"/>
          <w:lang w:val="en-US"/>
        </w:rPr>
        <w:t>fers</w:t>
      </w:r>
      <w:r w:rsidR="00405954" w:rsidRPr="00AC57EA">
        <w:rPr>
          <w:rFonts w:eastAsia="Verdana" w:cs="Verdana"/>
          <w:sz w:val="20"/>
          <w:szCs w:val="20"/>
          <w:lang w:val="en-US"/>
        </w:rPr>
        <w:t xml:space="preserve"> for the opening to evidence of the </w:t>
      </w:r>
      <w:r w:rsidR="002D3908" w:rsidRPr="00AC57EA">
        <w:rPr>
          <w:rFonts w:eastAsia="Verdana" w:cs="Verdana"/>
          <w:sz w:val="20"/>
          <w:szCs w:val="20"/>
          <w:lang w:val="en-US"/>
        </w:rPr>
        <w:t>proceedings, inspection, video, certifications, payment of fees; (c) US$5,700.00 for expenses relating to various complaints owing to irregularities in the proceedings, including expenses for tran</w:t>
      </w:r>
      <w:r w:rsidR="00960A57" w:rsidRPr="00AC57EA">
        <w:rPr>
          <w:rFonts w:eastAsia="Verdana" w:cs="Verdana"/>
          <w:sz w:val="20"/>
          <w:szCs w:val="20"/>
          <w:lang w:val="en-US"/>
        </w:rPr>
        <w:t>s</w:t>
      </w:r>
      <w:r w:rsidR="00CB1CED" w:rsidRPr="00AC57EA">
        <w:rPr>
          <w:rFonts w:eastAsia="Verdana" w:cs="Verdana"/>
          <w:sz w:val="20"/>
          <w:szCs w:val="20"/>
          <w:lang w:val="en-US"/>
        </w:rPr>
        <w:t xml:space="preserve">fers </w:t>
      </w:r>
      <w:r w:rsidR="002D3908" w:rsidRPr="00AC57EA">
        <w:rPr>
          <w:rFonts w:eastAsia="Verdana" w:cs="Verdana"/>
          <w:sz w:val="20"/>
          <w:szCs w:val="20"/>
          <w:lang w:val="en-US"/>
        </w:rPr>
        <w:t xml:space="preserve">to follow up on the complaint before the Supreme Court of Justice, the Attorney General’s Office, </w:t>
      </w:r>
      <w:r w:rsidR="00246365" w:rsidRPr="00AC57EA">
        <w:rPr>
          <w:rFonts w:eastAsia="Verdana" w:cs="Verdana"/>
          <w:sz w:val="20"/>
          <w:szCs w:val="20"/>
          <w:lang w:val="en-US"/>
        </w:rPr>
        <w:t>the Prosecutor General’s Office</w:t>
      </w:r>
      <w:r w:rsidRPr="00AC57EA">
        <w:rPr>
          <w:rFonts w:eastAsia="Verdana" w:cs="Verdana"/>
          <w:sz w:val="20"/>
          <w:szCs w:val="20"/>
          <w:lang w:val="en-US"/>
        </w:rPr>
        <w:t xml:space="preserve"> and</w:t>
      </w:r>
      <w:r w:rsidR="002D3908" w:rsidRPr="00AC57EA">
        <w:rPr>
          <w:rFonts w:eastAsia="Verdana" w:cs="Verdana"/>
          <w:sz w:val="20"/>
          <w:szCs w:val="20"/>
          <w:lang w:val="en-US"/>
        </w:rPr>
        <w:t xml:space="preserve"> the Office of the Children’s Ombudsman</w:t>
      </w:r>
      <w:r w:rsidR="009D661E" w:rsidRPr="00AC57EA">
        <w:rPr>
          <w:rFonts w:eastAsia="Verdana" w:cs="Verdana"/>
          <w:sz w:val="20"/>
          <w:szCs w:val="20"/>
          <w:lang w:val="en-US"/>
        </w:rPr>
        <w:t xml:space="preserve">; </w:t>
      </w:r>
      <w:r w:rsidR="002D3908" w:rsidRPr="00AC57EA">
        <w:rPr>
          <w:rFonts w:eastAsia="Verdana" w:cs="Verdana"/>
          <w:sz w:val="20"/>
          <w:szCs w:val="20"/>
          <w:lang w:val="en-US"/>
        </w:rPr>
        <w:t>(</w:t>
      </w:r>
      <w:r w:rsidR="009D661E" w:rsidRPr="00AC57EA">
        <w:rPr>
          <w:rFonts w:eastAsia="Verdana" w:cs="Verdana"/>
          <w:sz w:val="20"/>
          <w:szCs w:val="20"/>
          <w:lang w:val="en-US"/>
        </w:rPr>
        <w:t>d) US$1</w:t>
      </w:r>
      <w:r w:rsidR="004151E3" w:rsidRPr="00AC57EA">
        <w:rPr>
          <w:rFonts w:eastAsia="Verdana" w:cs="Verdana"/>
          <w:sz w:val="20"/>
          <w:szCs w:val="20"/>
          <w:lang w:val="en-US"/>
        </w:rPr>
        <w:t>5</w:t>
      </w:r>
      <w:r w:rsidR="00D2733C" w:rsidRPr="00AC57EA">
        <w:rPr>
          <w:rFonts w:eastAsia="Verdana" w:cs="Verdana"/>
          <w:sz w:val="20"/>
          <w:szCs w:val="20"/>
          <w:lang w:val="en-US"/>
        </w:rPr>
        <w:t>,</w:t>
      </w:r>
      <w:r w:rsidR="004151E3" w:rsidRPr="00AC57EA">
        <w:rPr>
          <w:rFonts w:eastAsia="Verdana" w:cs="Verdana"/>
          <w:sz w:val="20"/>
          <w:szCs w:val="20"/>
          <w:lang w:val="en-US"/>
        </w:rPr>
        <w:t>2</w:t>
      </w:r>
      <w:r w:rsidR="00B913BA" w:rsidRPr="00AC57EA">
        <w:rPr>
          <w:rFonts w:eastAsia="Verdana" w:cs="Verdana"/>
          <w:sz w:val="20"/>
          <w:szCs w:val="20"/>
          <w:lang w:val="en-US"/>
        </w:rPr>
        <w:t>5</w:t>
      </w:r>
      <w:r w:rsidR="009D661E" w:rsidRPr="00AC57EA">
        <w:rPr>
          <w:rFonts w:eastAsia="Verdana" w:cs="Verdana"/>
          <w:sz w:val="20"/>
          <w:szCs w:val="20"/>
          <w:lang w:val="en-US"/>
        </w:rPr>
        <w:t>0</w:t>
      </w:r>
      <w:r w:rsidR="00D2733C" w:rsidRPr="00AC57EA">
        <w:rPr>
          <w:rFonts w:eastAsia="Verdana" w:cs="Verdana"/>
          <w:sz w:val="20"/>
          <w:szCs w:val="20"/>
          <w:lang w:val="en-US"/>
        </w:rPr>
        <w:t>.</w:t>
      </w:r>
      <w:r w:rsidR="009D661E" w:rsidRPr="00AC57EA">
        <w:rPr>
          <w:rFonts w:eastAsia="Verdana" w:cs="Verdana"/>
          <w:sz w:val="20"/>
          <w:szCs w:val="20"/>
          <w:lang w:val="en-US"/>
        </w:rPr>
        <w:t xml:space="preserve">00 </w:t>
      </w:r>
      <w:r w:rsidR="002D3908" w:rsidRPr="00AC57EA">
        <w:rPr>
          <w:rFonts w:eastAsia="Verdana" w:cs="Verdana"/>
          <w:sz w:val="20"/>
          <w:szCs w:val="20"/>
          <w:lang w:val="en-US"/>
        </w:rPr>
        <w:t xml:space="preserve">for expenses relating to the petition and following up on the case before </w:t>
      </w:r>
      <w:r w:rsidR="00B7258C" w:rsidRPr="00AC57EA">
        <w:rPr>
          <w:rFonts w:eastAsia="Verdana" w:cs="Verdana"/>
          <w:sz w:val="20"/>
          <w:szCs w:val="20"/>
          <w:lang w:val="en-US"/>
        </w:rPr>
        <w:t>the Commission</w:t>
      </w:r>
      <w:r w:rsidR="009D661E" w:rsidRPr="00AC57EA">
        <w:rPr>
          <w:rFonts w:eastAsia="Verdana" w:cs="Verdana"/>
          <w:sz w:val="20"/>
          <w:szCs w:val="20"/>
          <w:lang w:val="en-US"/>
        </w:rPr>
        <w:t xml:space="preserve">, </w:t>
      </w:r>
      <w:r w:rsidR="002D3908" w:rsidRPr="00AC57EA">
        <w:rPr>
          <w:rFonts w:eastAsia="Verdana" w:cs="Verdana"/>
          <w:sz w:val="20"/>
          <w:szCs w:val="20"/>
          <w:lang w:val="en-US"/>
        </w:rPr>
        <w:t>including the location, request for, copying and mailing of the case file, legal expenses</w:t>
      </w:r>
      <w:r w:rsidR="009D661E" w:rsidRPr="00AC57EA">
        <w:rPr>
          <w:rFonts w:eastAsia="Verdana" w:cs="Verdana"/>
          <w:sz w:val="20"/>
          <w:szCs w:val="20"/>
          <w:lang w:val="en-US"/>
        </w:rPr>
        <w:t>, FedEx</w:t>
      </w:r>
      <w:r w:rsidR="00960A57" w:rsidRPr="00AC57EA">
        <w:rPr>
          <w:rFonts w:eastAsia="Verdana" w:cs="Verdana"/>
          <w:sz w:val="20"/>
          <w:szCs w:val="20"/>
          <w:lang w:val="en-US"/>
        </w:rPr>
        <w:t xml:space="preserve"> and </w:t>
      </w:r>
      <w:r w:rsidR="009D661E" w:rsidRPr="00AC57EA">
        <w:rPr>
          <w:rFonts w:eastAsia="Verdana" w:cs="Verdana"/>
          <w:sz w:val="20"/>
          <w:szCs w:val="20"/>
          <w:lang w:val="en-US"/>
        </w:rPr>
        <w:t xml:space="preserve">post office; </w:t>
      </w:r>
      <w:r w:rsidR="002D3908" w:rsidRPr="00AC57EA">
        <w:rPr>
          <w:rFonts w:eastAsia="Verdana" w:cs="Verdana"/>
          <w:sz w:val="20"/>
          <w:szCs w:val="20"/>
          <w:lang w:val="en-US"/>
        </w:rPr>
        <w:t>(</w:t>
      </w:r>
      <w:r w:rsidR="009D661E" w:rsidRPr="00AC57EA">
        <w:rPr>
          <w:rFonts w:eastAsia="Verdana" w:cs="Verdana"/>
          <w:sz w:val="20"/>
          <w:szCs w:val="20"/>
          <w:lang w:val="en-US"/>
        </w:rPr>
        <w:t>e) US$2</w:t>
      </w:r>
      <w:r w:rsidR="00BB0638" w:rsidRPr="00AC57EA">
        <w:rPr>
          <w:rFonts w:eastAsia="Verdana" w:cs="Verdana"/>
          <w:sz w:val="20"/>
          <w:szCs w:val="20"/>
          <w:lang w:val="en-US"/>
        </w:rPr>
        <w:t>,</w:t>
      </w:r>
      <w:r w:rsidR="009D661E" w:rsidRPr="00AC57EA">
        <w:rPr>
          <w:rFonts w:eastAsia="Verdana" w:cs="Verdana"/>
          <w:sz w:val="20"/>
          <w:szCs w:val="20"/>
          <w:lang w:val="en-US"/>
        </w:rPr>
        <w:t>5</w:t>
      </w:r>
      <w:r w:rsidR="00D2733C" w:rsidRPr="00AC57EA">
        <w:rPr>
          <w:rFonts w:eastAsia="Verdana" w:cs="Verdana"/>
          <w:sz w:val="20"/>
          <w:szCs w:val="20"/>
          <w:lang w:val="en-US"/>
        </w:rPr>
        <w:t xml:space="preserve">00.00 </w:t>
      </w:r>
      <w:r w:rsidR="002D3908" w:rsidRPr="00AC57EA">
        <w:rPr>
          <w:rFonts w:eastAsia="Verdana" w:cs="Verdana"/>
          <w:sz w:val="20"/>
          <w:szCs w:val="20"/>
          <w:lang w:val="en-US"/>
        </w:rPr>
        <w:t xml:space="preserve">for expenses of the trip from </w:t>
      </w:r>
      <w:r w:rsidR="009D661E" w:rsidRPr="00AC57EA">
        <w:rPr>
          <w:rFonts w:eastAsia="Verdana" w:cs="Verdana"/>
          <w:sz w:val="20"/>
          <w:szCs w:val="20"/>
          <w:lang w:val="en-US"/>
        </w:rPr>
        <w:t xml:space="preserve">Nicaragua </w:t>
      </w:r>
      <w:r w:rsidR="002D3908" w:rsidRPr="00AC57EA">
        <w:rPr>
          <w:rFonts w:eastAsia="Verdana" w:cs="Verdana"/>
          <w:sz w:val="20"/>
          <w:szCs w:val="20"/>
          <w:lang w:val="en-US"/>
        </w:rPr>
        <w:t>to</w:t>
      </w:r>
      <w:r w:rsidR="009D661E" w:rsidRPr="00AC57EA">
        <w:rPr>
          <w:rFonts w:eastAsia="Verdana" w:cs="Verdana"/>
          <w:sz w:val="20"/>
          <w:szCs w:val="20"/>
          <w:lang w:val="en-US"/>
        </w:rPr>
        <w:t xml:space="preserve"> Miami, </w:t>
      </w:r>
      <w:r w:rsidR="002D3908" w:rsidRPr="00AC57EA">
        <w:rPr>
          <w:rFonts w:eastAsia="Verdana" w:cs="Verdana"/>
          <w:sz w:val="20"/>
          <w:szCs w:val="20"/>
          <w:lang w:val="en-US"/>
        </w:rPr>
        <w:t xml:space="preserve">which included tickets for three persons, passports, travel to Managua and trip to </w:t>
      </w:r>
      <w:r w:rsidR="009D661E" w:rsidRPr="00AC57EA">
        <w:rPr>
          <w:rFonts w:eastAsia="Verdana" w:cs="Verdana"/>
          <w:sz w:val="20"/>
          <w:szCs w:val="20"/>
          <w:lang w:val="en-US"/>
        </w:rPr>
        <w:t xml:space="preserve">Miami; </w:t>
      </w:r>
      <w:r w:rsidR="002D3908" w:rsidRPr="00AC57EA">
        <w:rPr>
          <w:rFonts w:eastAsia="Verdana" w:cs="Verdana"/>
          <w:sz w:val="20"/>
          <w:szCs w:val="20"/>
          <w:lang w:val="en-US"/>
        </w:rPr>
        <w:t>(</w:t>
      </w:r>
      <w:r w:rsidR="009D661E" w:rsidRPr="00AC57EA">
        <w:rPr>
          <w:rFonts w:eastAsia="Verdana" w:cs="Verdana"/>
          <w:sz w:val="20"/>
          <w:szCs w:val="20"/>
          <w:lang w:val="en-US"/>
        </w:rPr>
        <w:t>f) US$20</w:t>
      </w:r>
      <w:r w:rsidR="00BB0638" w:rsidRPr="00AC57EA">
        <w:rPr>
          <w:rFonts w:eastAsia="Verdana" w:cs="Verdana"/>
          <w:sz w:val="20"/>
          <w:szCs w:val="20"/>
          <w:lang w:val="en-US"/>
        </w:rPr>
        <w:t>,</w:t>
      </w:r>
      <w:r w:rsidR="009D661E" w:rsidRPr="00AC57EA">
        <w:rPr>
          <w:rFonts w:eastAsia="Verdana" w:cs="Verdana"/>
          <w:sz w:val="20"/>
          <w:szCs w:val="20"/>
          <w:lang w:val="en-US"/>
        </w:rPr>
        <w:t>1</w:t>
      </w:r>
      <w:r w:rsidR="00D2733C" w:rsidRPr="00AC57EA">
        <w:rPr>
          <w:rFonts w:eastAsia="Verdana" w:cs="Verdana"/>
          <w:sz w:val="20"/>
          <w:szCs w:val="20"/>
          <w:lang w:val="en-US"/>
        </w:rPr>
        <w:t xml:space="preserve">00.00 </w:t>
      </w:r>
      <w:r w:rsidR="002D3908" w:rsidRPr="00AC57EA">
        <w:rPr>
          <w:rFonts w:eastAsia="Verdana" w:cs="Verdana"/>
          <w:sz w:val="20"/>
          <w:szCs w:val="20"/>
          <w:lang w:val="en-US"/>
        </w:rPr>
        <w:t xml:space="preserve">for legal expenses in the asylum procedure </w:t>
      </w:r>
      <w:r w:rsidR="00960A57" w:rsidRPr="00AC57EA">
        <w:rPr>
          <w:rFonts w:eastAsia="Verdana" w:cs="Verdana"/>
          <w:sz w:val="20"/>
          <w:szCs w:val="20"/>
          <w:lang w:val="en-US"/>
        </w:rPr>
        <w:t>for</w:t>
      </w:r>
      <w:r w:rsidR="002D3908" w:rsidRPr="00AC57EA">
        <w:rPr>
          <w:rFonts w:eastAsia="Verdana" w:cs="Verdana"/>
          <w:sz w:val="20"/>
          <w:szCs w:val="20"/>
          <w:lang w:val="en-US"/>
        </w:rPr>
        <w:t xml:space="preserve"> </w:t>
      </w:r>
      <w:r w:rsidR="009D661E" w:rsidRPr="00AC57EA">
        <w:rPr>
          <w:rFonts w:eastAsia="Verdana" w:cs="Verdana"/>
          <w:sz w:val="20"/>
          <w:szCs w:val="20"/>
          <w:lang w:val="en-US"/>
        </w:rPr>
        <w:t>V.P.C., V.R.P.</w:t>
      </w:r>
      <w:r w:rsidRPr="00AC57EA">
        <w:rPr>
          <w:rFonts w:eastAsia="Verdana" w:cs="Verdana"/>
          <w:sz w:val="20"/>
          <w:szCs w:val="20"/>
          <w:lang w:val="en-US"/>
        </w:rPr>
        <w:t xml:space="preserve"> and </w:t>
      </w:r>
      <w:r w:rsidR="009D661E" w:rsidRPr="00AC57EA">
        <w:rPr>
          <w:rFonts w:eastAsia="Verdana" w:cs="Verdana"/>
          <w:sz w:val="20"/>
          <w:szCs w:val="20"/>
          <w:lang w:val="en-US"/>
        </w:rPr>
        <w:t xml:space="preserve">N.R.P., </w:t>
      </w:r>
      <w:r w:rsidR="002D3908" w:rsidRPr="00AC57EA">
        <w:rPr>
          <w:rFonts w:eastAsia="Verdana" w:cs="Verdana"/>
          <w:sz w:val="20"/>
          <w:szCs w:val="20"/>
          <w:lang w:val="en-US"/>
        </w:rPr>
        <w:t xml:space="preserve">which included the “presentation of copies, </w:t>
      </w:r>
      <w:r w:rsidR="009D661E" w:rsidRPr="00AC57EA">
        <w:rPr>
          <w:rFonts w:eastAsia="Verdana" w:cs="Verdana"/>
          <w:sz w:val="20"/>
          <w:szCs w:val="20"/>
          <w:lang w:val="en-US"/>
        </w:rPr>
        <w:t>FedEx</w:t>
      </w:r>
      <w:r w:rsidRPr="00AC57EA">
        <w:rPr>
          <w:rFonts w:eastAsia="Verdana" w:cs="Verdana"/>
          <w:sz w:val="20"/>
          <w:szCs w:val="20"/>
          <w:lang w:val="en-US"/>
        </w:rPr>
        <w:t xml:space="preserve"> and </w:t>
      </w:r>
      <w:r w:rsidR="002D3908" w:rsidRPr="00AC57EA">
        <w:rPr>
          <w:rFonts w:eastAsia="Verdana" w:cs="Verdana"/>
          <w:sz w:val="20"/>
          <w:szCs w:val="20"/>
          <w:lang w:val="en-US"/>
        </w:rPr>
        <w:t>translation of documents for th</w:t>
      </w:r>
      <w:r w:rsidR="00960A57" w:rsidRPr="00AC57EA">
        <w:rPr>
          <w:rFonts w:eastAsia="Verdana" w:cs="Verdana"/>
          <w:sz w:val="20"/>
          <w:szCs w:val="20"/>
          <w:lang w:val="en-US"/>
        </w:rPr>
        <w:t>r</w:t>
      </w:r>
      <w:r w:rsidR="002D3908" w:rsidRPr="00AC57EA">
        <w:rPr>
          <w:rFonts w:eastAsia="Verdana" w:cs="Verdana"/>
          <w:sz w:val="20"/>
          <w:szCs w:val="20"/>
          <w:lang w:val="en-US"/>
        </w:rPr>
        <w:t>ee persons,” and (</w:t>
      </w:r>
      <w:r w:rsidR="009D661E" w:rsidRPr="00AC57EA">
        <w:rPr>
          <w:rFonts w:eastAsia="Verdana" w:cs="Verdana"/>
          <w:sz w:val="20"/>
          <w:szCs w:val="20"/>
          <w:lang w:val="en-US"/>
        </w:rPr>
        <w:t>g) US$5</w:t>
      </w:r>
      <w:r w:rsidR="00D2733C" w:rsidRPr="00AC57EA">
        <w:rPr>
          <w:rFonts w:eastAsia="Verdana" w:cs="Verdana"/>
          <w:sz w:val="20"/>
          <w:szCs w:val="20"/>
          <w:lang w:val="en-US"/>
        </w:rPr>
        <w:t xml:space="preserve">00.00 </w:t>
      </w:r>
      <w:r w:rsidR="002D3908" w:rsidRPr="00AC57EA">
        <w:rPr>
          <w:rFonts w:eastAsia="Verdana" w:cs="Verdana"/>
          <w:sz w:val="20"/>
          <w:szCs w:val="20"/>
          <w:lang w:val="en-US"/>
        </w:rPr>
        <w:t>for expenses of the proceedings before</w:t>
      </w:r>
      <w:r w:rsidR="009D661E" w:rsidRPr="00AC57EA">
        <w:rPr>
          <w:rFonts w:eastAsia="Verdana" w:cs="Verdana"/>
          <w:sz w:val="20"/>
          <w:szCs w:val="20"/>
          <w:lang w:val="en-US"/>
        </w:rPr>
        <w:t xml:space="preserve"> </w:t>
      </w:r>
      <w:r w:rsidR="00B7258C" w:rsidRPr="00AC57EA">
        <w:rPr>
          <w:rFonts w:eastAsia="Verdana" w:cs="Verdana"/>
          <w:sz w:val="20"/>
          <w:szCs w:val="20"/>
          <w:lang w:val="en-US"/>
        </w:rPr>
        <w:t>the Inter-American Court</w:t>
      </w:r>
      <w:r w:rsidR="009D661E" w:rsidRPr="00AC57EA">
        <w:rPr>
          <w:rFonts w:eastAsia="Verdana" w:cs="Verdana"/>
          <w:sz w:val="20"/>
          <w:szCs w:val="20"/>
          <w:lang w:val="en-US"/>
        </w:rPr>
        <w:t xml:space="preserve">, </w:t>
      </w:r>
      <w:r w:rsidR="002D3908" w:rsidRPr="00AC57EA">
        <w:rPr>
          <w:rFonts w:eastAsia="Verdana" w:cs="Verdana"/>
          <w:sz w:val="20"/>
          <w:szCs w:val="20"/>
          <w:lang w:val="en-US"/>
        </w:rPr>
        <w:t xml:space="preserve">which include the affidavit, copies and mailing documents. Based on the foregoing, </w:t>
      </w:r>
      <w:r w:rsidRPr="00AC57EA">
        <w:rPr>
          <w:rFonts w:eastAsia="Verdana" w:cs="Verdana"/>
          <w:sz w:val="20"/>
          <w:szCs w:val="20"/>
          <w:lang w:val="en-US"/>
        </w:rPr>
        <w:t>the representatives</w:t>
      </w:r>
      <w:r w:rsidR="009D661E" w:rsidRPr="00AC57EA">
        <w:rPr>
          <w:rFonts w:eastAsia="Verdana" w:cs="Verdana"/>
          <w:sz w:val="20"/>
          <w:szCs w:val="20"/>
          <w:lang w:val="en-US"/>
        </w:rPr>
        <w:t xml:space="preserve"> </w:t>
      </w:r>
      <w:r w:rsidR="002D3908" w:rsidRPr="00AC57EA">
        <w:rPr>
          <w:rFonts w:eastAsia="Verdana" w:cs="Verdana"/>
          <w:sz w:val="20"/>
          <w:szCs w:val="20"/>
          <w:lang w:val="en-US"/>
        </w:rPr>
        <w:t xml:space="preserve">quantified the </w:t>
      </w:r>
      <w:r w:rsidR="00D2733C" w:rsidRPr="00AC57EA">
        <w:rPr>
          <w:rFonts w:eastAsia="Verdana" w:cs="Verdana"/>
          <w:sz w:val="20"/>
          <w:szCs w:val="20"/>
          <w:lang w:val="en-US"/>
        </w:rPr>
        <w:t>indirect damage</w:t>
      </w:r>
      <w:r w:rsidR="009D661E" w:rsidRPr="00AC57EA">
        <w:rPr>
          <w:rFonts w:eastAsia="Verdana" w:cs="Verdana"/>
          <w:sz w:val="20"/>
          <w:szCs w:val="20"/>
          <w:lang w:val="en-US"/>
        </w:rPr>
        <w:t xml:space="preserve"> </w:t>
      </w:r>
      <w:r w:rsidR="002D3908" w:rsidRPr="00AC57EA">
        <w:rPr>
          <w:rFonts w:eastAsia="Verdana" w:cs="Verdana"/>
          <w:sz w:val="20"/>
          <w:szCs w:val="20"/>
          <w:lang w:val="en-US"/>
        </w:rPr>
        <w:t>at</w:t>
      </w:r>
      <w:r w:rsidR="009D661E" w:rsidRPr="00AC57EA">
        <w:rPr>
          <w:rFonts w:eastAsia="Verdana" w:cs="Verdana"/>
          <w:sz w:val="20"/>
          <w:szCs w:val="20"/>
          <w:lang w:val="en-US"/>
        </w:rPr>
        <w:t xml:space="preserve"> US$92</w:t>
      </w:r>
      <w:r w:rsidR="00BB0638" w:rsidRPr="00AC57EA">
        <w:rPr>
          <w:rFonts w:eastAsia="Verdana" w:cs="Verdana"/>
          <w:sz w:val="20"/>
          <w:szCs w:val="20"/>
          <w:lang w:val="en-US"/>
        </w:rPr>
        <w:t>,</w:t>
      </w:r>
      <w:r w:rsidR="009D661E" w:rsidRPr="00AC57EA">
        <w:rPr>
          <w:rFonts w:eastAsia="Verdana" w:cs="Verdana"/>
          <w:sz w:val="20"/>
          <w:szCs w:val="20"/>
          <w:lang w:val="en-US"/>
        </w:rPr>
        <w:t>379</w:t>
      </w:r>
      <w:r w:rsidR="00BB0638" w:rsidRPr="00AC57EA">
        <w:rPr>
          <w:rFonts w:eastAsia="Verdana" w:cs="Verdana"/>
          <w:sz w:val="20"/>
          <w:szCs w:val="20"/>
          <w:lang w:val="en-US"/>
        </w:rPr>
        <w:t>.</w:t>
      </w:r>
      <w:r w:rsidR="009D661E" w:rsidRPr="00AC57EA">
        <w:rPr>
          <w:rFonts w:eastAsia="Verdana" w:cs="Verdana"/>
          <w:sz w:val="20"/>
          <w:szCs w:val="20"/>
          <w:lang w:val="en-US"/>
        </w:rPr>
        <w:t>44,</w:t>
      </w:r>
      <w:r w:rsidRPr="00AC57EA">
        <w:rPr>
          <w:rFonts w:eastAsia="Verdana" w:cs="Verdana"/>
          <w:sz w:val="20"/>
          <w:szCs w:val="20"/>
          <w:lang w:val="en-US"/>
        </w:rPr>
        <w:t xml:space="preserve"> and </w:t>
      </w:r>
      <w:r w:rsidR="002D3908" w:rsidRPr="00AC57EA">
        <w:rPr>
          <w:rFonts w:eastAsia="Verdana" w:cs="Verdana"/>
          <w:sz w:val="20"/>
          <w:szCs w:val="20"/>
          <w:lang w:val="en-US"/>
        </w:rPr>
        <w:t xml:space="preserve">emphasized that these expenses were paid for by </w:t>
      </w:r>
      <w:r w:rsidR="009D661E" w:rsidRPr="00AC57EA">
        <w:rPr>
          <w:rFonts w:eastAsia="Verdana" w:cs="Verdana"/>
          <w:sz w:val="20"/>
          <w:szCs w:val="20"/>
          <w:lang w:val="en-US"/>
        </w:rPr>
        <w:t xml:space="preserve">V.P.C., </w:t>
      </w:r>
      <w:r w:rsidR="002D3908" w:rsidRPr="00AC57EA">
        <w:rPr>
          <w:rFonts w:eastAsia="Verdana" w:cs="Verdana"/>
          <w:sz w:val="20"/>
          <w:szCs w:val="20"/>
          <w:lang w:val="en-US"/>
        </w:rPr>
        <w:t>who was responsible for providing for the family.</w:t>
      </w:r>
    </w:p>
    <w:p w14:paraId="738964C4" w14:textId="77777777" w:rsidR="002E2199" w:rsidRPr="00AC57EA" w:rsidRDefault="002E2199" w:rsidP="00DF3D71">
      <w:pPr>
        <w:tabs>
          <w:tab w:val="left" w:pos="567"/>
        </w:tabs>
        <w:spacing w:line="240" w:lineRule="auto"/>
        <w:textAlignment w:val="auto"/>
        <w:rPr>
          <w:rFonts w:eastAsia="MS Mincho" w:cs="Tahoma"/>
          <w:b/>
          <w:sz w:val="20"/>
          <w:szCs w:val="20"/>
          <w:lang w:val="en-US"/>
        </w:rPr>
      </w:pPr>
    </w:p>
    <w:p w14:paraId="75758A93" w14:textId="16F0B3C8" w:rsidR="002D3908" w:rsidRPr="00AC57EA" w:rsidRDefault="00EC52D7"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9D661E" w:rsidRPr="00AC57EA">
        <w:rPr>
          <w:rFonts w:eastAsia="MS Mincho"/>
          <w:b/>
          <w:i/>
          <w:sz w:val="20"/>
          <w:szCs w:val="20"/>
          <w:lang w:val="en-US" w:bidi="en-US"/>
        </w:rPr>
        <w:t xml:space="preserve"> </w:t>
      </w:r>
      <w:r w:rsidR="002D3908" w:rsidRPr="00AC57EA">
        <w:rPr>
          <w:rFonts w:eastAsia="MS Mincho"/>
          <w:sz w:val="20"/>
          <w:szCs w:val="20"/>
          <w:lang w:val="en-US" w:bidi="en-US"/>
        </w:rPr>
        <w:t>asked the Court to establish the</w:t>
      </w:r>
      <w:r w:rsidR="009D661E" w:rsidRPr="00AC57EA">
        <w:rPr>
          <w:rFonts w:eastAsia="MS Mincho"/>
          <w:sz w:val="20"/>
          <w:szCs w:val="20"/>
          <w:lang w:val="en-US" w:bidi="en-US"/>
        </w:rPr>
        <w:t xml:space="preserve"> </w:t>
      </w:r>
      <w:r w:rsidR="00D2733C" w:rsidRPr="00AC57EA">
        <w:rPr>
          <w:rFonts w:eastAsia="MS Mincho"/>
          <w:sz w:val="20"/>
          <w:szCs w:val="20"/>
          <w:lang w:val="en-US" w:bidi="en-US"/>
        </w:rPr>
        <w:t>indirect damage</w:t>
      </w:r>
      <w:r w:rsidR="002D3908" w:rsidRPr="00AC57EA">
        <w:rPr>
          <w:rFonts w:eastAsia="MS Mincho"/>
          <w:sz w:val="20"/>
          <w:szCs w:val="20"/>
          <w:lang w:val="en-US" w:bidi="en-US"/>
        </w:rPr>
        <w:t>, provided it included the direct and immediate expenses the victim had to pay.</w:t>
      </w:r>
      <w:r w:rsidR="00B5546A" w:rsidRPr="00AC57EA">
        <w:rPr>
          <w:rFonts w:eastAsia="MS Mincho"/>
          <w:sz w:val="20"/>
          <w:szCs w:val="20"/>
          <w:lang w:val="en-US" w:bidi="en-US"/>
        </w:rPr>
        <w:t xml:space="preserve"> It also requested that the alleged disbursements be corroborated by documents or invoices, rejecting the medical expenses alleged without any evidentiary support. The State argued that, although case law existed that indicated that the lack of a voucher could not result in the rejection of fair </w:t>
      </w:r>
      <w:r w:rsidR="00960A57" w:rsidRPr="00AC57EA">
        <w:rPr>
          <w:rFonts w:eastAsia="MS Mincho"/>
          <w:sz w:val="20"/>
          <w:szCs w:val="20"/>
          <w:lang w:val="en-US" w:bidi="en-US"/>
        </w:rPr>
        <w:t>reparation</w:t>
      </w:r>
      <w:r w:rsidR="00B5546A" w:rsidRPr="00AC57EA">
        <w:rPr>
          <w:rFonts w:eastAsia="MS Mincho"/>
          <w:sz w:val="20"/>
          <w:szCs w:val="20"/>
          <w:lang w:val="en-US" w:bidi="en-US"/>
        </w:rPr>
        <w:t>, this was based on exceptional circumstances, and it asked that this exception should not become the rule, because the nature of the Court was not to establish compensations that it was impossible to pay. In addition, it found that it was no logical that there were receipts for some of the expen</w:t>
      </w:r>
      <w:r w:rsidR="00960A57" w:rsidRPr="00AC57EA">
        <w:rPr>
          <w:rFonts w:eastAsia="MS Mincho"/>
          <w:sz w:val="20"/>
          <w:szCs w:val="20"/>
          <w:lang w:val="en-US" w:bidi="en-US"/>
        </w:rPr>
        <w:t>ses</w:t>
      </w:r>
      <w:r w:rsidR="00B5546A" w:rsidRPr="00AC57EA">
        <w:rPr>
          <w:rFonts w:eastAsia="MS Mincho"/>
          <w:sz w:val="20"/>
          <w:szCs w:val="20"/>
          <w:lang w:val="en-US" w:bidi="en-US"/>
        </w:rPr>
        <w:t xml:space="preserve"> incurred a long time ago, and not for more recent </w:t>
      </w:r>
      <w:r w:rsidR="00960A57" w:rsidRPr="00AC57EA">
        <w:rPr>
          <w:rFonts w:eastAsia="MS Mincho"/>
          <w:sz w:val="20"/>
          <w:szCs w:val="20"/>
          <w:lang w:val="en-US" w:bidi="en-US"/>
        </w:rPr>
        <w:t>ones</w:t>
      </w:r>
      <w:r w:rsidR="00B5546A" w:rsidRPr="00AC57EA">
        <w:rPr>
          <w:rFonts w:eastAsia="MS Mincho"/>
          <w:sz w:val="20"/>
          <w:szCs w:val="20"/>
          <w:lang w:val="en-US" w:bidi="en-US"/>
        </w:rPr>
        <w:t>.</w:t>
      </w:r>
    </w:p>
    <w:p w14:paraId="04E9D2FC" w14:textId="77777777" w:rsidR="009D661E" w:rsidRPr="00AC57EA" w:rsidRDefault="009D661E" w:rsidP="009D661E">
      <w:pPr>
        <w:pStyle w:val="Prrafodelista"/>
        <w:spacing w:line="240" w:lineRule="auto"/>
        <w:rPr>
          <w:rFonts w:eastAsia="MS Mincho"/>
          <w:sz w:val="20"/>
          <w:szCs w:val="20"/>
          <w:lang w:val="en-US" w:bidi="en-US"/>
        </w:rPr>
      </w:pPr>
    </w:p>
    <w:p w14:paraId="194FB76F" w14:textId="42516EA1" w:rsidR="002E2199" w:rsidRPr="00AC57EA" w:rsidRDefault="009F3BE2" w:rsidP="00B5546A">
      <w:pPr>
        <w:numPr>
          <w:ilvl w:val="0"/>
          <w:numId w:val="2"/>
        </w:numPr>
        <w:tabs>
          <w:tab w:val="left" w:pos="567"/>
          <w:tab w:val="num" w:pos="5057"/>
        </w:tabs>
        <w:spacing w:line="240" w:lineRule="auto"/>
        <w:ind w:left="0" w:firstLine="0"/>
        <w:rPr>
          <w:rFonts w:eastAsia="MS Mincho" w:cs="Verdana"/>
          <w:sz w:val="20"/>
          <w:szCs w:val="20"/>
          <w:lang w:val="en-US" w:bidi="en-US"/>
        </w:rPr>
      </w:pPr>
      <w:r w:rsidRPr="00AC57EA">
        <w:rPr>
          <w:rFonts w:eastAsia="Verdana" w:cs="Verdana"/>
          <w:sz w:val="20"/>
          <w:szCs w:val="20"/>
          <w:lang w:val="en-US"/>
        </w:rPr>
        <w:t>Concerning</w:t>
      </w:r>
      <w:r w:rsidR="002E2199" w:rsidRPr="00AC57EA">
        <w:rPr>
          <w:rFonts w:eastAsia="MS Mincho" w:cs="Arial"/>
          <w:sz w:val="20"/>
          <w:szCs w:val="20"/>
          <w:lang w:val="en-US" w:bidi="en-US"/>
        </w:rPr>
        <w:t xml:space="preserve"> </w:t>
      </w:r>
      <w:r w:rsidR="00D2733C" w:rsidRPr="00AC57EA">
        <w:rPr>
          <w:rFonts w:eastAsia="MS Mincho" w:cs="Arial"/>
          <w:sz w:val="20"/>
          <w:szCs w:val="20"/>
          <w:lang w:val="en-US" w:bidi="en-US"/>
        </w:rPr>
        <w:t>indirect damage</w:t>
      </w:r>
      <w:r w:rsidR="002E2199" w:rsidRPr="00AC57EA">
        <w:rPr>
          <w:rFonts w:eastAsia="MS Mincho" w:cs="Arial"/>
          <w:sz w:val="20"/>
          <w:szCs w:val="20"/>
          <w:lang w:val="en-US" w:bidi="en-US"/>
        </w:rPr>
        <w:t xml:space="preserve">, </w:t>
      </w:r>
      <w:r w:rsidR="00B7258C" w:rsidRPr="00AC57EA">
        <w:rPr>
          <w:rFonts w:eastAsia="MS Mincho" w:cs="Arial"/>
          <w:sz w:val="20"/>
          <w:szCs w:val="20"/>
          <w:lang w:val="en-US" w:bidi="en-US"/>
        </w:rPr>
        <w:t>the Court</w:t>
      </w:r>
      <w:r w:rsidR="002E2199" w:rsidRPr="00AC57EA">
        <w:rPr>
          <w:rFonts w:eastAsia="MS Mincho" w:cs="Arial"/>
          <w:sz w:val="20"/>
          <w:szCs w:val="20"/>
          <w:lang w:val="en-US" w:bidi="en-US"/>
        </w:rPr>
        <w:t xml:space="preserve"> </w:t>
      </w:r>
      <w:r w:rsidR="00B5546A" w:rsidRPr="00AC57EA">
        <w:rPr>
          <w:rFonts w:eastAsia="MS Mincho" w:cs="Arial"/>
          <w:sz w:val="20"/>
          <w:szCs w:val="20"/>
          <w:lang w:val="en-US" w:bidi="en-US"/>
        </w:rPr>
        <w:t>notes that</w:t>
      </w:r>
      <w:r w:rsidR="002E2199" w:rsidRPr="00AC57EA">
        <w:rPr>
          <w:rFonts w:eastAsia="MS Mincho" w:cs="Arial"/>
          <w:sz w:val="20"/>
          <w:szCs w:val="20"/>
          <w:lang w:val="en-US" w:bidi="en-US"/>
        </w:rPr>
        <w:t xml:space="preserve"> </w:t>
      </w:r>
      <w:r w:rsidR="00171E27" w:rsidRPr="00AC57EA">
        <w:rPr>
          <w:rFonts w:eastAsia="MS Mincho" w:cs="Arial"/>
          <w:sz w:val="20"/>
          <w:szCs w:val="20"/>
          <w:lang w:val="en-US" w:bidi="en-US"/>
        </w:rPr>
        <w:t>the representatives</w:t>
      </w:r>
      <w:r w:rsidR="002E2199" w:rsidRPr="00AC57EA">
        <w:rPr>
          <w:rFonts w:eastAsia="MS Mincho" w:cs="Arial"/>
          <w:sz w:val="20"/>
          <w:szCs w:val="20"/>
          <w:lang w:val="en-US" w:bidi="en-US"/>
        </w:rPr>
        <w:t xml:space="preserve"> bas</w:t>
      </w:r>
      <w:r w:rsidR="00B5546A" w:rsidRPr="00AC57EA">
        <w:rPr>
          <w:rFonts w:eastAsia="MS Mincho" w:cs="Arial"/>
          <w:sz w:val="20"/>
          <w:szCs w:val="20"/>
          <w:lang w:val="en-US" w:bidi="en-US"/>
        </w:rPr>
        <w:t xml:space="preserve">ed the amount requested on a series of expenses paid by V.P.C. as a result of the human rights violations declared in this judgment. These include: (a) expenses for medical care for the physical and mental harm and for the </w:t>
      </w:r>
      <w:r w:rsidR="00CC16C3" w:rsidRPr="00AC57EA">
        <w:rPr>
          <w:rFonts w:eastAsia="MS Mincho" w:cs="Arial"/>
          <w:sz w:val="20"/>
          <w:szCs w:val="20"/>
          <w:lang w:val="en-US" w:bidi="en-US"/>
        </w:rPr>
        <w:t>ailments</w:t>
      </w:r>
      <w:r w:rsidR="00B5546A" w:rsidRPr="00AC57EA">
        <w:rPr>
          <w:rFonts w:eastAsia="MS Mincho" w:cs="Arial"/>
          <w:sz w:val="20"/>
          <w:szCs w:val="20"/>
          <w:lang w:val="en-US" w:bidi="en-US"/>
        </w:rPr>
        <w:t xml:space="preserve"> suffered by her daughter, V.R.P; (b) expenses derived from the criminal proceedings for rape; (c) expenses for the complaints filed against the intervening public servants and officials who caused the different irregularities in the criminal proceedings; (d) expenses owing to the departure from Nicaragua and the establishment of her residence and that of her two daughters in the United States, and (e) expenses derived from the petition and the processing of the case before the inter-American system. The Court will consider, under the heading of indirect damage, the expenses incurred by V.P.C. that are not related to the expenses in connection with the processing of the case, which will be analyzed under the heading of</w:t>
      </w:r>
      <w:r w:rsidR="00B5546A" w:rsidRPr="00AC57EA">
        <w:rPr>
          <w:rFonts w:eastAsia="MS Mincho" w:cs="Verdana"/>
          <w:sz w:val="20"/>
          <w:szCs w:val="20"/>
          <w:lang w:val="en-US" w:bidi="en-US"/>
        </w:rPr>
        <w:t xml:space="preserve"> </w:t>
      </w:r>
      <w:r w:rsidR="007E72AE" w:rsidRPr="00AC57EA">
        <w:rPr>
          <w:rFonts w:eastAsia="MS Mincho" w:cs="Arial"/>
          <w:sz w:val="20"/>
          <w:szCs w:val="20"/>
          <w:lang w:val="en-US" w:bidi="en-US"/>
        </w:rPr>
        <w:t>costs and expenses</w:t>
      </w:r>
      <w:r w:rsidR="002E2199" w:rsidRPr="00AC57EA">
        <w:rPr>
          <w:rFonts w:eastAsia="MS Mincho" w:cs="Arial"/>
          <w:sz w:val="20"/>
          <w:szCs w:val="20"/>
          <w:lang w:val="en-US" w:bidi="en-US"/>
        </w:rPr>
        <w:t xml:space="preserve"> (</w:t>
      </w:r>
      <w:r w:rsidR="002E2199" w:rsidRPr="00AC57EA">
        <w:rPr>
          <w:rFonts w:eastAsia="MS Mincho" w:cs="Arial"/>
          <w:i/>
          <w:sz w:val="20"/>
          <w:szCs w:val="20"/>
          <w:lang w:val="en-US" w:bidi="en-US"/>
        </w:rPr>
        <w:t>infra</w:t>
      </w:r>
      <w:r w:rsidR="00CA0DA6" w:rsidRPr="00AC57EA">
        <w:rPr>
          <w:rFonts w:eastAsia="MS Mincho" w:cs="Arial"/>
          <w:sz w:val="20"/>
          <w:szCs w:val="20"/>
          <w:lang w:val="en-US" w:bidi="en-US"/>
        </w:rPr>
        <w:t xml:space="preserve"> </w:t>
      </w:r>
      <w:r w:rsidR="00171E27" w:rsidRPr="00AC57EA">
        <w:rPr>
          <w:rFonts w:eastAsia="MS Mincho" w:cs="Arial"/>
          <w:sz w:val="20"/>
          <w:szCs w:val="20"/>
          <w:lang w:val="en-US" w:bidi="en-US"/>
        </w:rPr>
        <w:t>para.</w:t>
      </w:r>
      <w:r w:rsidR="00CA0DA6" w:rsidRPr="00AC57EA">
        <w:rPr>
          <w:rFonts w:eastAsia="MS Mincho" w:cs="Arial"/>
          <w:sz w:val="20"/>
          <w:szCs w:val="20"/>
          <w:lang w:val="en-US" w:bidi="en-US"/>
        </w:rPr>
        <w:t xml:space="preserve"> </w:t>
      </w:r>
      <w:r w:rsidR="00FC7260" w:rsidRPr="00AC57EA">
        <w:rPr>
          <w:rFonts w:eastAsia="MS Mincho" w:cs="Arial"/>
          <w:sz w:val="20"/>
          <w:szCs w:val="20"/>
          <w:lang w:val="en-US" w:bidi="en-US"/>
        </w:rPr>
        <w:t>432</w:t>
      </w:r>
      <w:r w:rsidR="002E2199" w:rsidRPr="00AC57EA">
        <w:rPr>
          <w:rFonts w:eastAsia="MS Mincho" w:cs="Arial"/>
          <w:sz w:val="20"/>
          <w:szCs w:val="20"/>
          <w:lang w:val="en-US" w:bidi="en-US"/>
        </w:rPr>
        <w:t>).</w:t>
      </w:r>
    </w:p>
    <w:p w14:paraId="223CE568" w14:textId="77777777" w:rsidR="00CA0DA6" w:rsidRPr="00AC57EA" w:rsidRDefault="00CA0DA6" w:rsidP="00DF3D71">
      <w:pPr>
        <w:tabs>
          <w:tab w:val="left" w:pos="567"/>
        </w:tabs>
        <w:spacing w:line="240" w:lineRule="auto"/>
        <w:rPr>
          <w:rFonts w:eastAsia="MS Mincho" w:cs="Verdana"/>
          <w:sz w:val="20"/>
          <w:szCs w:val="20"/>
          <w:lang w:val="en-US" w:bidi="en-US"/>
        </w:rPr>
      </w:pPr>
    </w:p>
    <w:p w14:paraId="5D5296C3" w14:textId="3AEF9DDA" w:rsidR="009D661E" w:rsidRPr="00AC57EA" w:rsidRDefault="00BB0638" w:rsidP="00B61E64">
      <w:pPr>
        <w:numPr>
          <w:ilvl w:val="0"/>
          <w:numId w:val="2"/>
        </w:numPr>
        <w:tabs>
          <w:tab w:val="left" w:pos="567"/>
          <w:tab w:val="num" w:pos="5057"/>
        </w:tabs>
        <w:autoSpaceDE w:val="0"/>
        <w:autoSpaceDN w:val="0"/>
        <w:spacing w:line="240" w:lineRule="auto"/>
        <w:ind w:left="0" w:firstLine="0"/>
        <w:textAlignment w:val="auto"/>
        <w:outlineLvl w:val="2"/>
        <w:rPr>
          <w:rFonts w:eastAsia="Calibri"/>
          <w:b/>
          <w:i/>
          <w:sz w:val="20"/>
          <w:szCs w:val="20"/>
          <w:lang w:val="en-US"/>
        </w:rPr>
      </w:pPr>
      <w:r w:rsidRPr="00AC57EA">
        <w:rPr>
          <w:rFonts w:eastAsia="MS Mincho"/>
          <w:sz w:val="20"/>
          <w:szCs w:val="20"/>
          <w:lang w:val="en-US" w:bidi="en-US"/>
        </w:rPr>
        <w:t>Consequently, even though the amount verified in the Court’s case file amounts to</w:t>
      </w:r>
      <w:r w:rsidR="00CA0DA6" w:rsidRPr="00AC57EA">
        <w:rPr>
          <w:rFonts w:eastAsia="Calibri"/>
          <w:sz w:val="20"/>
          <w:szCs w:val="20"/>
          <w:lang w:val="en-US"/>
        </w:rPr>
        <w:t xml:space="preserve"> US$</w:t>
      </w:r>
      <w:r w:rsidR="00171E27" w:rsidRPr="00AC57EA">
        <w:rPr>
          <w:rFonts w:eastAsia="Calibri"/>
          <w:sz w:val="20"/>
          <w:szCs w:val="20"/>
          <w:lang w:val="en-US"/>
        </w:rPr>
        <w:t>2</w:t>
      </w:r>
      <w:r w:rsidRPr="00AC57EA">
        <w:rPr>
          <w:rFonts w:eastAsia="Calibri"/>
          <w:sz w:val="20"/>
          <w:szCs w:val="20"/>
          <w:lang w:val="en-US"/>
        </w:rPr>
        <w:t>,</w:t>
      </w:r>
      <w:r w:rsidR="00171E27" w:rsidRPr="00AC57EA">
        <w:rPr>
          <w:rFonts w:eastAsia="Calibri"/>
          <w:sz w:val="20"/>
          <w:szCs w:val="20"/>
          <w:lang w:val="en-US"/>
        </w:rPr>
        <w:t>1</w:t>
      </w:r>
      <w:r w:rsidR="005E0BD0" w:rsidRPr="00AC57EA">
        <w:rPr>
          <w:rFonts w:eastAsia="Calibri"/>
          <w:sz w:val="20"/>
          <w:szCs w:val="20"/>
          <w:lang w:val="en-US"/>
        </w:rPr>
        <w:t>3</w:t>
      </w:r>
      <w:r w:rsidR="00C742FD" w:rsidRPr="00AC57EA">
        <w:rPr>
          <w:rFonts w:eastAsia="Calibri"/>
          <w:sz w:val="20"/>
          <w:szCs w:val="20"/>
          <w:lang w:val="en-US"/>
        </w:rPr>
        <w:t>1</w:t>
      </w:r>
      <w:r w:rsidR="00CC16C3" w:rsidRPr="00AC57EA">
        <w:rPr>
          <w:rFonts w:eastAsia="Calibri"/>
          <w:sz w:val="20"/>
          <w:szCs w:val="20"/>
          <w:lang w:val="en-US"/>
        </w:rPr>
        <w:t>.</w:t>
      </w:r>
      <w:r w:rsidR="005E0BD0" w:rsidRPr="00AC57EA">
        <w:rPr>
          <w:rFonts w:eastAsia="Calibri"/>
          <w:sz w:val="20"/>
          <w:szCs w:val="20"/>
          <w:lang w:val="en-US"/>
        </w:rPr>
        <w:t>26</w:t>
      </w:r>
      <w:r w:rsidR="00C742FD" w:rsidRPr="00AC57EA">
        <w:rPr>
          <w:rFonts w:eastAsia="Calibri"/>
          <w:sz w:val="20"/>
          <w:szCs w:val="20"/>
          <w:lang w:val="en-US"/>
        </w:rPr>
        <w:t xml:space="preserve"> (</w:t>
      </w:r>
      <w:r w:rsidRPr="00AC57EA">
        <w:rPr>
          <w:rFonts w:eastAsia="Calibri"/>
          <w:sz w:val="20"/>
          <w:szCs w:val="20"/>
          <w:lang w:val="en-US"/>
        </w:rPr>
        <w:t xml:space="preserve">two thousand one hundred and thirty-one United States dollars </w:t>
      </w:r>
      <w:r w:rsidR="00CC16C3" w:rsidRPr="00AC57EA">
        <w:rPr>
          <w:rFonts w:eastAsia="Calibri"/>
          <w:sz w:val="20"/>
          <w:szCs w:val="20"/>
          <w:lang w:val="en-US"/>
        </w:rPr>
        <w:t>and</w:t>
      </w:r>
      <w:r w:rsidRPr="00AC57EA">
        <w:rPr>
          <w:rFonts w:eastAsia="Calibri"/>
          <w:sz w:val="20"/>
          <w:szCs w:val="20"/>
          <w:lang w:val="en-US"/>
        </w:rPr>
        <w:t xml:space="preserve"> twenty-six cents</w:t>
      </w:r>
      <w:r w:rsidR="00C742FD" w:rsidRPr="00AC57EA">
        <w:rPr>
          <w:rFonts w:eastAsia="Calibri"/>
          <w:sz w:val="20"/>
          <w:szCs w:val="20"/>
          <w:lang w:val="en-US"/>
        </w:rPr>
        <w:t>)</w:t>
      </w:r>
      <w:r w:rsidR="00CA0DA6" w:rsidRPr="00AC57EA">
        <w:rPr>
          <w:rFonts w:eastAsia="Calibri"/>
          <w:sz w:val="20"/>
          <w:szCs w:val="20"/>
          <w:lang w:val="en-US"/>
        </w:rPr>
        <w:t xml:space="preserve">, </w:t>
      </w:r>
      <w:r w:rsidR="00B7258C" w:rsidRPr="00AC57EA">
        <w:rPr>
          <w:rFonts w:eastAsia="Calibri"/>
          <w:sz w:val="20"/>
          <w:szCs w:val="20"/>
          <w:lang w:val="en-US"/>
        </w:rPr>
        <w:t>the Court</w:t>
      </w:r>
      <w:r w:rsidR="00CA0DA6" w:rsidRPr="00AC57EA">
        <w:rPr>
          <w:rFonts w:eastAsia="Calibri"/>
          <w:sz w:val="20"/>
          <w:szCs w:val="20"/>
          <w:lang w:val="en-US"/>
        </w:rPr>
        <w:t xml:space="preserve"> </w:t>
      </w:r>
      <w:r w:rsidRPr="00AC57EA">
        <w:rPr>
          <w:rFonts w:eastAsia="Calibri"/>
          <w:sz w:val="20"/>
          <w:szCs w:val="20"/>
          <w:lang w:val="en-US"/>
        </w:rPr>
        <w:t>finds it reasonable to presume that V.P.C. incurred additional expenses derived from the human rights violations committed by the State in this case. The Court therefore finds it reasonable to order the payment of the sum of</w:t>
      </w:r>
      <w:r w:rsidR="00CA0DA6" w:rsidRPr="00AC57EA">
        <w:rPr>
          <w:rFonts w:eastAsia="Calibri"/>
          <w:sz w:val="20"/>
          <w:szCs w:val="20"/>
          <w:lang w:val="en-US"/>
        </w:rPr>
        <w:t xml:space="preserve"> </w:t>
      </w:r>
      <w:r w:rsidR="009D661E" w:rsidRPr="00AC57EA">
        <w:rPr>
          <w:rFonts w:eastAsia="Calibri"/>
          <w:sz w:val="20"/>
          <w:szCs w:val="20"/>
          <w:lang w:val="en-US"/>
        </w:rPr>
        <w:t>US$</w:t>
      </w:r>
      <w:r w:rsidR="00C56643" w:rsidRPr="00AC57EA">
        <w:rPr>
          <w:rFonts w:eastAsia="Calibri"/>
          <w:sz w:val="20"/>
          <w:szCs w:val="20"/>
          <w:lang w:val="en-US"/>
        </w:rPr>
        <w:t>7</w:t>
      </w:r>
      <w:r w:rsidR="00474CE5" w:rsidRPr="00AC57EA">
        <w:rPr>
          <w:rFonts w:eastAsia="Calibri"/>
          <w:sz w:val="20"/>
          <w:szCs w:val="20"/>
          <w:lang w:val="en-US"/>
        </w:rPr>
        <w:t>,000.00</w:t>
      </w:r>
      <w:r w:rsidR="009D661E" w:rsidRPr="00AC57EA">
        <w:rPr>
          <w:rFonts w:eastAsia="Calibri"/>
          <w:sz w:val="20"/>
          <w:szCs w:val="20"/>
          <w:lang w:val="en-US"/>
        </w:rPr>
        <w:t xml:space="preserve"> (</w:t>
      </w:r>
      <w:r w:rsidR="00C56643" w:rsidRPr="00AC57EA">
        <w:rPr>
          <w:rFonts w:eastAsia="Calibri"/>
          <w:sz w:val="20"/>
          <w:szCs w:val="20"/>
          <w:lang w:val="en-US"/>
        </w:rPr>
        <w:t>s</w:t>
      </w:r>
      <w:r w:rsidRPr="00AC57EA">
        <w:rPr>
          <w:rFonts w:eastAsia="Calibri"/>
          <w:sz w:val="20"/>
          <w:szCs w:val="20"/>
          <w:lang w:val="en-US"/>
        </w:rPr>
        <w:t>even</w:t>
      </w:r>
      <w:r w:rsidR="00CA0DA6" w:rsidRPr="00AC57EA">
        <w:rPr>
          <w:rFonts w:eastAsia="Calibri"/>
          <w:sz w:val="20"/>
          <w:szCs w:val="20"/>
          <w:lang w:val="en-US"/>
        </w:rPr>
        <w:t xml:space="preserve"> </w:t>
      </w:r>
      <w:r w:rsidR="006B773E" w:rsidRPr="00AC57EA">
        <w:rPr>
          <w:rFonts w:eastAsia="Calibri"/>
          <w:sz w:val="20"/>
          <w:szCs w:val="20"/>
          <w:lang w:val="en-US"/>
        </w:rPr>
        <w:t>thousand United States dollars</w:t>
      </w:r>
      <w:r w:rsidR="009D661E" w:rsidRPr="00AC57EA">
        <w:rPr>
          <w:rFonts w:eastAsia="Calibri"/>
          <w:sz w:val="20"/>
          <w:szCs w:val="20"/>
          <w:lang w:val="en-US"/>
        </w:rPr>
        <w:t>)</w:t>
      </w:r>
      <w:r w:rsidR="00CA0DA6" w:rsidRPr="00AC57EA">
        <w:rPr>
          <w:bCs/>
          <w:sz w:val="20"/>
          <w:szCs w:val="20"/>
          <w:lang w:val="en-US"/>
        </w:rPr>
        <w:t xml:space="preserve">, </w:t>
      </w:r>
      <w:r w:rsidRPr="00AC57EA">
        <w:rPr>
          <w:bCs/>
          <w:sz w:val="20"/>
          <w:szCs w:val="20"/>
          <w:lang w:val="en-US"/>
        </w:rPr>
        <w:t xml:space="preserve">for </w:t>
      </w:r>
      <w:r w:rsidR="00D2733C" w:rsidRPr="00AC57EA">
        <w:rPr>
          <w:rFonts w:eastAsia="MS Mincho"/>
          <w:bCs/>
          <w:sz w:val="20"/>
          <w:szCs w:val="20"/>
          <w:lang w:val="en-US" w:eastAsia="en-US" w:bidi="en-US"/>
        </w:rPr>
        <w:t>indirect damage</w:t>
      </w:r>
      <w:r w:rsidR="00CA0DA6" w:rsidRPr="00AC57EA">
        <w:rPr>
          <w:rFonts w:eastAsia="MS Mincho"/>
          <w:bCs/>
          <w:sz w:val="20"/>
          <w:szCs w:val="20"/>
          <w:lang w:val="en-US" w:eastAsia="en-US" w:bidi="en-US"/>
        </w:rPr>
        <w:t xml:space="preserve">, </w:t>
      </w:r>
      <w:r w:rsidR="001C09E3" w:rsidRPr="00AC57EA">
        <w:rPr>
          <w:sz w:val="20"/>
          <w:lang w:val="en-US"/>
        </w:rPr>
        <w:t>and this</w:t>
      </w:r>
      <w:r w:rsidRPr="00AC57EA">
        <w:rPr>
          <w:sz w:val="20"/>
          <w:lang w:val="en-US"/>
        </w:rPr>
        <w:t xml:space="preserve"> must be paid to V.P.C.</w:t>
      </w:r>
    </w:p>
    <w:p w14:paraId="593C8689" w14:textId="77777777" w:rsidR="00BB0638" w:rsidRPr="00AC57EA" w:rsidRDefault="00BB0638" w:rsidP="00BB0638">
      <w:pPr>
        <w:tabs>
          <w:tab w:val="left" w:pos="567"/>
        </w:tabs>
        <w:autoSpaceDE w:val="0"/>
        <w:autoSpaceDN w:val="0"/>
        <w:spacing w:line="240" w:lineRule="auto"/>
        <w:textAlignment w:val="auto"/>
        <w:outlineLvl w:val="2"/>
        <w:rPr>
          <w:rFonts w:eastAsia="Calibri"/>
          <w:b/>
          <w:i/>
          <w:sz w:val="20"/>
          <w:szCs w:val="20"/>
          <w:lang w:val="en-US"/>
        </w:rPr>
      </w:pPr>
    </w:p>
    <w:p w14:paraId="446E9F5D" w14:textId="0ADF183B" w:rsidR="009D661E" w:rsidRPr="00AC57EA" w:rsidRDefault="00D2733C" w:rsidP="002C415B">
      <w:pPr>
        <w:numPr>
          <w:ilvl w:val="0"/>
          <w:numId w:val="12"/>
        </w:numPr>
        <w:spacing w:line="240" w:lineRule="auto"/>
        <w:rPr>
          <w:i/>
          <w:iCs/>
          <w:sz w:val="20"/>
          <w:szCs w:val="20"/>
          <w:lang w:val="en-US"/>
        </w:rPr>
      </w:pPr>
      <w:r w:rsidRPr="00AC57EA">
        <w:rPr>
          <w:i/>
          <w:iCs/>
          <w:sz w:val="20"/>
          <w:szCs w:val="20"/>
          <w:lang w:val="en-US"/>
        </w:rPr>
        <w:t>Loss of earnings</w:t>
      </w:r>
    </w:p>
    <w:p w14:paraId="62E49B88" w14:textId="77777777" w:rsidR="009D661E" w:rsidRPr="00AC57EA" w:rsidRDefault="009D661E" w:rsidP="009D661E">
      <w:pPr>
        <w:tabs>
          <w:tab w:val="left" w:pos="0"/>
          <w:tab w:val="num" w:pos="12305"/>
        </w:tabs>
        <w:spacing w:line="240" w:lineRule="auto"/>
        <w:ind w:right="-90"/>
        <w:rPr>
          <w:rFonts w:eastAsia="Calibri"/>
          <w:b/>
          <w:i/>
          <w:sz w:val="20"/>
          <w:szCs w:val="20"/>
          <w:lang w:val="en-US"/>
        </w:rPr>
      </w:pPr>
    </w:p>
    <w:p w14:paraId="1010C45A" w14:textId="16D3B7E4" w:rsidR="001C09E3" w:rsidRPr="00AC57EA" w:rsidRDefault="00171E27" w:rsidP="001C09E3">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rFonts w:eastAsia="Verdana" w:cs="Verdana"/>
          <w:sz w:val="20"/>
          <w:szCs w:val="20"/>
          <w:lang w:val="en-US"/>
        </w:rPr>
        <w:t xml:space="preserve">The </w:t>
      </w:r>
      <w:r w:rsidRPr="00AC57EA">
        <w:rPr>
          <w:rFonts w:eastAsia="Verdana" w:cs="Verdana"/>
          <w:b/>
          <w:bCs/>
          <w:i/>
          <w:iCs/>
          <w:sz w:val="20"/>
          <w:szCs w:val="20"/>
          <w:lang w:val="en-US"/>
        </w:rPr>
        <w:t>representatives</w:t>
      </w:r>
      <w:r w:rsidR="009D661E" w:rsidRPr="00AC57EA">
        <w:rPr>
          <w:rFonts w:eastAsia="Verdana" w:cs="Verdana"/>
          <w:sz w:val="20"/>
          <w:szCs w:val="20"/>
          <w:lang w:val="en-US"/>
        </w:rPr>
        <w:t xml:space="preserve"> </w:t>
      </w:r>
      <w:r w:rsidR="001C09E3" w:rsidRPr="00AC57EA">
        <w:rPr>
          <w:rFonts w:eastAsia="Verdana" w:cs="Verdana"/>
          <w:sz w:val="20"/>
          <w:szCs w:val="20"/>
          <w:lang w:val="en-US"/>
        </w:rPr>
        <w:t>asked</w:t>
      </w:r>
      <w:r w:rsidR="009D661E" w:rsidRPr="00AC57EA">
        <w:rPr>
          <w:rFonts w:eastAsia="Verdana" w:cs="Verdana"/>
          <w:sz w:val="20"/>
          <w:szCs w:val="20"/>
          <w:lang w:val="en-US"/>
        </w:rPr>
        <w:t xml:space="preserve"> </w:t>
      </w:r>
      <w:r w:rsidR="00B7258C" w:rsidRPr="00AC57EA">
        <w:rPr>
          <w:rFonts w:eastAsia="Verdana" w:cs="Verdana"/>
          <w:sz w:val="20"/>
          <w:szCs w:val="20"/>
          <w:lang w:val="en-US"/>
        </w:rPr>
        <w:t>the Court</w:t>
      </w:r>
      <w:r w:rsidR="009D661E" w:rsidRPr="00AC57EA">
        <w:rPr>
          <w:rFonts w:eastAsia="Verdana" w:cs="Verdana"/>
          <w:sz w:val="20"/>
          <w:szCs w:val="20"/>
          <w:lang w:val="en-US"/>
        </w:rPr>
        <w:t xml:space="preserve"> </w:t>
      </w:r>
      <w:r w:rsidR="001C09E3" w:rsidRPr="00AC57EA">
        <w:rPr>
          <w:rFonts w:eastAsia="Verdana" w:cs="Verdana"/>
          <w:sz w:val="20"/>
          <w:szCs w:val="20"/>
          <w:lang w:val="en-US"/>
        </w:rPr>
        <w:t>to order the State to pay</w:t>
      </w:r>
      <w:r w:rsidR="009D661E" w:rsidRPr="00AC57EA">
        <w:rPr>
          <w:rFonts w:eastAsia="Verdana" w:cs="Verdana"/>
          <w:sz w:val="20"/>
          <w:szCs w:val="20"/>
          <w:lang w:val="en-US"/>
        </w:rPr>
        <w:t xml:space="preserve"> </w:t>
      </w:r>
      <w:r w:rsidR="00EC52D7" w:rsidRPr="00AC57EA">
        <w:rPr>
          <w:rFonts w:eastAsia="Verdana" w:cs="Verdana"/>
          <w:sz w:val="20"/>
          <w:szCs w:val="20"/>
          <w:lang w:val="en-US"/>
        </w:rPr>
        <w:t>the petitioner</w:t>
      </w:r>
      <w:r w:rsidR="001C09E3" w:rsidRPr="00AC57EA">
        <w:rPr>
          <w:rFonts w:eastAsia="Verdana" w:cs="Verdana"/>
          <w:sz w:val="20"/>
          <w:szCs w:val="20"/>
          <w:lang w:val="en-US"/>
        </w:rPr>
        <w:t>,</w:t>
      </w:r>
      <w:r w:rsidR="009D661E" w:rsidRPr="00AC57EA">
        <w:rPr>
          <w:rFonts w:eastAsia="Verdana" w:cs="Verdana"/>
          <w:sz w:val="20"/>
          <w:szCs w:val="20"/>
          <w:lang w:val="en-US"/>
        </w:rPr>
        <w:t xml:space="preserve"> V.P.C., </w:t>
      </w:r>
      <w:r w:rsidR="001C09E3" w:rsidRPr="00AC57EA">
        <w:rPr>
          <w:rFonts w:eastAsia="Verdana" w:cs="Verdana"/>
          <w:sz w:val="20"/>
          <w:szCs w:val="20"/>
          <w:lang w:val="en-US"/>
        </w:rPr>
        <w:t xml:space="preserve">within six months of notification of the judgment, the sum of </w:t>
      </w:r>
      <w:r w:rsidR="009D661E" w:rsidRPr="00AC57EA">
        <w:rPr>
          <w:rFonts w:eastAsia="Verdana" w:cs="Verdana"/>
          <w:sz w:val="20"/>
          <w:szCs w:val="20"/>
          <w:lang w:val="en-US"/>
        </w:rPr>
        <w:t>US$34</w:t>
      </w:r>
      <w:r w:rsidR="00D2733C" w:rsidRPr="00AC57EA">
        <w:rPr>
          <w:rFonts w:eastAsia="Verdana" w:cs="Verdana"/>
          <w:sz w:val="20"/>
          <w:szCs w:val="20"/>
          <w:lang w:val="en-US"/>
        </w:rPr>
        <w:t>,</w:t>
      </w:r>
      <w:r w:rsidR="009D661E" w:rsidRPr="00AC57EA">
        <w:rPr>
          <w:rFonts w:eastAsia="Verdana" w:cs="Verdana"/>
          <w:sz w:val="20"/>
          <w:szCs w:val="20"/>
          <w:lang w:val="en-US"/>
        </w:rPr>
        <w:t>183</w:t>
      </w:r>
      <w:r w:rsidR="00D2733C" w:rsidRPr="00AC57EA">
        <w:rPr>
          <w:rFonts w:eastAsia="Verdana" w:cs="Verdana"/>
          <w:sz w:val="20"/>
          <w:szCs w:val="20"/>
          <w:lang w:val="en-US"/>
        </w:rPr>
        <w:t>.</w:t>
      </w:r>
      <w:r w:rsidR="009D661E" w:rsidRPr="00AC57EA">
        <w:rPr>
          <w:rFonts w:eastAsia="Verdana" w:cs="Verdana"/>
          <w:sz w:val="20"/>
          <w:szCs w:val="20"/>
          <w:lang w:val="en-US"/>
        </w:rPr>
        <w:t xml:space="preserve">09 </w:t>
      </w:r>
      <w:r w:rsidR="001C09E3" w:rsidRPr="00AC57EA">
        <w:rPr>
          <w:rFonts w:eastAsia="Verdana" w:cs="Verdana"/>
          <w:sz w:val="20"/>
          <w:szCs w:val="20"/>
          <w:lang w:val="en-US"/>
        </w:rPr>
        <w:t xml:space="preserve">for </w:t>
      </w:r>
      <w:r w:rsidR="009D661E" w:rsidRPr="00AC57EA">
        <w:rPr>
          <w:rFonts w:eastAsia="Verdana" w:cs="Verdana"/>
          <w:sz w:val="20"/>
          <w:szCs w:val="20"/>
          <w:lang w:val="en-US"/>
        </w:rPr>
        <w:t>“</w:t>
      </w:r>
      <w:r w:rsidR="007E72AE" w:rsidRPr="00AC57EA">
        <w:rPr>
          <w:rFonts w:eastAsia="Verdana" w:cs="Verdana"/>
          <w:sz w:val="20"/>
          <w:szCs w:val="20"/>
          <w:lang w:val="en-US"/>
        </w:rPr>
        <w:t>pecuniary damage</w:t>
      </w:r>
      <w:r w:rsidR="009D661E" w:rsidRPr="00AC57EA">
        <w:rPr>
          <w:rFonts w:eastAsia="Verdana" w:cs="Verdana"/>
          <w:sz w:val="20"/>
          <w:szCs w:val="20"/>
          <w:lang w:val="en-US"/>
        </w:rPr>
        <w:t xml:space="preserve"> </w:t>
      </w:r>
      <w:r w:rsidR="001C09E3" w:rsidRPr="00AC57EA">
        <w:rPr>
          <w:rFonts w:eastAsia="Verdana" w:cs="Verdana"/>
          <w:sz w:val="20"/>
          <w:szCs w:val="20"/>
          <w:lang w:val="en-US"/>
        </w:rPr>
        <w:t xml:space="preserve">owing to loss of earnings.” They argued that V.P.C. had a monthly income of US$600.00, plus a month’s salary for vacations and the thirteenth month bonus salary, to which should be added approximately </w:t>
      </w:r>
      <w:r w:rsidR="009D661E" w:rsidRPr="00AC57EA">
        <w:rPr>
          <w:rFonts w:eastAsia="Verdana" w:cs="Verdana"/>
          <w:sz w:val="20"/>
          <w:szCs w:val="20"/>
          <w:lang w:val="en-US"/>
        </w:rPr>
        <w:t>US$2</w:t>
      </w:r>
      <w:r w:rsidR="00D2733C" w:rsidRPr="00AC57EA">
        <w:rPr>
          <w:rFonts w:eastAsia="Verdana" w:cs="Verdana"/>
          <w:sz w:val="20"/>
          <w:szCs w:val="20"/>
          <w:lang w:val="en-US"/>
        </w:rPr>
        <w:t xml:space="preserve">00.00 </w:t>
      </w:r>
      <w:r w:rsidR="001C09E3" w:rsidRPr="00AC57EA">
        <w:rPr>
          <w:rFonts w:eastAsia="Verdana" w:cs="Verdana"/>
          <w:sz w:val="20"/>
          <w:szCs w:val="20"/>
          <w:lang w:val="en-US"/>
        </w:rPr>
        <w:t xml:space="preserve">that she received informally from clients </w:t>
      </w:r>
      <w:r w:rsidR="00CC16C3" w:rsidRPr="00AC57EA">
        <w:rPr>
          <w:rFonts w:eastAsia="Verdana" w:cs="Verdana"/>
          <w:sz w:val="20"/>
          <w:szCs w:val="20"/>
          <w:lang w:val="en-US"/>
        </w:rPr>
        <w:t>for</w:t>
      </w:r>
      <w:r w:rsidR="001C09E3" w:rsidRPr="00AC57EA">
        <w:rPr>
          <w:rFonts w:eastAsia="Verdana" w:cs="Verdana"/>
          <w:sz w:val="20"/>
          <w:szCs w:val="20"/>
          <w:lang w:val="en-US"/>
        </w:rPr>
        <w:t xml:space="preserve"> conducting judicial procedures. Therefore, they asked</w:t>
      </w:r>
      <w:r w:rsidR="00CC16C3" w:rsidRPr="00AC57EA">
        <w:rPr>
          <w:rFonts w:eastAsia="Verdana" w:cs="Verdana"/>
          <w:sz w:val="20"/>
          <w:szCs w:val="20"/>
          <w:lang w:val="en-US"/>
        </w:rPr>
        <w:t xml:space="preserve"> the Court to take </w:t>
      </w:r>
      <w:r w:rsidR="001C09E3" w:rsidRPr="00AC57EA">
        <w:rPr>
          <w:rFonts w:eastAsia="Verdana" w:cs="Verdana"/>
          <w:sz w:val="20"/>
          <w:szCs w:val="20"/>
          <w:lang w:val="en-US"/>
        </w:rPr>
        <w:t>the sum of US$800,00 as the reference for calculating loss of earnings. They added that the petitioner was obliged to abandon her work in October 2001, when V.R.P.’s health worsened. This situation of unemployment lasted until December 2002, when she left Nicaragua. In the United States she remained unemployed until October 2004.</w:t>
      </w:r>
    </w:p>
    <w:p w14:paraId="5C86E7D4" w14:textId="77777777" w:rsidR="009D661E" w:rsidRPr="00AC57EA" w:rsidRDefault="009D661E" w:rsidP="009D661E">
      <w:pPr>
        <w:tabs>
          <w:tab w:val="left" w:pos="567"/>
        </w:tabs>
        <w:spacing w:line="240" w:lineRule="auto"/>
        <w:rPr>
          <w:rFonts w:eastAsia="Calibri"/>
          <w:sz w:val="20"/>
          <w:szCs w:val="20"/>
          <w:lang w:val="en-US"/>
        </w:rPr>
      </w:pPr>
    </w:p>
    <w:p w14:paraId="30EE8C80" w14:textId="6C1EFB58" w:rsidR="009D661E" w:rsidRPr="00AC57EA" w:rsidRDefault="00EC52D7" w:rsidP="009D661E">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rFonts w:eastAsia="Verdana" w:cs="Verdana"/>
          <w:bCs/>
          <w:sz w:val="20"/>
          <w:szCs w:val="20"/>
          <w:lang w:val="en-US"/>
        </w:rPr>
        <w:t xml:space="preserve">The </w:t>
      </w:r>
      <w:r w:rsidRPr="00AC57EA">
        <w:rPr>
          <w:rFonts w:eastAsia="Verdana" w:cs="Verdana"/>
          <w:b/>
          <w:i/>
          <w:iCs/>
          <w:sz w:val="20"/>
          <w:szCs w:val="20"/>
          <w:lang w:val="en-US"/>
        </w:rPr>
        <w:t>State</w:t>
      </w:r>
      <w:r w:rsidR="009D661E" w:rsidRPr="00AC57EA">
        <w:rPr>
          <w:rFonts w:eastAsia="Verdana" w:cs="Verdana"/>
          <w:b/>
          <w:bCs/>
          <w:i/>
          <w:sz w:val="20"/>
          <w:szCs w:val="20"/>
          <w:lang w:val="en-US"/>
        </w:rPr>
        <w:t xml:space="preserve"> </w:t>
      </w:r>
      <w:r w:rsidR="001C09E3" w:rsidRPr="00AC57EA">
        <w:rPr>
          <w:rFonts w:eastAsia="Verdana" w:cs="Verdana"/>
          <w:bCs/>
          <w:sz w:val="20"/>
          <w:szCs w:val="20"/>
          <w:lang w:val="en-US"/>
        </w:rPr>
        <w:t>indicated that the information presented to calculate the amount requested lacked any substantiation because it was accompanied by a “certification of a salary supposed</w:t>
      </w:r>
      <w:r w:rsidR="00CC16C3" w:rsidRPr="00AC57EA">
        <w:rPr>
          <w:rFonts w:eastAsia="Verdana" w:cs="Verdana"/>
          <w:bCs/>
          <w:sz w:val="20"/>
          <w:szCs w:val="20"/>
          <w:lang w:val="en-US"/>
        </w:rPr>
        <w:t>ly</w:t>
      </w:r>
      <w:r w:rsidR="001C09E3" w:rsidRPr="00AC57EA">
        <w:rPr>
          <w:rFonts w:eastAsia="Verdana" w:cs="Verdana"/>
          <w:bCs/>
          <w:sz w:val="20"/>
          <w:szCs w:val="20"/>
          <w:lang w:val="en-US"/>
        </w:rPr>
        <w:t xml:space="preserve"> perceived” and because the amount indicated did not accord with the salary that an office manager or assistant earned at the time, because it was more than the salary of “judges or prosecutors with around 10-20 years’ experience.</w:t>
      </w:r>
      <w:r w:rsidR="00381638" w:rsidRPr="00AC57EA">
        <w:rPr>
          <w:rFonts w:eastAsia="Verdana" w:cs="Verdana"/>
          <w:bCs/>
          <w:sz w:val="20"/>
          <w:szCs w:val="20"/>
          <w:lang w:val="en-US"/>
        </w:rPr>
        <w:t>” It added that an amount had been added that did not constitute salary, and also a “thirteenth month without any payment stub.”</w:t>
      </w:r>
    </w:p>
    <w:p w14:paraId="35238318" w14:textId="77777777" w:rsidR="00CC16C3" w:rsidRPr="00AC57EA" w:rsidRDefault="00CC16C3" w:rsidP="00CC16C3">
      <w:pPr>
        <w:tabs>
          <w:tab w:val="left" w:pos="567"/>
        </w:tabs>
        <w:spacing w:line="240" w:lineRule="auto"/>
        <w:textAlignment w:val="auto"/>
        <w:rPr>
          <w:rFonts w:eastAsia="Calibri"/>
          <w:b/>
          <w:i/>
          <w:sz w:val="20"/>
          <w:szCs w:val="20"/>
          <w:lang w:val="en-US"/>
        </w:rPr>
      </w:pPr>
    </w:p>
    <w:p w14:paraId="4A90D26E" w14:textId="55976007" w:rsidR="009D661E" w:rsidRPr="00AC57EA" w:rsidRDefault="00381638" w:rsidP="00193498">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rFonts w:eastAsia="Verdana" w:cs="Verdana"/>
          <w:bCs/>
          <w:sz w:val="20"/>
          <w:szCs w:val="20"/>
          <w:lang w:val="en-US"/>
        </w:rPr>
        <w:t xml:space="preserve">The State also indicated that, in a previous case, in order to calculate reparations, the Court had only considered 50% of a professional’s salary. </w:t>
      </w:r>
      <w:r w:rsidR="00193498" w:rsidRPr="00AC57EA">
        <w:rPr>
          <w:rFonts w:eastAsia="Verdana" w:cs="Verdana"/>
          <w:bCs/>
          <w:sz w:val="20"/>
          <w:szCs w:val="20"/>
          <w:lang w:val="en-US"/>
        </w:rPr>
        <w:t>It therefore asked that, in this case, the Court do the same; in other words, calculate reparations in favor of V.P.C., as a probable office worker, without a professional title or specialization, based on the sum of US$300,00, which was equivalent to 50% of the amount indicated by the presumed victims’ representatives as the basic salary received by the petitioner. It also argued that, according to Nicaraguan labor laws, every worker had the right to the employer paying one month’s additional salary after a year of continuous employment or the proportiona</w:t>
      </w:r>
      <w:r w:rsidR="00CC16C3" w:rsidRPr="00AC57EA">
        <w:rPr>
          <w:rFonts w:eastAsia="Verdana" w:cs="Verdana"/>
          <w:bCs/>
          <w:sz w:val="20"/>
          <w:szCs w:val="20"/>
          <w:lang w:val="en-US"/>
        </w:rPr>
        <w:t>te</w:t>
      </w:r>
      <w:r w:rsidR="00193498" w:rsidRPr="00AC57EA">
        <w:rPr>
          <w:rFonts w:eastAsia="Verdana" w:cs="Verdana"/>
          <w:bCs/>
          <w:sz w:val="20"/>
          <w:szCs w:val="20"/>
          <w:lang w:val="en-US"/>
        </w:rPr>
        <w:t xml:space="preserve"> part corresponding to the period worked. Therefore, V.P.C. would have had the right to receive a complete salary for this concept in 2002 and 2003, while in 2001, she would only have received the proportiona</w:t>
      </w:r>
      <w:r w:rsidR="00CC16C3" w:rsidRPr="00AC57EA">
        <w:rPr>
          <w:rFonts w:eastAsia="Verdana" w:cs="Verdana"/>
          <w:bCs/>
          <w:sz w:val="20"/>
          <w:szCs w:val="20"/>
          <w:lang w:val="en-US"/>
        </w:rPr>
        <w:t>te</w:t>
      </w:r>
      <w:r w:rsidR="00193498" w:rsidRPr="00AC57EA">
        <w:rPr>
          <w:rFonts w:eastAsia="Verdana" w:cs="Verdana"/>
          <w:bCs/>
          <w:sz w:val="20"/>
          <w:szCs w:val="20"/>
          <w:lang w:val="en-US"/>
        </w:rPr>
        <w:t xml:space="preserve"> part corresponding to the months of October, November and December and, in 2004, the proportional part corresponding to the months of January to September. Based on the foregoing, the State calculated that the amount </w:t>
      </w:r>
      <w:r w:rsidR="002A01B7" w:rsidRPr="00AC57EA">
        <w:rPr>
          <w:rFonts w:eastAsia="Verdana" w:cs="Verdana"/>
          <w:bCs/>
          <w:sz w:val="20"/>
          <w:szCs w:val="20"/>
          <w:lang w:val="en-US"/>
        </w:rPr>
        <w:t>to</w:t>
      </w:r>
      <w:r w:rsidR="00193498" w:rsidRPr="00AC57EA">
        <w:rPr>
          <w:rFonts w:eastAsia="Verdana" w:cs="Verdana"/>
          <w:bCs/>
          <w:sz w:val="20"/>
          <w:szCs w:val="20"/>
          <w:lang w:val="en-US"/>
        </w:rPr>
        <w:t xml:space="preserve"> be paid for </w:t>
      </w:r>
      <w:r w:rsidR="00D2733C" w:rsidRPr="00AC57EA">
        <w:rPr>
          <w:rFonts w:eastAsia="Verdana" w:cs="Verdana"/>
          <w:bCs/>
          <w:sz w:val="20"/>
          <w:szCs w:val="20"/>
          <w:lang w:val="en-US"/>
        </w:rPr>
        <w:t>loss of earnings</w:t>
      </w:r>
      <w:r w:rsidR="009D661E" w:rsidRPr="00AC57EA">
        <w:rPr>
          <w:rFonts w:eastAsia="Verdana" w:cs="Verdana"/>
          <w:bCs/>
          <w:sz w:val="20"/>
          <w:szCs w:val="20"/>
          <w:lang w:val="en-US"/>
        </w:rPr>
        <w:t xml:space="preserve"> </w:t>
      </w:r>
      <w:r w:rsidR="00F00B8C" w:rsidRPr="00AC57EA">
        <w:rPr>
          <w:rFonts w:eastAsia="Verdana" w:cs="Verdana"/>
          <w:bCs/>
          <w:sz w:val="20"/>
          <w:szCs w:val="20"/>
          <w:lang w:val="en-US"/>
        </w:rPr>
        <w:t xml:space="preserve">should be established </w:t>
      </w:r>
      <w:r w:rsidR="00CC16C3" w:rsidRPr="00AC57EA">
        <w:rPr>
          <w:rFonts w:eastAsia="Verdana" w:cs="Verdana"/>
          <w:bCs/>
          <w:sz w:val="20"/>
          <w:szCs w:val="20"/>
          <w:lang w:val="en-US"/>
        </w:rPr>
        <w:t>at</w:t>
      </w:r>
      <w:r w:rsidR="009D661E" w:rsidRPr="00AC57EA">
        <w:rPr>
          <w:rFonts w:eastAsia="Verdana" w:cs="Verdana"/>
          <w:bCs/>
          <w:sz w:val="20"/>
          <w:szCs w:val="20"/>
          <w:lang w:val="en-US"/>
        </w:rPr>
        <w:t xml:space="preserve"> US$12</w:t>
      </w:r>
      <w:r w:rsidR="00F00B8C" w:rsidRPr="00AC57EA">
        <w:rPr>
          <w:rFonts w:eastAsia="Verdana" w:cs="Verdana"/>
          <w:bCs/>
          <w:sz w:val="20"/>
          <w:szCs w:val="20"/>
          <w:lang w:val="en-US"/>
        </w:rPr>
        <w:t>,</w:t>
      </w:r>
      <w:r w:rsidR="009D661E" w:rsidRPr="00AC57EA">
        <w:rPr>
          <w:rFonts w:eastAsia="Verdana" w:cs="Verdana"/>
          <w:bCs/>
          <w:sz w:val="20"/>
          <w:szCs w:val="20"/>
          <w:lang w:val="en-US"/>
        </w:rPr>
        <w:t>575</w:t>
      </w:r>
      <w:r w:rsidR="00F00B8C" w:rsidRPr="00AC57EA">
        <w:rPr>
          <w:rFonts w:eastAsia="Verdana" w:cs="Verdana"/>
          <w:bCs/>
          <w:sz w:val="20"/>
          <w:szCs w:val="20"/>
          <w:lang w:val="en-US"/>
        </w:rPr>
        <w:t>.</w:t>
      </w:r>
      <w:r w:rsidR="009D661E" w:rsidRPr="00AC57EA">
        <w:rPr>
          <w:rFonts w:eastAsia="Verdana" w:cs="Verdana"/>
          <w:bCs/>
          <w:sz w:val="20"/>
          <w:szCs w:val="20"/>
          <w:lang w:val="en-US"/>
        </w:rPr>
        <w:t>00</w:t>
      </w:r>
      <w:r w:rsidR="001C0BD0" w:rsidRPr="00AC57EA">
        <w:rPr>
          <w:rFonts w:eastAsia="Verdana" w:cs="Verdana"/>
          <w:bCs/>
          <w:sz w:val="20"/>
          <w:szCs w:val="20"/>
          <w:lang w:val="en-US"/>
        </w:rPr>
        <w:t>.</w:t>
      </w:r>
    </w:p>
    <w:p w14:paraId="30E5AE30" w14:textId="77777777" w:rsidR="009D661E" w:rsidRPr="00AC57EA" w:rsidRDefault="009D661E" w:rsidP="009D661E">
      <w:pPr>
        <w:tabs>
          <w:tab w:val="left" w:pos="567"/>
        </w:tabs>
        <w:spacing w:line="240" w:lineRule="auto"/>
        <w:textAlignment w:val="auto"/>
        <w:rPr>
          <w:rFonts w:eastAsia="Calibri"/>
          <w:b/>
          <w:i/>
          <w:sz w:val="20"/>
          <w:szCs w:val="20"/>
          <w:lang w:val="en-US"/>
        </w:rPr>
      </w:pPr>
    </w:p>
    <w:p w14:paraId="76583450" w14:textId="7A566F26" w:rsidR="009D661E" w:rsidRPr="00AC57EA" w:rsidRDefault="00F00B8C" w:rsidP="009D661E">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rFonts w:eastAsia="Verdana" w:cs="Verdana"/>
          <w:bCs/>
          <w:sz w:val="20"/>
          <w:szCs w:val="20"/>
          <w:lang w:val="en-US"/>
        </w:rPr>
        <w:t xml:space="preserve">It added that, according to the Ministry of Labor and the Central Bank of Nicaragua, the minimum wage in Nicaragua corresponding to the service sector, in which V.P.C. worked, ranged between </w:t>
      </w:r>
      <w:r w:rsidR="009D661E" w:rsidRPr="00AC57EA">
        <w:rPr>
          <w:rFonts w:eastAsia="Verdana" w:cs="Verdana"/>
          <w:bCs/>
          <w:sz w:val="20"/>
          <w:szCs w:val="20"/>
          <w:lang w:val="en-US"/>
        </w:rPr>
        <w:t>1</w:t>
      </w:r>
      <w:r w:rsidRPr="00AC57EA">
        <w:rPr>
          <w:rFonts w:eastAsia="Verdana" w:cs="Verdana"/>
          <w:bCs/>
          <w:sz w:val="20"/>
          <w:szCs w:val="20"/>
          <w:lang w:val="en-US"/>
        </w:rPr>
        <w:t>,</w:t>
      </w:r>
      <w:r w:rsidR="005E0BD0" w:rsidRPr="00AC57EA">
        <w:rPr>
          <w:rFonts w:eastAsia="Verdana" w:cs="Verdana"/>
          <w:bCs/>
          <w:sz w:val="20"/>
          <w:szCs w:val="20"/>
          <w:lang w:val="en-US"/>
        </w:rPr>
        <w:t>1</w:t>
      </w:r>
      <w:r w:rsidR="009D661E" w:rsidRPr="00AC57EA">
        <w:rPr>
          <w:rFonts w:eastAsia="Verdana" w:cs="Verdana"/>
          <w:bCs/>
          <w:sz w:val="20"/>
          <w:szCs w:val="20"/>
          <w:lang w:val="en-US"/>
        </w:rPr>
        <w:t>10</w:t>
      </w:r>
      <w:r w:rsidR="005B592B" w:rsidRPr="00AC57EA">
        <w:rPr>
          <w:rFonts w:eastAsia="Verdana" w:cs="Verdana"/>
          <w:bCs/>
          <w:sz w:val="20"/>
          <w:szCs w:val="20"/>
          <w:lang w:val="en-US"/>
        </w:rPr>
        <w:t>,</w:t>
      </w:r>
      <w:r w:rsidR="009D661E" w:rsidRPr="00AC57EA">
        <w:rPr>
          <w:rFonts w:eastAsia="Verdana" w:cs="Verdana"/>
          <w:bCs/>
          <w:sz w:val="20"/>
          <w:szCs w:val="20"/>
          <w:lang w:val="en-US"/>
        </w:rPr>
        <w:t>00 c</w:t>
      </w:r>
      <w:r w:rsidRPr="00AC57EA">
        <w:rPr>
          <w:rFonts w:eastAsia="Verdana" w:cs="Verdana"/>
          <w:bCs/>
          <w:sz w:val="20"/>
          <w:szCs w:val="20"/>
          <w:lang w:val="en-US"/>
        </w:rPr>
        <w:t>o</w:t>
      </w:r>
      <w:r w:rsidR="009D661E" w:rsidRPr="00AC57EA">
        <w:rPr>
          <w:rFonts w:eastAsia="Verdana" w:cs="Verdana"/>
          <w:bCs/>
          <w:sz w:val="20"/>
          <w:szCs w:val="20"/>
          <w:lang w:val="en-US"/>
        </w:rPr>
        <w:t>rdo</w:t>
      </w:r>
      <w:r w:rsidR="005E0BD0" w:rsidRPr="00AC57EA">
        <w:rPr>
          <w:rFonts w:eastAsia="Verdana" w:cs="Verdana"/>
          <w:bCs/>
          <w:sz w:val="20"/>
          <w:szCs w:val="20"/>
          <w:lang w:val="en-US"/>
        </w:rPr>
        <w:t>b</w:t>
      </w:r>
      <w:r w:rsidR="009D661E" w:rsidRPr="00AC57EA">
        <w:rPr>
          <w:rFonts w:eastAsia="Verdana" w:cs="Verdana"/>
          <w:bCs/>
          <w:sz w:val="20"/>
          <w:szCs w:val="20"/>
          <w:lang w:val="en-US"/>
        </w:rPr>
        <w:t>as</w:t>
      </w:r>
      <w:r w:rsidR="00171E27" w:rsidRPr="00AC57EA">
        <w:rPr>
          <w:rFonts w:eastAsia="Verdana" w:cs="Verdana"/>
          <w:bCs/>
          <w:sz w:val="20"/>
          <w:szCs w:val="20"/>
          <w:lang w:val="en-US"/>
        </w:rPr>
        <w:t xml:space="preserve"> and </w:t>
      </w:r>
      <w:r w:rsidR="009D661E" w:rsidRPr="00AC57EA">
        <w:rPr>
          <w:rFonts w:eastAsia="Verdana" w:cs="Verdana"/>
          <w:bCs/>
          <w:sz w:val="20"/>
          <w:szCs w:val="20"/>
          <w:lang w:val="en-US"/>
        </w:rPr>
        <w:t>1</w:t>
      </w:r>
      <w:r w:rsidRPr="00AC57EA">
        <w:rPr>
          <w:rFonts w:eastAsia="Verdana" w:cs="Verdana"/>
          <w:bCs/>
          <w:sz w:val="20"/>
          <w:szCs w:val="20"/>
          <w:lang w:val="en-US"/>
        </w:rPr>
        <w:t>,</w:t>
      </w:r>
      <w:r w:rsidR="009D661E" w:rsidRPr="00AC57EA">
        <w:rPr>
          <w:rFonts w:eastAsia="Verdana" w:cs="Verdana"/>
          <w:bCs/>
          <w:sz w:val="20"/>
          <w:szCs w:val="20"/>
          <w:lang w:val="en-US"/>
        </w:rPr>
        <w:t>752</w:t>
      </w:r>
      <w:r w:rsidR="005B592B" w:rsidRPr="00AC57EA">
        <w:rPr>
          <w:rFonts w:eastAsia="Verdana" w:cs="Verdana"/>
          <w:bCs/>
          <w:sz w:val="20"/>
          <w:szCs w:val="20"/>
          <w:lang w:val="en-US"/>
        </w:rPr>
        <w:t>,</w:t>
      </w:r>
      <w:r w:rsidR="009D661E" w:rsidRPr="00AC57EA">
        <w:rPr>
          <w:rFonts w:eastAsia="Verdana" w:cs="Verdana"/>
          <w:bCs/>
          <w:sz w:val="20"/>
          <w:szCs w:val="20"/>
          <w:lang w:val="en-US"/>
        </w:rPr>
        <w:t>00 c</w:t>
      </w:r>
      <w:r w:rsidRPr="00AC57EA">
        <w:rPr>
          <w:rFonts w:eastAsia="Verdana" w:cs="Verdana"/>
          <w:bCs/>
          <w:sz w:val="20"/>
          <w:szCs w:val="20"/>
          <w:lang w:val="en-US"/>
        </w:rPr>
        <w:t>o</w:t>
      </w:r>
      <w:r w:rsidR="009D661E" w:rsidRPr="00AC57EA">
        <w:rPr>
          <w:rFonts w:eastAsia="Verdana" w:cs="Verdana"/>
          <w:bCs/>
          <w:sz w:val="20"/>
          <w:szCs w:val="20"/>
          <w:lang w:val="en-US"/>
        </w:rPr>
        <w:t>rdo</w:t>
      </w:r>
      <w:r w:rsidR="005E0BD0" w:rsidRPr="00AC57EA">
        <w:rPr>
          <w:rFonts w:eastAsia="Verdana" w:cs="Verdana"/>
          <w:bCs/>
          <w:sz w:val="20"/>
          <w:szCs w:val="20"/>
          <w:lang w:val="en-US"/>
        </w:rPr>
        <w:t>b</w:t>
      </w:r>
      <w:r w:rsidR="009D661E" w:rsidRPr="00AC57EA">
        <w:rPr>
          <w:rFonts w:eastAsia="Verdana" w:cs="Verdana"/>
          <w:bCs/>
          <w:sz w:val="20"/>
          <w:szCs w:val="20"/>
          <w:lang w:val="en-US"/>
        </w:rPr>
        <w:t xml:space="preserve">as, </w:t>
      </w:r>
      <w:r w:rsidRPr="00AC57EA">
        <w:rPr>
          <w:rFonts w:eastAsia="Verdana" w:cs="Verdana"/>
          <w:bCs/>
          <w:sz w:val="20"/>
          <w:szCs w:val="20"/>
          <w:lang w:val="en-US"/>
        </w:rPr>
        <w:t>equivalent to</w:t>
      </w:r>
      <w:r w:rsidR="009D661E" w:rsidRPr="00AC57EA">
        <w:rPr>
          <w:rFonts w:eastAsia="Verdana" w:cs="Verdana"/>
          <w:bCs/>
          <w:sz w:val="20"/>
          <w:szCs w:val="20"/>
          <w:lang w:val="en-US"/>
        </w:rPr>
        <w:t xml:space="preserve"> </w:t>
      </w:r>
      <w:r w:rsidR="005B592B" w:rsidRPr="00AC57EA">
        <w:rPr>
          <w:rFonts w:eastAsia="Verdana" w:cs="Verdana"/>
          <w:bCs/>
          <w:sz w:val="20"/>
          <w:szCs w:val="20"/>
          <w:lang w:val="en-US"/>
        </w:rPr>
        <w:t>US</w:t>
      </w:r>
      <w:r w:rsidR="009D661E" w:rsidRPr="00AC57EA">
        <w:rPr>
          <w:rFonts w:eastAsia="Verdana" w:cs="Verdana"/>
          <w:bCs/>
          <w:sz w:val="20"/>
          <w:szCs w:val="20"/>
          <w:lang w:val="en-US"/>
        </w:rPr>
        <w:t>$82</w:t>
      </w:r>
      <w:r w:rsidR="00D2733C" w:rsidRPr="00AC57EA">
        <w:rPr>
          <w:rFonts w:eastAsia="Verdana" w:cs="Verdana"/>
          <w:bCs/>
          <w:sz w:val="20"/>
          <w:szCs w:val="20"/>
          <w:lang w:val="en-US"/>
        </w:rPr>
        <w:t>.</w:t>
      </w:r>
      <w:r w:rsidR="009D661E" w:rsidRPr="00AC57EA">
        <w:rPr>
          <w:rFonts w:eastAsia="Verdana" w:cs="Verdana"/>
          <w:bCs/>
          <w:sz w:val="20"/>
          <w:szCs w:val="20"/>
          <w:lang w:val="en-US"/>
        </w:rPr>
        <w:t>56</w:t>
      </w:r>
      <w:r w:rsidR="00171E27" w:rsidRPr="00AC57EA">
        <w:rPr>
          <w:rFonts w:eastAsia="Verdana" w:cs="Verdana"/>
          <w:bCs/>
          <w:sz w:val="20"/>
          <w:szCs w:val="20"/>
          <w:lang w:val="en-US"/>
        </w:rPr>
        <w:t xml:space="preserve"> and </w:t>
      </w:r>
      <w:r w:rsidRPr="00AC57EA">
        <w:rPr>
          <w:rFonts w:eastAsia="Verdana" w:cs="Verdana"/>
          <w:bCs/>
          <w:sz w:val="20"/>
          <w:szCs w:val="20"/>
          <w:lang w:val="en-US"/>
        </w:rPr>
        <w:t>$</w:t>
      </w:r>
      <w:r w:rsidR="009D661E" w:rsidRPr="00AC57EA">
        <w:rPr>
          <w:rFonts w:eastAsia="Verdana" w:cs="Verdana"/>
          <w:bCs/>
          <w:sz w:val="20"/>
          <w:szCs w:val="20"/>
          <w:lang w:val="en-US"/>
        </w:rPr>
        <w:t>130</w:t>
      </w:r>
      <w:r w:rsidR="00D2733C" w:rsidRPr="00AC57EA">
        <w:rPr>
          <w:rFonts w:eastAsia="Verdana" w:cs="Verdana"/>
          <w:bCs/>
          <w:sz w:val="20"/>
          <w:szCs w:val="20"/>
          <w:lang w:val="en-US"/>
        </w:rPr>
        <w:t>.</w:t>
      </w:r>
      <w:r w:rsidR="009D661E" w:rsidRPr="00AC57EA">
        <w:rPr>
          <w:rFonts w:eastAsia="Verdana" w:cs="Verdana"/>
          <w:bCs/>
          <w:sz w:val="20"/>
          <w:szCs w:val="20"/>
          <w:lang w:val="en-US"/>
        </w:rPr>
        <w:t xml:space="preserve">32 </w:t>
      </w:r>
      <w:r w:rsidR="00D2733C" w:rsidRPr="00AC57EA">
        <w:rPr>
          <w:rFonts w:eastAsia="Verdana" w:cs="Verdana"/>
          <w:bCs/>
          <w:sz w:val="20"/>
          <w:szCs w:val="20"/>
          <w:lang w:val="en-US"/>
        </w:rPr>
        <w:t>in</w:t>
      </w:r>
      <w:r w:rsidR="009D661E" w:rsidRPr="00AC57EA">
        <w:rPr>
          <w:rFonts w:eastAsia="Verdana" w:cs="Verdana"/>
          <w:bCs/>
          <w:sz w:val="20"/>
          <w:szCs w:val="20"/>
          <w:lang w:val="en-US"/>
        </w:rPr>
        <w:t xml:space="preserve"> 2001, </w:t>
      </w:r>
      <w:r w:rsidR="00D2733C" w:rsidRPr="00AC57EA">
        <w:rPr>
          <w:rFonts w:eastAsia="Verdana" w:cs="Verdana"/>
          <w:bCs/>
          <w:sz w:val="20"/>
          <w:szCs w:val="20"/>
          <w:lang w:val="en-US"/>
        </w:rPr>
        <w:t>in</w:t>
      </w:r>
      <w:r w:rsidR="009D661E" w:rsidRPr="00AC57EA">
        <w:rPr>
          <w:rFonts w:eastAsia="Verdana" w:cs="Verdana"/>
          <w:bCs/>
          <w:sz w:val="20"/>
          <w:szCs w:val="20"/>
          <w:lang w:val="en-US"/>
        </w:rPr>
        <w:t xml:space="preserve"> 2002 </w:t>
      </w:r>
      <w:r w:rsidR="00D2733C" w:rsidRPr="00AC57EA">
        <w:rPr>
          <w:rFonts w:eastAsia="Verdana" w:cs="Verdana"/>
          <w:bCs/>
          <w:sz w:val="20"/>
          <w:szCs w:val="20"/>
          <w:lang w:val="en-US"/>
        </w:rPr>
        <w:t>to</w:t>
      </w:r>
      <w:r w:rsidR="009D661E" w:rsidRPr="00AC57EA">
        <w:rPr>
          <w:rFonts w:eastAsia="Verdana" w:cs="Verdana"/>
          <w:bCs/>
          <w:sz w:val="20"/>
          <w:szCs w:val="20"/>
          <w:lang w:val="en-US"/>
        </w:rPr>
        <w:t xml:space="preserve"> </w:t>
      </w:r>
      <w:r w:rsidR="005B592B" w:rsidRPr="00AC57EA">
        <w:rPr>
          <w:rFonts w:eastAsia="Verdana" w:cs="Verdana"/>
          <w:bCs/>
          <w:sz w:val="20"/>
          <w:szCs w:val="20"/>
          <w:lang w:val="en-US"/>
        </w:rPr>
        <w:t>US</w:t>
      </w:r>
      <w:r w:rsidR="009D661E" w:rsidRPr="00AC57EA">
        <w:rPr>
          <w:rFonts w:eastAsia="Verdana" w:cs="Verdana"/>
          <w:bCs/>
          <w:sz w:val="20"/>
          <w:szCs w:val="20"/>
          <w:lang w:val="en-US"/>
        </w:rPr>
        <w:t>$77</w:t>
      </w:r>
      <w:r w:rsidR="00D2733C" w:rsidRPr="00AC57EA">
        <w:rPr>
          <w:rFonts w:eastAsia="Verdana" w:cs="Verdana"/>
          <w:bCs/>
          <w:sz w:val="20"/>
          <w:szCs w:val="20"/>
          <w:lang w:val="en-US"/>
        </w:rPr>
        <w:t>.</w:t>
      </w:r>
      <w:r w:rsidR="009D661E" w:rsidRPr="00AC57EA">
        <w:rPr>
          <w:rFonts w:eastAsia="Verdana" w:cs="Verdana"/>
          <w:bCs/>
          <w:sz w:val="20"/>
          <w:szCs w:val="20"/>
          <w:lang w:val="en-US"/>
        </w:rPr>
        <w:t>88</w:t>
      </w:r>
      <w:r w:rsidR="00171E27" w:rsidRPr="00AC57EA">
        <w:rPr>
          <w:rFonts w:eastAsia="Verdana" w:cs="Verdana"/>
          <w:bCs/>
          <w:sz w:val="20"/>
          <w:szCs w:val="20"/>
          <w:lang w:val="en-US"/>
        </w:rPr>
        <w:t xml:space="preserve"> and </w:t>
      </w:r>
      <w:r w:rsidRPr="00AC57EA">
        <w:rPr>
          <w:rFonts w:eastAsia="Verdana" w:cs="Verdana"/>
          <w:bCs/>
          <w:sz w:val="20"/>
          <w:szCs w:val="20"/>
          <w:lang w:val="en-US"/>
        </w:rPr>
        <w:t>$</w:t>
      </w:r>
      <w:r w:rsidR="009D661E" w:rsidRPr="00AC57EA">
        <w:rPr>
          <w:rFonts w:eastAsia="Verdana" w:cs="Verdana"/>
          <w:bCs/>
          <w:sz w:val="20"/>
          <w:szCs w:val="20"/>
          <w:lang w:val="en-US"/>
        </w:rPr>
        <w:t>122</w:t>
      </w:r>
      <w:r w:rsidR="00D2733C" w:rsidRPr="00AC57EA">
        <w:rPr>
          <w:rFonts w:eastAsia="Verdana" w:cs="Verdana"/>
          <w:bCs/>
          <w:sz w:val="20"/>
          <w:szCs w:val="20"/>
          <w:lang w:val="en-US"/>
        </w:rPr>
        <w:t>.</w:t>
      </w:r>
      <w:r w:rsidR="009D661E" w:rsidRPr="00AC57EA">
        <w:rPr>
          <w:rFonts w:eastAsia="Verdana" w:cs="Verdana"/>
          <w:bCs/>
          <w:sz w:val="20"/>
          <w:szCs w:val="20"/>
          <w:lang w:val="en-US"/>
        </w:rPr>
        <w:t xml:space="preserve">93, </w:t>
      </w:r>
      <w:r w:rsidR="00D2733C" w:rsidRPr="00AC57EA">
        <w:rPr>
          <w:rFonts w:eastAsia="Verdana" w:cs="Verdana"/>
          <w:bCs/>
          <w:sz w:val="20"/>
          <w:szCs w:val="20"/>
          <w:lang w:val="en-US"/>
        </w:rPr>
        <w:t>in</w:t>
      </w:r>
      <w:r w:rsidR="009D661E" w:rsidRPr="00AC57EA">
        <w:rPr>
          <w:rFonts w:eastAsia="Verdana" w:cs="Verdana"/>
          <w:bCs/>
          <w:sz w:val="20"/>
          <w:szCs w:val="20"/>
          <w:lang w:val="en-US"/>
        </w:rPr>
        <w:t xml:space="preserve"> 2003 </w:t>
      </w:r>
      <w:r w:rsidR="00D2733C" w:rsidRPr="00AC57EA">
        <w:rPr>
          <w:rFonts w:eastAsia="Verdana" w:cs="Verdana"/>
          <w:bCs/>
          <w:sz w:val="20"/>
          <w:szCs w:val="20"/>
          <w:lang w:val="en-US"/>
        </w:rPr>
        <w:t>to</w:t>
      </w:r>
      <w:r w:rsidR="009D661E" w:rsidRPr="00AC57EA">
        <w:rPr>
          <w:rFonts w:eastAsia="Verdana" w:cs="Verdana"/>
          <w:bCs/>
          <w:sz w:val="20"/>
          <w:szCs w:val="20"/>
          <w:lang w:val="en-US"/>
        </w:rPr>
        <w:t xml:space="preserve"> </w:t>
      </w:r>
      <w:r w:rsidR="005B592B" w:rsidRPr="00AC57EA">
        <w:rPr>
          <w:rFonts w:eastAsia="Verdana" w:cs="Verdana"/>
          <w:bCs/>
          <w:sz w:val="20"/>
          <w:szCs w:val="20"/>
          <w:lang w:val="en-US"/>
        </w:rPr>
        <w:t>US</w:t>
      </w:r>
      <w:r w:rsidR="009D661E" w:rsidRPr="00AC57EA">
        <w:rPr>
          <w:rFonts w:eastAsia="Verdana" w:cs="Verdana"/>
          <w:bCs/>
          <w:sz w:val="20"/>
          <w:szCs w:val="20"/>
          <w:lang w:val="en-US"/>
        </w:rPr>
        <w:t>$73</w:t>
      </w:r>
      <w:r w:rsidR="00D2733C" w:rsidRPr="00AC57EA">
        <w:rPr>
          <w:rFonts w:eastAsia="Verdana" w:cs="Verdana"/>
          <w:bCs/>
          <w:sz w:val="20"/>
          <w:szCs w:val="20"/>
          <w:lang w:val="en-US"/>
        </w:rPr>
        <w:t>.</w:t>
      </w:r>
      <w:r w:rsidR="009D661E" w:rsidRPr="00AC57EA">
        <w:rPr>
          <w:rFonts w:eastAsia="Verdana" w:cs="Verdana"/>
          <w:bCs/>
          <w:sz w:val="20"/>
          <w:szCs w:val="20"/>
          <w:lang w:val="en-US"/>
        </w:rPr>
        <w:t>47</w:t>
      </w:r>
      <w:r w:rsidR="00171E27" w:rsidRPr="00AC57EA">
        <w:rPr>
          <w:rFonts w:eastAsia="Verdana" w:cs="Verdana"/>
          <w:bCs/>
          <w:sz w:val="20"/>
          <w:szCs w:val="20"/>
          <w:lang w:val="en-US"/>
        </w:rPr>
        <w:t xml:space="preserve"> and </w:t>
      </w:r>
      <w:r w:rsidRPr="00AC57EA">
        <w:rPr>
          <w:rFonts w:eastAsia="Verdana" w:cs="Verdana"/>
          <w:bCs/>
          <w:sz w:val="20"/>
          <w:szCs w:val="20"/>
          <w:lang w:val="en-US"/>
        </w:rPr>
        <w:t>$</w:t>
      </w:r>
      <w:r w:rsidR="009D661E" w:rsidRPr="00AC57EA">
        <w:rPr>
          <w:rFonts w:eastAsia="Verdana" w:cs="Verdana"/>
          <w:bCs/>
          <w:sz w:val="20"/>
          <w:szCs w:val="20"/>
          <w:lang w:val="en-US"/>
        </w:rPr>
        <w:t>115</w:t>
      </w:r>
      <w:r w:rsidR="00D2733C" w:rsidRPr="00AC57EA">
        <w:rPr>
          <w:rFonts w:eastAsia="Verdana" w:cs="Verdana"/>
          <w:bCs/>
          <w:sz w:val="20"/>
          <w:szCs w:val="20"/>
          <w:lang w:val="en-US"/>
        </w:rPr>
        <w:t>.</w:t>
      </w:r>
      <w:r w:rsidR="009D661E" w:rsidRPr="00AC57EA">
        <w:rPr>
          <w:rFonts w:eastAsia="Verdana" w:cs="Verdana"/>
          <w:bCs/>
          <w:sz w:val="20"/>
          <w:szCs w:val="20"/>
          <w:lang w:val="en-US"/>
        </w:rPr>
        <w:t>97,</w:t>
      </w:r>
      <w:r w:rsidR="00171E27" w:rsidRPr="00AC57EA">
        <w:rPr>
          <w:rFonts w:eastAsia="Verdana" w:cs="Verdana"/>
          <w:bCs/>
          <w:sz w:val="20"/>
          <w:szCs w:val="20"/>
          <w:lang w:val="en-US"/>
        </w:rPr>
        <w:t xml:space="preserve"> and </w:t>
      </w:r>
      <w:r w:rsidR="00D2733C" w:rsidRPr="00AC57EA">
        <w:rPr>
          <w:rFonts w:eastAsia="Verdana" w:cs="Verdana"/>
          <w:bCs/>
          <w:sz w:val="20"/>
          <w:szCs w:val="20"/>
          <w:lang w:val="en-US"/>
        </w:rPr>
        <w:t>in</w:t>
      </w:r>
      <w:r w:rsidR="009D661E" w:rsidRPr="00AC57EA">
        <w:rPr>
          <w:rFonts w:eastAsia="Verdana" w:cs="Verdana"/>
          <w:bCs/>
          <w:sz w:val="20"/>
          <w:szCs w:val="20"/>
          <w:lang w:val="en-US"/>
        </w:rPr>
        <w:t xml:space="preserve"> 2004 </w:t>
      </w:r>
      <w:r w:rsidR="00D2733C" w:rsidRPr="00AC57EA">
        <w:rPr>
          <w:rFonts w:eastAsia="Verdana" w:cs="Verdana"/>
          <w:bCs/>
          <w:sz w:val="20"/>
          <w:szCs w:val="20"/>
          <w:lang w:val="en-US"/>
        </w:rPr>
        <w:t>to</w:t>
      </w:r>
      <w:r w:rsidR="009D661E" w:rsidRPr="00AC57EA">
        <w:rPr>
          <w:rFonts w:eastAsia="Verdana" w:cs="Verdana"/>
          <w:bCs/>
          <w:sz w:val="20"/>
          <w:szCs w:val="20"/>
          <w:lang w:val="en-US"/>
        </w:rPr>
        <w:t xml:space="preserve"> </w:t>
      </w:r>
      <w:r w:rsidR="005B592B" w:rsidRPr="00AC57EA">
        <w:rPr>
          <w:rFonts w:eastAsia="Verdana" w:cs="Verdana"/>
          <w:bCs/>
          <w:sz w:val="20"/>
          <w:szCs w:val="20"/>
          <w:lang w:val="en-US"/>
        </w:rPr>
        <w:t>US</w:t>
      </w:r>
      <w:r w:rsidR="009D661E" w:rsidRPr="00AC57EA">
        <w:rPr>
          <w:rFonts w:eastAsia="Verdana" w:cs="Verdana"/>
          <w:bCs/>
          <w:sz w:val="20"/>
          <w:szCs w:val="20"/>
          <w:lang w:val="en-US"/>
        </w:rPr>
        <w:t>$69</w:t>
      </w:r>
      <w:r w:rsidR="00D2733C" w:rsidRPr="00AC57EA">
        <w:rPr>
          <w:rFonts w:eastAsia="Verdana" w:cs="Verdana"/>
          <w:bCs/>
          <w:sz w:val="20"/>
          <w:szCs w:val="20"/>
          <w:lang w:val="en-US"/>
        </w:rPr>
        <w:t>.</w:t>
      </w:r>
      <w:r w:rsidR="009D661E" w:rsidRPr="00AC57EA">
        <w:rPr>
          <w:rFonts w:eastAsia="Verdana" w:cs="Verdana"/>
          <w:bCs/>
          <w:sz w:val="20"/>
          <w:szCs w:val="20"/>
          <w:lang w:val="en-US"/>
        </w:rPr>
        <w:t>64</w:t>
      </w:r>
      <w:r w:rsidR="00171E27" w:rsidRPr="00AC57EA">
        <w:rPr>
          <w:rFonts w:eastAsia="Verdana" w:cs="Verdana"/>
          <w:bCs/>
          <w:sz w:val="20"/>
          <w:szCs w:val="20"/>
          <w:lang w:val="en-US"/>
        </w:rPr>
        <w:t xml:space="preserve"> and </w:t>
      </w:r>
      <w:r w:rsidRPr="00AC57EA">
        <w:rPr>
          <w:rFonts w:eastAsia="Verdana" w:cs="Verdana"/>
          <w:bCs/>
          <w:sz w:val="20"/>
          <w:szCs w:val="20"/>
          <w:lang w:val="en-US"/>
        </w:rPr>
        <w:t>$</w:t>
      </w:r>
      <w:r w:rsidR="009D661E" w:rsidRPr="00AC57EA">
        <w:rPr>
          <w:rFonts w:eastAsia="Verdana" w:cs="Verdana"/>
          <w:bCs/>
          <w:sz w:val="20"/>
          <w:szCs w:val="20"/>
          <w:lang w:val="en-US"/>
        </w:rPr>
        <w:t>109</w:t>
      </w:r>
      <w:r w:rsidR="00D2733C" w:rsidRPr="00AC57EA">
        <w:rPr>
          <w:rFonts w:eastAsia="Verdana" w:cs="Verdana"/>
          <w:bCs/>
          <w:sz w:val="20"/>
          <w:szCs w:val="20"/>
          <w:lang w:val="en-US"/>
        </w:rPr>
        <w:t>.</w:t>
      </w:r>
      <w:r w:rsidR="009D661E" w:rsidRPr="00AC57EA">
        <w:rPr>
          <w:rFonts w:eastAsia="Verdana" w:cs="Verdana"/>
          <w:bCs/>
          <w:sz w:val="20"/>
          <w:szCs w:val="20"/>
          <w:lang w:val="en-US"/>
        </w:rPr>
        <w:t>93</w:t>
      </w:r>
      <w:r w:rsidR="001C0BD0" w:rsidRPr="00AC57EA">
        <w:rPr>
          <w:rFonts w:eastAsia="Verdana" w:cs="Verdana"/>
          <w:bCs/>
          <w:sz w:val="20"/>
          <w:szCs w:val="20"/>
          <w:lang w:val="en-US"/>
        </w:rPr>
        <w:t>.</w:t>
      </w:r>
    </w:p>
    <w:p w14:paraId="30DBC8D7" w14:textId="77777777" w:rsidR="009D661E" w:rsidRPr="00AC57EA" w:rsidRDefault="009D661E" w:rsidP="009D661E">
      <w:pPr>
        <w:pStyle w:val="Prrafodelista"/>
        <w:spacing w:line="240" w:lineRule="auto"/>
        <w:rPr>
          <w:rFonts w:eastAsia="Calibri"/>
          <w:sz w:val="20"/>
          <w:szCs w:val="20"/>
          <w:lang w:val="en-US"/>
        </w:rPr>
      </w:pPr>
    </w:p>
    <w:p w14:paraId="7AB4A99B" w14:textId="6A3D1CC8" w:rsidR="009D661E" w:rsidRPr="00AC57EA" w:rsidRDefault="00B7258C" w:rsidP="00193498">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rFonts w:eastAsia="Calibri"/>
          <w:sz w:val="20"/>
          <w:szCs w:val="20"/>
          <w:lang w:val="en-US"/>
        </w:rPr>
        <w:t>The Court</w:t>
      </w:r>
      <w:r w:rsidR="009D661E" w:rsidRPr="00AC57EA">
        <w:rPr>
          <w:rFonts w:eastAsia="Calibri"/>
          <w:sz w:val="20"/>
          <w:szCs w:val="20"/>
          <w:lang w:val="en-US"/>
        </w:rPr>
        <w:t xml:space="preserve"> </w:t>
      </w:r>
      <w:r w:rsidR="00193498" w:rsidRPr="00AC57EA">
        <w:rPr>
          <w:rFonts w:eastAsia="Calibri"/>
          <w:sz w:val="20"/>
          <w:szCs w:val="20"/>
          <w:lang w:val="en-US"/>
        </w:rPr>
        <w:t xml:space="preserve">has declared that </w:t>
      </w:r>
      <w:r w:rsidR="009D661E" w:rsidRPr="00AC57EA">
        <w:rPr>
          <w:rFonts w:eastAsia="Calibri"/>
          <w:sz w:val="20"/>
          <w:szCs w:val="20"/>
          <w:lang w:val="en-US"/>
        </w:rPr>
        <w:t>V.P.C. suf</w:t>
      </w:r>
      <w:r w:rsidR="00193498" w:rsidRPr="00AC57EA">
        <w:rPr>
          <w:rFonts w:eastAsia="Calibri"/>
          <w:sz w:val="20"/>
          <w:szCs w:val="20"/>
          <w:lang w:val="en-US"/>
        </w:rPr>
        <w:t xml:space="preserve">fered a violation of her rights </w:t>
      </w:r>
      <w:r w:rsidR="00D2733C" w:rsidRPr="00AC57EA">
        <w:rPr>
          <w:rFonts w:eastAsia="Calibri"/>
          <w:sz w:val="20"/>
          <w:szCs w:val="20"/>
          <w:lang w:val="en-US"/>
        </w:rPr>
        <w:t>to personal integrity, private and family life,</w:t>
      </w:r>
      <w:r w:rsidR="00F00B8C" w:rsidRPr="00AC57EA">
        <w:rPr>
          <w:rFonts w:eastAsia="Calibri"/>
          <w:sz w:val="20"/>
          <w:szCs w:val="20"/>
          <w:lang w:val="en-US"/>
        </w:rPr>
        <w:t xml:space="preserve"> </w:t>
      </w:r>
      <w:r w:rsidR="00D2733C" w:rsidRPr="00AC57EA">
        <w:rPr>
          <w:rFonts w:eastAsia="Calibri"/>
          <w:sz w:val="20"/>
          <w:szCs w:val="20"/>
          <w:lang w:val="en-US"/>
        </w:rPr>
        <w:t xml:space="preserve">judicial guarantees, </w:t>
      </w:r>
      <w:r w:rsidR="00193498" w:rsidRPr="00AC57EA">
        <w:rPr>
          <w:rFonts w:eastAsia="Calibri"/>
          <w:sz w:val="20"/>
          <w:szCs w:val="20"/>
          <w:lang w:val="en-US"/>
        </w:rPr>
        <w:t xml:space="preserve">judicial protection, freedom of residence, protection of the family and special measures of protection owing to the acts of revictimization and institutional violence endured by her daughter, V.R.P., which led to </w:t>
      </w:r>
      <w:r w:rsidR="00CC16C3" w:rsidRPr="00AC57EA">
        <w:rPr>
          <w:rFonts w:eastAsia="Calibri"/>
          <w:sz w:val="20"/>
          <w:szCs w:val="20"/>
          <w:lang w:val="en-US"/>
        </w:rPr>
        <w:t>their</w:t>
      </w:r>
      <w:r w:rsidR="00193498" w:rsidRPr="00AC57EA">
        <w:rPr>
          <w:rFonts w:eastAsia="Calibri"/>
          <w:sz w:val="20"/>
          <w:szCs w:val="20"/>
          <w:lang w:val="en-US"/>
        </w:rPr>
        <w:t xml:space="preserve"> departure from Nicaragua. This situation resulted in socio-economic difficulties for the members of the family because V.P.C. was its financial support and had to abandon her employment to deal with her daughter’s situation and, subsequently, to file administrative and judicial complaints owing to the irregularities committed in the proceedings. Once in the United States, V.P.C. </w:t>
      </w:r>
      <w:r w:rsidR="00CC16C3" w:rsidRPr="00AC57EA">
        <w:rPr>
          <w:rFonts w:eastAsia="Calibri"/>
          <w:sz w:val="20"/>
          <w:szCs w:val="20"/>
          <w:lang w:val="en-US"/>
        </w:rPr>
        <w:t>obtained employment</w:t>
      </w:r>
      <w:r w:rsidR="00290ED4" w:rsidRPr="00AC57EA">
        <w:rPr>
          <w:rFonts w:eastAsia="Calibri"/>
          <w:sz w:val="20"/>
          <w:szCs w:val="20"/>
          <w:lang w:val="en-US"/>
        </w:rPr>
        <w:t xml:space="preserve"> in October </w:t>
      </w:r>
      <w:r w:rsidR="009D661E" w:rsidRPr="00AC57EA">
        <w:rPr>
          <w:rFonts w:eastAsia="Calibri"/>
          <w:sz w:val="20"/>
          <w:szCs w:val="20"/>
          <w:lang w:val="en-US"/>
        </w:rPr>
        <w:t>2004</w:t>
      </w:r>
      <w:r w:rsidR="00290ED4" w:rsidRPr="00AC57EA">
        <w:rPr>
          <w:rFonts w:eastAsia="Calibri"/>
          <w:sz w:val="20"/>
          <w:szCs w:val="20"/>
          <w:lang w:val="en-US"/>
        </w:rPr>
        <w:t>.</w:t>
      </w:r>
      <w:r w:rsidR="009D661E" w:rsidRPr="00AC57EA">
        <w:rPr>
          <w:rStyle w:val="Refdenotaalpie"/>
          <w:rFonts w:eastAsia="Calibri"/>
          <w:sz w:val="20"/>
          <w:szCs w:val="20"/>
          <w:lang w:val="en-US"/>
        </w:rPr>
        <w:footnoteReference w:id="449"/>
      </w:r>
      <w:r w:rsidR="00290ED4" w:rsidRPr="00AC57EA">
        <w:rPr>
          <w:rFonts w:eastAsia="Calibri"/>
          <w:sz w:val="20"/>
          <w:szCs w:val="20"/>
          <w:lang w:val="en-US"/>
        </w:rPr>
        <w:t xml:space="preserve"> Thus, the Court considers that a causal nexus exists between the violations declared in this case and the financial harm due to</w:t>
      </w:r>
      <w:r w:rsidR="009D661E" w:rsidRPr="00AC57EA">
        <w:rPr>
          <w:rFonts w:eastAsia="Calibri"/>
          <w:sz w:val="20"/>
          <w:szCs w:val="20"/>
          <w:lang w:val="en-US"/>
        </w:rPr>
        <w:t xml:space="preserve"> </w:t>
      </w:r>
      <w:r w:rsidR="00D2733C" w:rsidRPr="00AC57EA">
        <w:rPr>
          <w:rFonts w:eastAsia="Calibri"/>
          <w:sz w:val="20"/>
          <w:szCs w:val="20"/>
          <w:lang w:val="en-US"/>
        </w:rPr>
        <w:t>loss of earnings</w:t>
      </w:r>
      <w:r w:rsidR="009D661E" w:rsidRPr="00AC57EA">
        <w:rPr>
          <w:rFonts w:eastAsia="Calibri"/>
          <w:sz w:val="20"/>
          <w:szCs w:val="20"/>
          <w:lang w:val="en-US"/>
        </w:rPr>
        <w:t>.</w:t>
      </w:r>
    </w:p>
    <w:p w14:paraId="7FDBA6C6" w14:textId="77777777" w:rsidR="009D661E" w:rsidRPr="00AC57EA" w:rsidRDefault="009D661E" w:rsidP="006015B2">
      <w:pPr>
        <w:pStyle w:val="Prrafodelista"/>
        <w:spacing w:line="240" w:lineRule="auto"/>
        <w:rPr>
          <w:rFonts w:eastAsia="Calibri"/>
          <w:b/>
          <w:i/>
          <w:sz w:val="20"/>
          <w:szCs w:val="20"/>
          <w:lang w:val="en-US"/>
        </w:rPr>
      </w:pPr>
    </w:p>
    <w:p w14:paraId="289A09B8" w14:textId="1894FC61" w:rsidR="006015B2" w:rsidRPr="00AC57EA" w:rsidRDefault="00B7258C" w:rsidP="00290ED4">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rFonts w:eastAsia="Calibri"/>
          <w:sz w:val="20"/>
          <w:szCs w:val="20"/>
          <w:lang w:val="en-US"/>
        </w:rPr>
        <w:t>The Court</w:t>
      </w:r>
      <w:r w:rsidR="006015B2" w:rsidRPr="00AC57EA">
        <w:rPr>
          <w:rFonts w:eastAsia="Calibri"/>
          <w:sz w:val="20"/>
          <w:szCs w:val="20"/>
          <w:lang w:val="en-US"/>
        </w:rPr>
        <w:t xml:space="preserve"> not</w:t>
      </w:r>
      <w:r w:rsidR="00290ED4" w:rsidRPr="00AC57EA">
        <w:rPr>
          <w:rFonts w:eastAsia="Calibri"/>
          <w:sz w:val="20"/>
          <w:szCs w:val="20"/>
          <w:lang w:val="en-US"/>
        </w:rPr>
        <w:t>es that, among the evidence provided to the case file, there is a</w:t>
      </w:r>
      <w:r w:rsidR="006015B2" w:rsidRPr="00AC57EA">
        <w:rPr>
          <w:rFonts w:eastAsia="Calibri"/>
          <w:sz w:val="20"/>
          <w:szCs w:val="20"/>
          <w:lang w:val="en-US"/>
        </w:rPr>
        <w:t xml:space="preserve"> </w:t>
      </w:r>
      <w:r w:rsidR="00290ED4" w:rsidRPr="00AC57EA">
        <w:rPr>
          <w:rFonts w:eastAsia="Calibri"/>
          <w:sz w:val="20"/>
          <w:szCs w:val="20"/>
          <w:lang w:val="en-US"/>
        </w:rPr>
        <w:t>certification of the V.P.C.’s employment in Nicaragua as a legal assistant, receiving a salary of</w:t>
      </w:r>
      <w:r w:rsidR="00290ED4" w:rsidRPr="00AC57EA">
        <w:rPr>
          <w:rFonts w:eastAsia="Calibri"/>
          <w:b/>
          <w:i/>
          <w:sz w:val="20"/>
          <w:szCs w:val="20"/>
          <w:lang w:val="en-US"/>
        </w:rPr>
        <w:t xml:space="preserve"> </w:t>
      </w:r>
      <w:r w:rsidR="009D661E" w:rsidRPr="00AC57EA">
        <w:rPr>
          <w:rFonts w:eastAsia="Calibri"/>
          <w:sz w:val="20"/>
          <w:szCs w:val="20"/>
          <w:lang w:val="en-US"/>
        </w:rPr>
        <w:t>US$6</w:t>
      </w:r>
      <w:r w:rsidR="00D2733C" w:rsidRPr="00AC57EA">
        <w:rPr>
          <w:rFonts w:eastAsia="Calibri"/>
          <w:sz w:val="20"/>
          <w:szCs w:val="20"/>
          <w:lang w:val="en-US"/>
        </w:rPr>
        <w:t xml:space="preserve">00.00 </w:t>
      </w:r>
      <w:r w:rsidR="009D661E" w:rsidRPr="00AC57EA">
        <w:rPr>
          <w:rFonts w:eastAsia="Calibri"/>
          <w:sz w:val="20"/>
          <w:szCs w:val="20"/>
          <w:lang w:val="en-US"/>
        </w:rPr>
        <w:t>(s</w:t>
      </w:r>
      <w:r w:rsidR="00F00B8C" w:rsidRPr="00AC57EA">
        <w:rPr>
          <w:rFonts w:eastAsia="Calibri"/>
          <w:sz w:val="20"/>
          <w:szCs w:val="20"/>
          <w:lang w:val="en-US"/>
        </w:rPr>
        <w:t>ix hundred</w:t>
      </w:r>
      <w:r w:rsidR="009D661E" w:rsidRPr="00AC57EA">
        <w:rPr>
          <w:rFonts w:eastAsia="Calibri"/>
          <w:sz w:val="20"/>
          <w:szCs w:val="20"/>
          <w:lang w:val="en-US"/>
        </w:rPr>
        <w:t xml:space="preserve"> </w:t>
      </w:r>
      <w:r w:rsidR="00BB0638" w:rsidRPr="00AC57EA">
        <w:rPr>
          <w:rFonts w:eastAsia="Calibri"/>
          <w:sz w:val="20"/>
          <w:szCs w:val="20"/>
          <w:lang w:val="en-US"/>
        </w:rPr>
        <w:t>United States dollars</w:t>
      </w:r>
      <w:r w:rsidR="009D661E" w:rsidRPr="00AC57EA">
        <w:rPr>
          <w:rFonts w:eastAsia="Calibri"/>
          <w:sz w:val="20"/>
          <w:szCs w:val="20"/>
          <w:lang w:val="en-US"/>
        </w:rPr>
        <w:t>)</w:t>
      </w:r>
      <w:r w:rsidR="00F00B8C" w:rsidRPr="00AC57EA">
        <w:rPr>
          <w:rFonts w:eastAsia="Calibri"/>
          <w:sz w:val="20"/>
          <w:szCs w:val="20"/>
          <w:lang w:val="en-US"/>
        </w:rPr>
        <w:t>.</w:t>
      </w:r>
      <w:r w:rsidR="009D661E" w:rsidRPr="00AC57EA">
        <w:rPr>
          <w:rStyle w:val="Refdenotaalpie"/>
          <w:rFonts w:eastAsia="Calibri"/>
          <w:sz w:val="20"/>
          <w:szCs w:val="20"/>
          <w:lang w:val="en-US"/>
        </w:rPr>
        <w:footnoteReference w:id="450"/>
      </w:r>
      <w:r w:rsidR="00F00B8C" w:rsidRPr="00AC57EA">
        <w:rPr>
          <w:rFonts w:eastAsia="Calibri"/>
          <w:sz w:val="20"/>
          <w:szCs w:val="20"/>
          <w:lang w:val="en-US"/>
        </w:rPr>
        <w:t xml:space="preserve"> However,</w:t>
      </w:r>
      <w:r w:rsidR="009D661E" w:rsidRPr="00AC57EA">
        <w:rPr>
          <w:rFonts w:eastAsia="Calibri"/>
          <w:sz w:val="20"/>
          <w:szCs w:val="20"/>
          <w:lang w:val="en-US"/>
        </w:rPr>
        <w:t xml:space="preserve"> </w:t>
      </w:r>
      <w:r w:rsidRPr="00AC57EA">
        <w:rPr>
          <w:rFonts w:eastAsia="Calibri"/>
          <w:sz w:val="20"/>
          <w:szCs w:val="20"/>
          <w:lang w:val="en-US"/>
        </w:rPr>
        <w:t>the Court</w:t>
      </w:r>
      <w:r w:rsidR="006015B2" w:rsidRPr="00AC57EA">
        <w:rPr>
          <w:rFonts w:eastAsia="Calibri"/>
          <w:sz w:val="20"/>
          <w:szCs w:val="20"/>
          <w:lang w:val="en-US"/>
        </w:rPr>
        <w:t xml:space="preserve"> </w:t>
      </w:r>
      <w:r w:rsidR="00290ED4" w:rsidRPr="00AC57EA">
        <w:rPr>
          <w:rFonts w:eastAsia="Calibri"/>
          <w:sz w:val="20"/>
          <w:szCs w:val="20"/>
          <w:lang w:val="en-US"/>
        </w:rPr>
        <w:t xml:space="preserve">has no evidence that authenticates the extra </w:t>
      </w:r>
      <w:r w:rsidR="006015B2" w:rsidRPr="00AC57EA">
        <w:rPr>
          <w:rFonts w:eastAsia="Calibri"/>
          <w:sz w:val="20"/>
          <w:szCs w:val="20"/>
          <w:lang w:val="en-US"/>
        </w:rPr>
        <w:t>US$2</w:t>
      </w:r>
      <w:r w:rsidR="00D2733C" w:rsidRPr="00AC57EA">
        <w:rPr>
          <w:rFonts w:eastAsia="Calibri"/>
          <w:sz w:val="20"/>
          <w:szCs w:val="20"/>
          <w:lang w:val="en-US"/>
        </w:rPr>
        <w:t xml:space="preserve">00.00 </w:t>
      </w:r>
      <w:r w:rsidR="006015B2" w:rsidRPr="00AC57EA">
        <w:rPr>
          <w:rFonts w:eastAsia="Calibri"/>
          <w:sz w:val="20"/>
          <w:szCs w:val="20"/>
          <w:lang w:val="en-US"/>
        </w:rPr>
        <w:t>(</w:t>
      </w:r>
      <w:r w:rsidR="00F00B8C" w:rsidRPr="00AC57EA">
        <w:rPr>
          <w:rFonts w:eastAsia="Calibri"/>
          <w:sz w:val="20"/>
          <w:szCs w:val="20"/>
          <w:lang w:val="en-US"/>
        </w:rPr>
        <w:t>two hundred</w:t>
      </w:r>
      <w:r w:rsidR="006015B2" w:rsidRPr="00AC57EA">
        <w:rPr>
          <w:rFonts w:eastAsia="Calibri"/>
          <w:sz w:val="20"/>
          <w:szCs w:val="20"/>
          <w:lang w:val="en-US"/>
        </w:rPr>
        <w:t xml:space="preserve"> </w:t>
      </w:r>
      <w:r w:rsidR="00BB0638" w:rsidRPr="00AC57EA">
        <w:rPr>
          <w:rFonts w:eastAsia="Calibri"/>
          <w:sz w:val="20"/>
          <w:szCs w:val="20"/>
          <w:lang w:val="en-US"/>
        </w:rPr>
        <w:t>United States dollars</w:t>
      </w:r>
      <w:r w:rsidR="006015B2" w:rsidRPr="00AC57EA">
        <w:rPr>
          <w:rFonts w:eastAsia="Calibri"/>
          <w:sz w:val="20"/>
          <w:szCs w:val="20"/>
          <w:lang w:val="en-US"/>
        </w:rPr>
        <w:t xml:space="preserve">) </w:t>
      </w:r>
      <w:r w:rsidR="00290ED4" w:rsidRPr="00AC57EA">
        <w:rPr>
          <w:rFonts w:eastAsia="Calibri"/>
          <w:sz w:val="20"/>
          <w:szCs w:val="20"/>
          <w:lang w:val="en-US"/>
        </w:rPr>
        <w:t xml:space="preserve">that, according to </w:t>
      </w:r>
      <w:r w:rsidR="00171E27" w:rsidRPr="00AC57EA">
        <w:rPr>
          <w:rFonts w:eastAsia="Calibri"/>
          <w:sz w:val="20"/>
          <w:szCs w:val="20"/>
          <w:lang w:val="en-US"/>
        </w:rPr>
        <w:t>the representatives</w:t>
      </w:r>
      <w:r w:rsidR="006015B2" w:rsidRPr="00AC57EA">
        <w:rPr>
          <w:rFonts w:eastAsia="Calibri"/>
          <w:sz w:val="20"/>
          <w:szCs w:val="20"/>
          <w:lang w:val="en-US"/>
        </w:rPr>
        <w:t xml:space="preserve">, V.P.C. </w:t>
      </w:r>
      <w:r w:rsidR="00290ED4" w:rsidRPr="00AC57EA">
        <w:rPr>
          <w:rFonts w:eastAsia="Calibri"/>
          <w:sz w:val="20"/>
          <w:szCs w:val="20"/>
          <w:lang w:val="en-US"/>
        </w:rPr>
        <w:t>also received as informa</w:t>
      </w:r>
      <w:r w:rsidR="00CC16C3" w:rsidRPr="00AC57EA">
        <w:rPr>
          <w:rFonts w:eastAsia="Calibri"/>
          <w:sz w:val="20"/>
          <w:szCs w:val="20"/>
          <w:lang w:val="en-US"/>
        </w:rPr>
        <w:t>l</w:t>
      </w:r>
      <w:r w:rsidR="00290ED4" w:rsidRPr="00AC57EA">
        <w:rPr>
          <w:rFonts w:eastAsia="Calibri"/>
          <w:sz w:val="20"/>
          <w:szCs w:val="20"/>
          <w:lang w:val="en-US"/>
        </w:rPr>
        <w:t xml:space="preserve"> income that was part of her salary. However, the Court notes that, as clarified by the State, in Nicaragua, employees receive an additional salary each year as a bonus payment.</w:t>
      </w:r>
    </w:p>
    <w:p w14:paraId="3873A133" w14:textId="77777777" w:rsidR="006015B2" w:rsidRPr="00AC57EA" w:rsidRDefault="006015B2" w:rsidP="00DF3D71">
      <w:pPr>
        <w:pStyle w:val="Prrafodelista"/>
        <w:spacing w:line="240" w:lineRule="auto"/>
        <w:rPr>
          <w:rFonts w:eastAsia="Calibri"/>
          <w:b/>
          <w:i/>
          <w:sz w:val="20"/>
          <w:szCs w:val="20"/>
          <w:lang w:val="en-US"/>
        </w:rPr>
      </w:pPr>
    </w:p>
    <w:p w14:paraId="2DFAFDF8" w14:textId="0CE1EB58" w:rsidR="00290ED4" w:rsidRPr="00AC57EA" w:rsidRDefault="00290ED4" w:rsidP="00DF3D71">
      <w:pPr>
        <w:numPr>
          <w:ilvl w:val="0"/>
          <w:numId w:val="2"/>
        </w:numPr>
        <w:tabs>
          <w:tab w:val="left" w:pos="567"/>
          <w:tab w:val="num" w:pos="5057"/>
        </w:tabs>
        <w:spacing w:line="240" w:lineRule="auto"/>
        <w:ind w:left="0" w:firstLine="0"/>
        <w:textAlignment w:val="auto"/>
        <w:rPr>
          <w:rFonts w:eastAsia="Calibri"/>
          <w:sz w:val="20"/>
          <w:szCs w:val="20"/>
          <w:lang w:val="en-US"/>
        </w:rPr>
      </w:pPr>
      <w:r w:rsidRPr="00AC57EA">
        <w:rPr>
          <w:rFonts w:eastAsia="Calibri"/>
          <w:sz w:val="20"/>
          <w:szCs w:val="20"/>
          <w:lang w:val="en-US"/>
        </w:rPr>
        <w:t xml:space="preserve">Taking into consideration V.P.C.’s statement, which the State did not contest, the Court considers that she was obliged to abandon her employment as a legal assistant in October 2001, owing </w:t>
      </w:r>
      <w:r w:rsidR="00CC16C3" w:rsidRPr="00AC57EA">
        <w:rPr>
          <w:rFonts w:eastAsia="Calibri"/>
          <w:sz w:val="20"/>
          <w:szCs w:val="20"/>
          <w:lang w:val="en-US"/>
        </w:rPr>
        <w:t xml:space="preserve">to </w:t>
      </w:r>
      <w:r w:rsidRPr="00AC57EA">
        <w:rPr>
          <w:rFonts w:eastAsia="Calibri"/>
          <w:sz w:val="20"/>
          <w:szCs w:val="20"/>
          <w:lang w:val="en-US"/>
        </w:rPr>
        <w:t>the rape of her daughter, followed by the lack of protection and response by the State that, ultimately</w:t>
      </w:r>
      <w:r w:rsidR="00CC16C3" w:rsidRPr="00AC57EA">
        <w:rPr>
          <w:rFonts w:eastAsia="Calibri"/>
          <w:sz w:val="20"/>
          <w:szCs w:val="20"/>
          <w:lang w:val="en-US"/>
        </w:rPr>
        <w:t>,</w:t>
      </w:r>
      <w:r w:rsidRPr="00AC57EA">
        <w:rPr>
          <w:rFonts w:eastAsia="Calibri"/>
          <w:sz w:val="20"/>
          <w:szCs w:val="20"/>
          <w:lang w:val="en-US"/>
        </w:rPr>
        <w:t xml:space="preserve"> led her to leave Nicaragua. The Court has also verified that V.P.C. resumed employment in the United States in</w:t>
      </w:r>
      <w:r w:rsidR="00395953" w:rsidRPr="00AC57EA">
        <w:rPr>
          <w:rFonts w:eastAsia="Calibri"/>
          <w:sz w:val="20"/>
          <w:szCs w:val="20"/>
          <w:lang w:val="en-US"/>
        </w:rPr>
        <w:t xml:space="preserve"> October 2004.</w:t>
      </w:r>
    </w:p>
    <w:p w14:paraId="4AE74254" w14:textId="77777777" w:rsidR="006015B2" w:rsidRPr="00AC57EA" w:rsidRDefault="006015B2" w:rsidP="00395953">
      <w:pPr>
        <w:spacing w:line="240" w:lineRule="auto"/>
        <w:rPr>
          <w:rFonts w:eastAsia="Calibri"/>
          <w:sz w:val="20"/>
          <w:szCs w:val="20"/>
          <w:lang w:val="en-US"/>
        </w:rPr>
      </w:pPr>
    </w:p>
    <w:p w14:paraId="24E87F69" w14:textId="5609C8D1" w:rsidR="006015B2" w:rsidRPr="00AC57EA" w:rsidRDefault="00395953" w:rsidP="00DF3D71">
      <w:pPr>
        <w:numPr>
          <w:ilvl w:val="0"/>
          <w:numId w:val="2"/>
        </w:numPr>
        <w:tabs>
          <w:tab w:val="left" w:pos="567"/>
          <w:tab w:val="num" w:pos="5057"/>
        </w:tabs>
        <w:spacing w:line="240" w:lineRule="auto"/>
        <w:ind w:left="0" w:firstLine="0"/>
        <w:textAlignment w:val="auto"/>
        <w:rPr>
          <w:rFonts w:eastAsia="Calibri"/>
          <w:sz w:val="20"/>
          <w:szCs w:val="20"/>
          <w:lang w:val="en-US"/>
        </w:rPr>
      </w:pPr>
      <w:r w:rsidRPr="00AC57EA">
        <w:rPr>
          <w:rFonts w:eastAsia="Calibri"/>
          <w:sz w:val="20"/>
          <w:szCs w:val="20"/>
          <w:lang w:val="en-US"/>
        </w:rPr>
        <w:t xml:space="preserve">Based </w:t>
      </w:r>
      <w:r w:rsidR="006015B2" w:rsidRPr="00AC57EA">
        <w:rPr>
          <w:rFonts w:eastAsia="Calibri"/>
          <w:sz w:val="20"/>
          <w:szCs w:val="20"/>
          <w:lang w:val="en-US"/>
        </w:rPr>
        <w:t xml:space="preserve">on </w:t>
      </w:r>
      <w:r w:rsidRPr="00AC57EA">
        <w:rPr>
          <w:rFonts w:eastAsia="Calibri"/>
          <w:sz w:val="20"/>
          <w:szCs w:val="20"/>
          <w:lang w:val="en-US"/>
        </w:rPr>
        <w:t xml:space="preserve">the foregoing, the Court finds that, owing to the violations recognized in this judgment, </w:t>
      </w:r>
      <w:r w:rsidR="006015B2" w:rsidRPr="00AC57EA">
        <w:rPr>
          <w:rFonts w:eastAsia="Calibri"/>
          <w:sz w:val="20"/>
          <w:szCs w:val="20"/>
          <w:lang w:val="en-US"/>
        </w:rPr>
        <w:t xml:space="preserve">V.P.C. </w:t>
      </w:r>
      <w:r w:rsidRPr="00AC57EA">
        <w:rPr>
          <w:rFonts w:eastAsia="Calibri"/>
          <w:sz w:val="20"/>
          <w:szCs w:val="20"/>
          <w:lang w:val="en-US"/>
        </w:rPr>
        <w:t>suffered a</w:t>
      </w:r>
      <w:r w:rsidR="006015B2" w:rsidRPr="00AC57EA">
        <w:rPr>
          <w:rFonts w:eastAsia="Calibri"/>
          <w:sz w:val="20"/>
          <w:szCs w:val="20"/>
          <w:lang w:val="en-US"/>
        </w:rPr>
        <w:t xml:space="preserve"> </w:t>
      </w:r>
      <w:r w:rsidR="00D2733C" w:rsidRPr="00AC57EA">
        <w:rPr>
          <w:rFonts w:eastAsia="Calibri"/>
          <w:sz w:val="20"/>
          <w:szCs w:val="20"/>
          <w:lang w:val="en-US"/>
        </w:rPr>
        <w:t>loss of earnings</w:t>
      </w:r>
      <w:r w:rsidR="006015B2" w:rsidRPr="00AC57EA">
        <w:rPr>
          <w:rFonts w:eastAsia="Calibri"/>
          <w:sz w:val="20"/>
          <w:szCs w:val="20"/>
          <w:lang w:val="en-US"/>
        </w:rPr>
        <w:t xml:space="preserve"> </w:t>
      </w:r>
      <w:r w:rsidRPr="00AC57EA">
        <w:rPr>
          <w:rFonts w:eastAsia="Calibri"/>
          <w:sz w:val="20"/>
          <w:szCs w:val="20"/>
          <w:lang w:val="en-US"/>
        </w:rPr>
        <w:t>from October</w:t>
      </w:r>
      <w:r w:rsidR="006015B2" w:rsidRPr="00AC57EA">
        <w:rPr>
          <w:rFonts w:eastAsia="Calibri"/>
          <w:sz w:val="20"/>
          <w:szCs w:val="20"/>
          <w:lang w:val="en-US"/>
        </w:rPr>
        <w:t xml:space="preserve"> 2001 </w:t>
      </w:r>
      <w:r w:rsidRPr="00AC57EA">
        <w:rPr>
          <w:rFonts w:eastAsia="Calibri"/>
          <w:sz w:val="20"/>
          <w:szCs w:val="20"/>
          <w:lang w:val="en-US"/>
        </w:rPr>
        <w:t xml:space="preserve">to October </w:t>
      </w:r>
      <w:r w:rsidR="006015B2" w:rsidRPr="00AC57EA">
        <w:rPr>
          <w:rFonts w:eastAsia="Calibri"/>
          <w:sz w:val="20"/>
          <w:szCs w:val="20"/>
          <w:lang w:val="en-US"/>
        </w:rPr>
        <w:t xml:space="preserve">2004, </w:t>
      </w:r>
      <w:r w:rsidRPr="00AC57EA">
        <w:rPr>
          <w:rFonts w:eastAsia="Calibri"/>
          <w:sz w:val="20"/>
          <w:szCs w:val="20"/>
          <w:lang w:val="en-US"/>
        </w:rPr>
        <w:t xml:space="preserve">and, owing to the salaries that she failed to receive during this period, this amounts to </w:t>
      </w:r>
      <w:r w:rsidR="00195F9B" w:rsidRPr="00AC57EA">
        <w:rPr>
          <w:rFonts w:eastAsia="Calibri"/>
          <w:sz w:val="20"/>
          <w:szCs w:val="20"/>
          <w:lang w:val="en-US"/>
        </w:rPr>
        <w:t>US$23</w:t>
      </w:r>
      <w:r w:rsidR="00F00B8C" w:rsidRPr="00AC57EA">
        <w:rPr>
          <w:rFonts w:eastAsia="Calibri"/>
          <w:sz w:val="20"/>
          <w:szCs w:val="20"/>
          <w:lang w:val="en-US"/>
        </w:rPr>
        <w:t>,</w:t>
      </w:r>
      <w:r w:rsidR="00195F9B" w:rsidRPr="00AC57EA">
        <w:rPr>
          <w:rFonts w:eastAsia="Calibri"/>
          <w:sz w:val="20"/>
          <w:szCs w:val="20"/>
          <w:lang w:val="en-US"/>
        </w:rPr>
        <w:t>4</w:t>
      </w:r>
      <w:r w:rsidR="00D2733C" w:rsidRPr="00AC57EA">
        <w:rPr>
          <w:rFonts w:eastAsia="Calibri"/>
          <w:sz w:val="20"/>
          <w:szCs w:val="20"/>
          <w:lang w:val="en-US"/>
        </w:rPr>
        <w:t xml:space="preserve">00.00 </w:t>
      </w:r>
      <w:r w:rsidR="00195F9B" w:rsidRPr="00AC57EA">
        <w:rPr>
          <w:rFonts w:eastAsia="Calibri"/>
          <w:sz w:val="20"/>
          <w:szCs w:val="20"/>
          <w:lang w:val="en-US"/>
        </w:rPr>
        <w:t>(</w:t>
      </w:r>
      <w:r w:rsidR="00F00B8C" w:rsidRPr="00AC57EA">
        <w:rPr>
          <w:rFonts w:eastAsia="Calibri"/>
          <w:sz w:val="20"/>
          <w:szCs w:val="20"/>
          <w:lang w:val="en-US"/>
        </w:rPr>
        <w:t>twenty-three thousand four hundred</w:t>
      </w:r>
      <w:r w:rsidR="00195F9B" w:rsidRPr="00AC57EA">
        <w:rPr>
          <w:rFonts w:eastAsia="Calibri"/>
          <w:sz w:val="20"/>
          <w:szCs w:val="20"/>
          <w:lang w:val="en-US"/>
        </w:rPr>
        <w:t xml:space="preserve"> </w:t>
      </w:r>
      <w:r w:rsidR="00BB0638" w:rsidRPr="00AC57EA">
        <w:rPr>
          <w:rFonts w:eastAsia="Calibri"/>
          <w:sz w:val="20"/>
          <w:szCs w:val="20"/>
          <w:lang w:val="en-US"/>
        </w:rPr>
        <w:t>United States dollars</w:t>
      </w:r>
      <w:r w:rsidR="00195F9B" w:rsidRPr="00AC57EA">
        <w:rPr>
          <w:rFonts w:eastAsia="Calibri"/>
          <w:sz w:val="20"/>
          <w:szCs w:val="20"/>
          <w:lang w:val="en-US"/>
        </w:rPr>
        <w:t xml:space="preserve">). </w:t>
      </w:r>
      <w:r w:rsidR="00F00B8C" w:rsidRPr="00AC57EA">
        <w:rPr>
          <w:rFonts w:eastAsia="Calibri"/>
          <w:sz w:val="20"/>
          <w:szCs w:val="20"/>
          <w:lang w:val="en-US"/>
        </w:rPr>
        <w:t>The State must pay this amount to V.P.C.</w:t>
      </w:r>
    </w:p>
    <w:p w14:paraId="066CB265" w14:textId="77777777" w:rsidR="009D661E" w:rsidRPr="00AC57EA" w:rsidRDefault="009D661E" w:rsidP="00195F9B">
      <w:pPr>
        <w:tabs>
          <w:tab w:val="left" w:pos="567"/>
        </w:tabs>
        <w:spacing w:line="240" w:lineRule="auto"/>
        <w:rPr>
          <w:rFonts w:eastAsia="Calibri"/>
          <w:sz w:val="20"/>
          <w:szCs w:val="20"/>
          <w:lang w:val="en-US"/>
        </w:rPr>
      </w:pPr>
    </w:p>
    <w:p w14:paraId="1304789A" w14:textId="173B6216" w:rsidR="009D661E" w:rsidRPr="00AC57EA" w:rsidRDefault="009D661E" w:rsidP="000063E6">
      <w:pPr>
        <w:pStyle w:val="Ttulo2"/>
        <w:tabs>
          <w:tab w:val="left" w:pos="1843"/>
        </w:tabs>
        <w:spacing w:before="0" w:line="240" w:lineRule="auto"/>
        <w:ind w:left="1134"/>
        <w:rPr>
          <w:rFonts w:ascii="Verdana" w:hAnsi="Verdana"/>
          <w:b w:val="0"/>
          <w:i/>
          <w:color w:val="auto"/>
          <w:sz w:val="20"/>
          <w:szCs w:val="20"/>
          <w:lang w:val="en-US"/>
        </w:rPr>
      </w:pPr>
      <w:bookmarkStart w:id="166" w:name="_Toc495658703"/>
      <w:bookmarkStart w:id="167" w:name="_Toc476390744"/>
      <w:bookmarkStart w:id="168" w:name="_Toc514172671"/>
      <w:r w:rsidRPr="00AC57EA">
        <w:rPr>
          <w:rFonts w:ascii="Verdana" w:hAnsi="Verdana"/>
          <w:b w:val="0"/>
          <w:i/>
          <w:color w:val="auto"/>
          <w:sz w:val="20"/>
          <w:szCs w:val="20"/>
          <w:lang w:val="en-US"/>
        </w:rPr>
        <w:t>D.2</w:t>
      </w:r>
      <w:r w:rsidRPr="00AC57EA">
        <w:rPr>
          <w:rFonts w:ascii="Verdana" w:hAnsi="Verdana"/>
          <w:b w:val="0"/>
          <w:i/>
          <w:color w:val="auto"/>
          <w:sz w:val="20"/>
          <w:szCs w:val="20"/>
          <w:lang w:val="en-US"/>
        </w:rPr>
        <w:tab/>
      </w:r>
      <w:r w:rsidR="007E72AE" w:rsidRPr="00AC57EA">
        <w:rPr>
          <w:rFonts w:ascii="Verdana" w:hAnsi="Verdana"/>
          <w:b w:val="0"/>
          <w:i/>
          <w:color w:val="auto"/>
          <w:sz w:val="20"/>
          <w:szCs w:val="20"/>
          <w:lang w:val="en-US"/>
        </w:rPr>
        <w:t>Non-pecuniary damage</w:t>
      </w:r>
      <w:bookmarkEnd w:id="166"/>
      <w:bookmarkEnd w:id="167"/>
      <w:bookmarkEnd w:id="168"/>
    </w:p>
    <w:p w14:paraId="2D93705B" w14:textId="77777777" w:rsidR="009D661E" w:rsidRPr="00AC57EA" w:rsidRDefault="009D661E" w:rsidP="000063E6">
      <w:pPr>
        <w:spacing w:line="240" w:lineRule="auto"/>
        <w:rPr>
          <w:sz w:val="20"/>
          <w:szCs w:val="20"/>
          <w:lang w:val="en-US"/>
        </w:rPr>
      </w:pPr>
    </w:p>
    <w:p w14:paraId="26892BAF" w14:textId="21E007C3" w:rsidR="00395953" w:rsidRPr="00AC57EA" w:rsidRDefault="00B7258C" w:rsidP="00493B4F">
      <w:pPr>
        <w:numPr>
          <w:ilvl w:val="0"/>
          <w:numId w:val="2"/>
        </w:numPr>
        <w:tabs>
          <w:tab w:val="left" w:pos="567"/>
          <w:tab w:val="num" w:pos="5057"/>
        </w:tabs>
        <w:spacing w:line="240" w:lineRule="auto"/>
        <w:ind w:left="0" w:firstLine="0"/>
        <w:textAlignment w:val="auto"/>
        <w:rPr>
          <w:rFonts w:eastAsia="MS Mincho" w:cs="Tahoma"/>
          <w:sz w:val="20"/>
          <w:szCs w:val="20"/>
          <w:lang w:val="en-US"/>
        </w:rPr>
      </w:pPr>
      <w:r w:rsidRPr="00AC57EA">
        <w:rPr>
          <w:rFonts w:eastAsia="Calibri"/>
          <w:sz w:val="20"/>
          <w:szCs w:val="20"/>
          <w:lang w:val="en-US"/>
        </w:rPr>
        <w:t xml:space="preserve">The </w:t>
      </w:r>
      <w:r w:rsidRPr="00AC57EA">
        <w:rPr>
          <w:rFonts w:eastAsia="Calibri"/>
          <w:b/>
          <w:bCs/>
          <w:i/>
          <w:iCs/>
          <w:sz w:val="20"/>
          <w:szCs w:val="20"/>
          <w:lang w:val="en-US"/>
        </w:rPr>
        <w:t>Commission</w:t>
      </w:r>
      <w:r w:rsidR="00493B4F" w:rsidRPr="00AC57EA">
        <w:rPr>
          <w:rFonts w:eastAsia="MS Mincho" w:cs="Tahoma"/>
          <w:b/>
          <w:i/>
          <w:sz w:val="20"/>
          <w:szCs w:val="20"/>
          <w:lang w:val="en-US"/>
        </w:rPr>
        <w:t xml:space="preserve"> </w:t>
      </w:r>
      <w:r w:rsidR="00493B4F" w:rsidRPr="00AC57EA">
        <w:rPr>
          <w:rFonts w:eastAsia="MS Mincho" w:cs="Tahoma"/>
          <w:sz w:val="20"/>
          <w:szCs w:val="20"/>
          <w:lang w:val="en-US"/>
        </w:rPr>
        <w:t>a</w:t>
      </w:r>
      <w:r w:rsidR="00395953" w:rsidRPr="00AC57EA">
        <w:rPr>
          <w:rFonts w:eastAsia="MS Mincho" w:cs="Tahoma"/>
          <w:sz w:val="20"/>
          <w:szCs w:val="20"/>
          <w:lang w:val="en-US"/>
        </w:rPr>
        <w:t xml:space="preserve">rgued that the facts had a severe impact on the life project of V.R.P, her mother, </w:t>
      </w:r>
      <w:r w:rsidR="00493B4F" w:rsidRPr="00AC57EA">
        <w:rPr>
          <w:rFonts w:eastAsia="MS Mincho" w:cs="Tahoma"/>
          <w:sz w:val="20"/>
          <w:szCs w:val="20"/>
          <w:lang w:val="en-US"/>
        </w:rPr>
        <w:t>V.P.C.</w:t>
      </w:r>
      <w:r w:rsidR="00171E27" w:rsidRPr="00AC57EA">
        <w:rPr>
          <w:rFonts w:eastAsia="MS Mincho" w:cs="Tahoma"/>
          <w:sz w:val="20"/>
          <w:szCs w:val="20"/>
          <w:lang w:val="en-US"/>
        </w:rPr>
        <w:t xml:space="preserve"> and </w:t>
      </w:r>
      <w:r w:rsidR="00395953" w:rsidRPr="00AC57EA">
        <w:rPr>
          <w:rFonts w:eastAsia="MS Mincho" w:cs="Tahoma"/>
          <w:sz w:val="20"/>
          <w:szCs w:val="20"/>
          <w:lang w:val="en-US"/>
        </w:rPr>
        <w:t xml:space="preserve">her brothers and sister, because the serious failure of the State to acknowledge </w:t>
      </w:r>
      <w:r w:rsidR="00CC16C3" w:rsidRPr="00AC57EA">
        <w:rPr>
          <w:rFonts w:eastAsia="MS Mincho" w:cs="Tahoma"/>
          <w:sz w:val="20"/>
          <w:szCs w:val="20"/>
          <w:lang w:val="en-US"/>
        </w:rPr>
        <w:t>V.R.P.’s</w:t>
      </w:r>
      <w:r w:rsidR="00395953" w:rsidRPr="00AC57EA">
        <w:rPr>
          <w:rFonts w:eastAsia="MS Mincho" w:cs="Tahoma"/>
          <w:sz w:val="20"/>
          <w:szCs w:val="20"/>
          <w:lang w:val="en-US"/>
        </w:rPr>
        <w:t xml:space="preserve"> condition as a victim at such a young age, and the severe violence that she endured at the hands of the state authorities negated the victim’s possibilities of recovery and reintegration. The Commission considered that the State’s obligation to provide comprehensive support and protection to the victim is still pending, so that it cannot be permitted to allege the victims’ departure from the country in order to evade its obligation to provide full reparation, in particular bearing in mind that the said depart</w:t>
      </w:r>
      <w:r w:rsidR="00CC16C3" w:rsidRPr="00AC57EA">
        <w:rPr>
          <w:rFonts w:eastAsia="MS Mincho" w:cs="Tahoma"/>
          <w:sz w:val="20"/>
          <w:szCs w:val="20"/>
          <w:lang w:val="en-US"/>
        </w:rPr>
        <w:t>ure</w:t>
      </w:r>
      <w:r w:rsidR="00395953" w:rsidRPr="00AC57EA">
        <w:rPr>
          <w:rFonts w:eastAsia="MS Mincho" w:cs="Tahoma"/>
          <w:sz w:val="20"/>
          <w:szCs w:val="20"/>
          <w:lang w:val="en-US"/>
        </w:rPr>
        <w:t xml:space="preserve"> was due precisely to the State’s conduct </w:t>
      </w:r>
      <w:r w:rsidR="00CC16C3" w:rsidRPr="00AC57EA">
        <w:rPr>
          <w:rFonts w:eastAsia="MS Mincho" w:cs="Tahoma"/>
          <w:sz w:val="20"/>
          <w:szCs w:val="20"/>
          <w:lang w:val="en-US"/>
        </w:rPr>
        <w:t>in relation to</w:t>
      </w:r>
      <w:r w:rsidR="00395953" w:rsidRPr="00AC57EA">
        <w:rPr>
          <w:rFonts w:eastAsia="MS Mincho" w:cs="Tahoma"/>
          <w:sz w:val="20"/>
          <w:szCs w:val="20"/>
          <w:lang w:val="en-US"/>
        </w:rPr>
        <w:t xml:space="preserve"> the complaints.</w:t>
      </w:r>
    </w:p>
    <w:p w14:paraId="13BAAFF7" w14:textId="77777777" w:rsidR="00493B4F" w:rsidRPr="00AC57EA" w:rsidRDefault="00493B4F" w:rsidP="000063E6">
      <w:pPr>
        <w:spacing w:line="240" w:lineRule="auto"/>
        <w:rPr>
          <w:sz w:val="20"/>
          <w:szCs w:val="20"/>
          <w:lang w:val="en-US"/>
        </w:rPr>
      </w:pPr>
    </w:p>
    <w:p w14:paraId="7BFD4688" w14:textId="2BF7A72D" w:rsidR="009D661E" w:rsidRPr="00AC57EA" w:rsidRDefault="00171E27" w:rsidP="00395953">
      <w:pPr>
        <w:numPr>
          <w:ilvl w:val="0"/>
          <w:numId w:val="2"/>
        </w:numPr>
        <w:tabs>
          <w:tab w:val="left" w:pos="567"/>
          <w:tab w:val="num" w:pos="5057"/>
        </w:tabs>
        <w:spacing w:line="240" w:lineRule="auto"/>
        <w:ind w:left="0" w:firstLine="0"/>
        <w:textAlignment w:val="auto"/>
        <w:rPr>
          <w:sz w:val="20"/>
          <w:szCs w:val="20"/>
          <w:lang w:val="en-US"/>
        </w:rPr>
      </w:pPr>
      <w:r w:rsidRPr="00AC57EA">
        <w:rPr>
          <w:rFonts w:eastAsia="Calibri"/>
          <w:sz w:val="20"/>
          <w:szCs w:val="20"/>
          <w:lang w:val="en-US"/>
        </w:rPr>
        <w:t xml:space="preserve">The </w:t>
      </w:r>
      <w:r w:rsidRPr="00AC57EA">
        <w:rPr>
          <w:rFonts w:eastAsia="Calibri"/>
          <w:b/>
          <w:bCs/>
          <w:i/>
          <w:iCs/>
          <w:sz w:val="20"/>
          <w:szCs w:val="20"/>
          <w:lang w:val="en-US"/>
        </w:rPr>
        <w:t>representatives</w:t>
      </w:r>
      <w:r w:rsidR="009D661E" w:rsidRPr="00AC57EA">
        <w:rPr>
          <w:b/>
          <w:i/>
          <w:sz w:val="20"/>
          <w:szCs w:val="20"/>
          <w:lang w:val="en-US"/>
        </w:rPr>
        <w:t xml:space="preserve"> </w:t>
      </w:r>
      <w:r w:rsidR="00395953" w:rsidRPr="00AC57EA">
        <w:rPr>
          <w:sz w:val="20"/>
          <w:szCs w:val="20"/>
          <w:lang w:val="en-US"/>
        </w:rPr>
        <w:t>indicated that the harm suffered by</w:t>
      </w:r>
      <w:r w:rsidR="009D661E" w:rsidRPr="00AC57EA">
        <w:rPr>
          <w:sz w:val="20"/>
          <w:szCs w:val="20"/>
          <w:lang w:val="en-US"/>
        </w:rPr>
        <w:t xml:space="preserve"> V.R.P. </w:t>
      </w:r>
      <w:r w:rsidR="00395953" w:rsidRPr="00AC57EA">
        <w:rPr>
          <w:sz w:val="20"/>
          <w:szCs w:val="20"/>
          <w:lang w:val="en-US"/>
        </w:rPr>
        <w:t xml:space="preserve">at the hands of a third party engaged the State’s responsibility because it had not </w:t>
      </w:r>
      <w:r w:rsidR="002D0FBB" w:rsidRPr="00AC57EA">
        <w:rPr>
          <w:sz w:val="20"/>
          <w:szCs w:val="20"/>
          <w:lang w:val="en-US"/>
        </w:rPr>
        <w:t>ensured her rights effectively and had not conducted an effective investigation that led to the punishment of the perpetrator. They also indicated that the institutional violence and the revictimization suffered by the child, owing to the actions of persons acting in their capacity as public officials, caused her harm. The representatives argued that all of this affected both V.R.P. and her family circle</w:t>
      </w:r>
      <w:r w:rsidR="00054D89" w:rsidRPr="00AC57EA">
        <w:rPr>
          <w:sz w:val="20"/>
          <w:szCs w:val="20"/>
          <w:lang w:val="en-US"/>
        </w:rPr>
        <w:t xml:space="preserve"> and</w:t>
      </w:r>
      <w:r w:rsidR="002D0FBB" w:rsidRPr="00AC57EA">
        <w:rPr>
          <w:sz w:val="20"/>
          <w:szCs w:val="20"/>
          <w:lang w:val="en-US"/>
        </w:rPr>
        <w:t xml:space="preserve"> cause</w:t>
      </w:r>
      <w:r w:rsidR="00CC16C3" w:rsidRPr="00AC57EA">
        <w:rPr>
          <w:sz w:val="20"/>
          <w:szCs w:val="20"/>
          <w:lang w:val="en-US"/>
        </w:rPr>
        <w:t>d</w:t>
      </w:r>
      <w:r w:rsidR="002D0FBB" w:rsidRPr="00AC57EA">
        <w:rPr>
          <w:sz w:val="20"/>
          <w:szCs w:val="20"/>
          <w:lang w:val="en-US"/>
        </w:rPr>
        <w:t xml:space="preserve"> them mental and moral harm because they were stigmatized and had to bear the pain suffered by V.R.P., in addition to feeling </w:t>
      </w:r>
      <w:r w:rsidR="00054D89" w:rsidRPr="00AC57EA">
        <w:rPr>
          <w:sz w:val="20"/>
          <w:szCs w:val="20"/>
          <w:lang w:val="en-US"/>
        </w:rPr>
        <w:t xml:space="preserve">helpless </w:t>
      </w:r>
      <w:r w:rsidR="002D0FBB" w:rsidRPr="00AC57EA">
        <w:rPr>
          <w:sz w:val="20"/>
          <w:szCs w:val="20"/>
          <w:lang w:val="en-US"/>
        </w:rPr>
        <w:t xml:space="preserve">due to the lack of response from the State, </w:t>
      </w:r>
      <w:r w:rsidR="00054D89" w:rsidRPr="00AC57EA">
        <w:rPr>
          <w:sz w:val="20"/>
          <w:szCs w:val="20"/>
          <w:lang w:val="en-US"/>
        </w:rPr>
        <w:t>which</w:t>
      </w:r>
      <w:r w:rsidR="002D0FBB" w:rsidRPr="00AC57EA">
        <w:rPr>
          <w:sz w:val="20"/>
          <w:szCs w:val="20"/>
          <w:lang w:val="en-US"/>
        </w:rPr>
        <w:t xml:space="preserve"> ultimately led to the disintegration of the family. Therefore, they asked the Court to order the payment of </w:t>
      </w:r>
      <w:r w:rsidR="009D661E" w:rsidRPr="00AC57EA">
        <w:rPr>
          <w:sz w:val="20"/>
          <w:szCs w:val="20"/>
          <w:lang w:val="en-US"/>
        </w:rPr>
        <w:t>US$250</w:t>
      </w:r>
      <w:r w:rsidR="00474CE5" w:rsidRPr="00AC57EA">
        <w:rPr>
          <w:sz w:val="20"/>
          <w:szCs w:val="20"/>
          <w:lang w:val="en-US"/>
        </w:rPr>
        <w:t>,000.00</w:t>
      </w:r>
      <w:r w:rsidR="009D661E" w:rsidRPr="00AC57EA">
        <w:rPr>
          <w:sz w:val="20"/>
          <w:szCs w:val="20"/>
          <w:lang w:val="en-US"/>
        </w:rPr>
        <w:t xml:space="preserve"> </w:t>
      </w:r>
      <w:r w:rsidR="00F00B8C" w:rsidRPr="00AC57EA">
        <w:rPr>
          <w:sz w:val="20"/>
          <w:szCs w:val="20"/>
          <w:lang w:val="en-US"/>
        </w:rPr>
        <w:t>in favor of</w:t>
      </w:r>
      <w:r w:rsidR="009D661E" w:rsidRPr="00AC57EA">
        <w:rPr>
          <w:sz w:val="20"/>
          <w:szCs w:val="20"/>
          <w:lang w:val="en-US"/>
        </w:rPr>
        <w:t xml:space="preserve"> V.R.P., US$150</w:t>
      </w:r>
      <w:r w:rsidR="00474CE5" w:rsidRPr="00AC57EA">
        <w:rPr>
          <w:sz w:val="20"/>
          <w:szCs w:val="20"/>
          <w:lang w:val="en-US"/>
        </w:rPr>
        <w:t>,000.00</w:t>
      </w:r>
      <w:r w:rsidR="009D661E" w:rsidRPr="00AC57EA">
        <w:rPr>
          <w:sz w:val="20"/>
          <w:szCs w:val="20"/>
          <w:lang w:val="en-US"/>
        </w:rPr>
        <w:t xml:space="preserve"> </w:t>
      </w:r>
      <w:r w:rsidR="00F00B8C" w:rsidRPr="00AC57EA">
        <w:rPr>
          <w:sz w:val="20"/>
          <w:szCs w:val="20"/>
          <w:lang w:val="en-US"/>
        </w:rPr>
        <w:t>in favor of</w:t>
      </w:r>
      <w:r w:rsidR="00B33D5C" w:rsidRPr="00AC57EA">
        <w:rPr>
          <w:sz w:val="20"/>
          <w:szCs w:val="20"/>
          <w:lang w:val="en-US"/>
        </w:rPr>
        <w:t xml:space="preserve"> </w:t>
      </w:r>
      <w:r w:rsidR="009D661E" w:rsidRPr="00AC57EA">
        <w:rPr>
          <w:sz w:val="20"/>
          <w:szCs w:val="20"/>
          <w:lang w:val="en-US"/>
        </w:rPr>
        <w:t>V.P.C.,</w:t>
      </w:r>
      <w:r w:rsidRPr="00AC57EA">
        <w:rPr>
          <w:sz w:val="20"/>
          <w:szCs w:val="20"/>
          <w:lang w:val="en-US"/>
        </w:rPr>
        <w:t xml:space="preserve"> and </w:t>
      </w:r>
      <w:r w:rsidR="007F2C0D" w:rsidRPr="00AC57EA">
        <w:rPr>
          <w:sz w:val="20"/>
          <w:szCs w:val="20"/>
          <w:lang w:val="en-US"/>
        </w:rPr>
        <w:t>US$50</w:t>
      </w:r>
      <w:r w:rsidR="00474CE5" w:rsidRPr="00AC57EA">
        <w:rPr>
          <w:sz w:val="20"/>
          <w:szCs w:val="20"/>
          <w:lang w:val="en-US"/>
        </w:rPr>
        <w:t>,000.00</w:t>
      </w:r>
      <w:r w:rsidR="007F2C0D" w:rsidRPr="00AC57EA">
        <w:rPr>
          <w:sz w:val="20"/>
          <w:szCs w:val="20"/>
          <w:lang w:val="en-US"/>
        </w:rPr>
        <w:t xml:space="preserve"> </w:t>
      </w:r>
      <w:r w:rsidR="00F00B8C" w:rsidRPr="00AC57EA">
        <w:rPr>
          <w:sz w:val="20"/>
          <w:szCs w:val="20"/>
          <w:lang w:val="en-US"/>
        </w:rPr>
        <w:t>in favor of</w:t>
      </w:r>
      <w:r w:rsidR="00B33D5C" w:rsidRPr="00AC57EA">
        <w:rPr>
          <w:sz w:val="20"/>
          <w:szCs w:val="20"/>
          <w:lang w:val="en-US"/>
        </w:rPr>
        <w:t xml:space="preserve"> </w:t>
      </w:r>
      <w:r w:rsidR="00F00B8C" w:rsidRPr="00AC57EA">
        <w:rPr>
          <w:sz w:val="20"/>
          <w:szCs w:val="20"/>
          <w:lang w:val="en-US"/>
        </w:rPr>
        <w:t>each of the siblings</w:t>
      </w:r>
      <w:r w:rsidR="009D661E" w:rsidRPr="00AC57EA">
        <w:rPr>
          <w:sz w:val="20"/>
          <w:szCs w:val="20"/>
          <w:lang w:val="en-US"/>
        </w:rPr>
        <w:t xml:space="preserve">. </w:t>
      </w:r>
      <w:r w:rsidR="00F00B8C" w:rsidRPr="00AC57EA">
        <w:rPr>
          <w:sz w:val="20"/>
          <w:szCs w:val="20"/>
          <w:lang w:val="en-US"/>
        </w:rPr>
        <w:t xml:space="preserve">Consequently, the total amount requested for </w:t>
      </w:r>
      <w:r w:rsidR="007E72AE" w:rsidRPr="00AC57EA">
        <w:rPr>
          <w:sz w:val="20"/>
          <w:szCs w:val="20"/>
          <w:lang w:val="en-US"/>
        </w:rPr>
        <w:t>non-pecuniary damage</w:t>
      </w:r>
      <w:r w:rsidR="009D661E" w:rsidRPr="00AC57EA">
        <w:rPr>
          <w:sz w:val="20"/>
          <w:szCs w:val="20"/>
          <w:lang w:val="en-US"/>
        </w:rPr>
        <w:t xml:space="preserve"> </w:t>
      </w:r>
      <w:r w:rsidR="00F00B8C" w:rsidRPr="00AC57EA">
        <w:rPr>
          <w:sz w:val="20"/>
          <w:szCs w:val="20"/>
          <w:lang w:val="en-US"/>
        </w:rPr>
        <w:t>amount</w:t>
      </w:r>
      <w:r w:rsidR="00054D89" w:rsidRPr="00AC57EA">
        <w:rPr>
          <w:sz w:val="20"/>
          <w:szCs w:val="20"/>
          <w:lang w:val="en-US"/>
        </w:rPr>
        <w:t>ed</w:t>
      </w:r>
      <w:r w:rsidR="00F00B8C" w:rsidRPr="00AC57EA">
        <w:rPr>
          <w:sz w:val="20"/>
          <w:szCs w:val="20"/>
          <w:lang w:val="en-US"/>
        </w:rPr>
        <w:t xml:space="preserve"> to</w:t>
      </w:r>
      <w:r w:rsidR="009D661E" w:rsidRPr="00AC57EA">
        <w:rPr>
          <w:sz w:val="20"/>
          <w:szCs w:val="20"/>
          <w:lang w:val="en-US"/>
        </w:rPr>
        <w:t xml:space="preserve"> US$550</w:t>
      </w:r>
      <w:r w:rsidR="00474CE5" w:rsidRPr="00AC57EA">
        <w:rPr>
          <w:sz w:val="20"/>
          <w:szCs w:val="20"/>
          <w:lang w:val="en-US"/>
        </w:rPr>
        <w:t>,000.00</w:t>
      </w:r>
      <w:r w:rsidR="001C0BD0" w:rsidRPr="00AC57EA">
        <w:rPr>
          <w:sz w:val="20"/>
          <w:szCs w:val="20"/>
          <w:lang w:val="en-US"/>
        </w:rPr>
        <w:t>.</w:t>
      </w:r>
    </w:p>
    <w:p w14:paraId="3E87CB43" w14:textId="77777777" w:rsidR="009D661E" w:rsidRPr="00AC57EA" w:rsidRDefault="009D661E" w:rsidP="009D661E">
      <w:pPr>
        <w:tabs>
          <w:tab w:val="left" w:pos="567"/>
        </w:tabs>
        <w:spacing w:line="240" w:lineRule="auto"/>
        <w:rPr>
          <w:sz w:val="20"/>
          <w:szCs w:val="20"/>
          <w:lang w:val="en-US"/>
        </w:rPr>
      </w:pPr>
    </w:p>
    <w:p w14:paraId="7A8DACEB" w14:textId="18A8E820" w:rsidR="00493B4F" w:rsidRPr="00AC57EA" w:rsidRDefault="00171E27" w:rsidP="00080C7C">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Verdana" w:cs="Verdana"/>
          <w:sz w:val="20"/>
          <w:szCs w:val="20"/>
          <w:lang w:val="en-US"/>
        </w:rPr>
        <w:t>The representative</w:t>
      </w:r>
      <w:r w:rsidR="00F00B8C" w:rsidRPr="00AC57EA">
        <w:rPr>
          <w:rFonts w:eastAsia="Verdana" w:cs="Verdana"/>
          <w:sz w:val="20"/>
          <w:szCs w:val="20"/>
          <w:lang w:val="en-US"/>
        </w:rPr>
        <w:t>s</w:t>
      </w:r>
      <w:r w:rsidR="00493B4F" w:rsidRPr="00AC57EA">
        <w:rPr>
          <w:rFonts w:eastAsia="Verdana" w:cs="Verdana"/>
          <w:sz w:val="20"/>
          <w:szCs w:val="20"/>
          <w:lang w:val="en-US"/>
        </w:rPr>
        <w:t xml:space="preserve"> a</w:t>
      </w:r>
      <w:r w:rsidR="002D0FBB" w:rsidRPr="00AC57EA">
        <w:rPr>
          <w:rFonts w:eastAsia="Verdana" w:cs="Verdana"/>
          <w:sz w:val="20"/>
          <w:szCs w:val="20"/>
          <w:lang w:val="en-US"/>
        </w:rPr>
        <w:t xml:space="preserve">rgued, with regard to V.R.P., that her expectations of normal, healthy personal development were curtailed from the moment she was sexually attacked, because she ceased to be a happy child, she refused to attend school, and she stopped looking after herself, </w:t>
      </w:r>
      <w:r w:rsidR="00054D89" w:rsidRPr="00AC57EA">
        <w:rPr>
          <w:rFonts w:eastAsia="Verdana" w:cs="Verdana"/>
          <w:sz w:val="20"/>
          <w:szCs w:val="20"/>
          <w:lang w:val="en-US"/>
        </w:rPr>
        <w:t xml:space="preserve">and all this </w:t>
      </w:r>
      <w:r w:rsidR="002D0FBB" w:rsidRPr="00AC57EA">
        <w:rPr>
          <w:rFonts w:eastAsia="Verdana" w:cs="Verdana"/>
          <w:sz w:val="20"/>
          <w:szCs w:val="20"/>
          <w:lang w:val="en-US"/>
        </w:rPr>
        <w:t xml:space="preserve">was exacerbated when her aggressor was released. Her life project was also harmed when she had to withdraw from her family and her surroundings and was unable to enjoy affectionate relations with those she loved. Regarding V.P.C., they adduced that she had to abandon her employment to take care of both the delicate situation of her daughter and the judicial proceedings; she had to leave her family to move to a foreign country, she had to leave her home to find herself in the street without anywhere to sleep, wear out her strength and health </w:t>
      </w:r>
      <w:r w:rsidR="00080C7C" w:rsidRPr="00AC57EA">
        <w:rPr>
          <w:rFonts w:eastAsia="Verdana" w:cs="Verdana"/>
          <w:sz w:val="20"/>
          <w:szCs w:val="20"/>
          <w:lang w:val="en-US"/>
        </w:rPr>
        <w:t>try</w:t>
      </w:r>
      <w:r w:rsidR="00054D89" w:rsidRPr="00AC57EA">
        <w:rPr>
          <w:rFonts w:eastAsia="Verdana" w:cs="Verdana"/>
          <w:sz w:val="20"/>
          <w:szCs w:val="20"/>
          <w:lang w:val="en-US"/>
        </w:rPr>
        <w:t>ing</w:t>
      </w:r>
      <w:r w:rsidR="00080C7C" w:rsidRPr="00AC57EA">
        <w:rPr>
          <w:rFonts w:eastAsia="Verdana" w:cs="Verdana"/>
          <w:sz w:val="20"/>
          <w:szCs w:val="20"/>
          <w:lang w:val="en-US"/>
        </w:rPr>
        <w:t xml:space="preserve"> to help her daughter recover and seeking justice which never came. None of this formed part of her plans before filing the complaint against her daughter’s aggressor. In the case of N.R.P., they argued that her life project was affected when she was unable to continue with her chosen career owing to social rejection because of what had happened in her family and, when she had to leave the country, because she had to support her mother and sister, abandoning her studies and her dreams to take up more lowly jobs that allowed her to help them. Regarding </w:t>
      </w:r>
      <w:r w:rsidR="00493B4F" w:rsidRPr="00AC57EA">
        <w:rPr>
          <w:rFonts w:eastAsia="Verdana" w:cs="Verdana"/>
          <w:sz w:val="20"/>
          <w:szCs w:val="20"/>
          <w:lang w:val="en-US"/>
        </w:rPr>
        <w:t>H.J.R.P.</w:t>
      </w:r>
      <w:r w:rsidRPr="00AC57EA">
        <w:rPr>
          <w:rFonts w:eastAsia="Verdana" w:cs="Verdana"/>
          <w:sz w:val="20"/>
          <w:szCs w:val="20"/>
          <w:lang w:val="en-US"/>
        </w:rPr>
        <w:t xml:space="preserve"> and </w:t>
      </w:r>
      <w:r w:rsidR="00493B4F" w:rsidRPr="00AC57EA">
        <w:rPr>
          <w:rFonts w:eastAsia="Verdana" w:cs="Verdana"/>
          <w:sz w:val="20"/>
          <w:szCs w:val="20"/>
          <w:lang w:val="en-US"/>
        </w:rPr>
        <w:t>V.A.R.P.</w:t>
      </w:r>
      <w:r w:rsidR="00B522B9" w:rsidRPr="00AC57EA">
        <w:rPr>
          <w:rFonts w:eastAsia="Verdana" w:cs="Verdana"/>
          <w:sz w:val="20"/>
          <w:szCs w:val="20"/>
          <w:lang w:val="en-US"/>
        </w:rPr>
        <w:t>,</w:t>
      </w:r>
      <w:r w:rsidR="00493B4F" w:rsidRPr="00AC57EA">
        <w:rPr>
          <w:rFonts w:eastAsia="Verdana" w:cs="Verdana"/>
          <w:sz w:val="20"/>
          <w:szCs w:val="20"/>
          <w:lang w:val="en-US"/>
        </w:rPr>
        <w:t xml:space="preserve"> </w:t>
      </w:r>
      <w:r w:rsidR="00080C7C" w:rsidRPr="00AC57EA">
        <w:rPr>
          <w:rFonts w:eastAsia="Verdana" w:cs="Verdana"/>
          <w:sz w:val="20"/>
          <w:szCs w:val="20"/>
          <w:lang w:val="en-US"/>
        </w:rPr>
        <w:t>they indicated that they were preventing from advancing in the academic and work environment owing to the lack of opportunities due to rejection by the community and the stigmatization they suffered. Specifically, they indicated that</w:t>
      </w:r>
      <w:r w:rsidR="00080C7C" w:rsidRPr="00AC57EA">
        <w:rPr>
          <w:rFonts w:eastAsia="MS Mincho"/>
          <w:sz w:val="20"/>
          <w:szCs w:val="20"/>
          <w:lang w:val="en-US" w:bidi="en-US"/>
        </w:rPr>
        <w:t xml:space="preserve"> </w:t>
      </w:r>
      <w:r w:rsidR="00493B4F" w:rsidRPr="00AC57EA">
        <w:rPr>
          <w:rFonts w:eastAsia="Verdana" w:cs="Verdana"/>
          <w:sz w:val="20"/>
          <w:szCs w:val="20"/>
          <w:lang w:val="en-US"/>
        </w:rPr>
        <w:t>H.</w:t>
      </w:r>
      <w:r w:rsidR="007F2C0D" w:rsidRPr="00AC57EA">
        <w:rPr>
          <w:rFonts w:eastAsia="Verdana" w:cs="Verdana"/>
          <w:sz w:val="20"/>
          <w:szCs w:val="20"/>
          <w:lang w:val="en-US"/>
        </w:rPr>
        <w:t>J.</w:t>
      </w:r>
      <w:r w:rsidR="00493B4F" w:rsidRPr="00AC57EA">
        <w:rPr>
          <w:rFonts w:eastAsia="Verdana" w:cs="Verdana"/>
          <w:sz w:val="20"/>
          <w:szCs w:val="20"/>
          <w:lang w:val="en-US"/>
        </w:rPr>
        <w:t>R.P.</w:t>
      </w:r>
      <w:r w:rsidR="00080C7C" w:rsidRPr="00AC57EA">
        <w:rPr>
          <w:rFonts w:eastAsia="Verdana" w:cs="Verdana"/>
          <w:sz w:val="20"/>
          <w:szCs w:val="20"/>
          <w:lang w:val="en-US"/>
        </w:rPr>
        <w:t xml:space="preserve"> was unable to follow his chosen career, and</w:t>
      </w:r>
      <w:r w:rsidR="00493B4F" w:rsidRPr="00AC57EA">
        <w:rPr>
          <w:rFonts w:eastAsia="Verdana" w:cs="Verdana"/>
          <w:sz w:val="20"/>
          <w:szCs w:val="20"/>
          <w:lang w:val="en-US"/>
        </w:rPr>
        <w:t xml:space="preserve"> V.A.R.P. </w:t>
      </w:r>
      <w:r w:rsidR="00080C7C" w:rsidRPr="00AC57EA">
        <w:rPr>
          <w:rFonts w:eastAsia="Verdana" w:cs="Verdana"/>
          <w:sz w:val="20"/>
          <w:szCs w:val="20"/>
          <w:lang w:val="en-US"/>
        </w:rPr>
        <w:t>was unable to study because, also, he no longer had the financial support of his mother who had to leave</w:t>
      </w:r>
      <w:r w:rsidR="00493B4F" w:rsidRPr="00AC57EA">
        <w:rPr>
          <w:rFonts w:eastAsia="Verdana" w:cs="Verdana"/>
          <w:sz w:val="20"/>
          <w:szCs w:val="20"/>
          <w:lang w:val="en-US"/>
        </w:rPr>
        <w:t xml:space="preserve"> Nicaragua</w:t>
      </w:r>
      <w:r w:rsidR="001C0BD0" w:rsidRPr="00AC57EA">
        <w:rPr>
          <w:rFonts w:eastAsia="Verdana" w:cs="Verdana"/>
          <w:sz w:val="20"/>
          <w:szCs w:val="20"/>
          <w:lang w:val="en-US"/>
        </w:rPr>
        <w:t>.</w:t>
      </w:r>
    </w:p>
    <w:p w14:paraId="282F9C92" w14:textId="77777777" w:rsidR="00493B4F" w:rsidRPr="00AC57EA" w:rsidRDefault="00493B4F" w:rsidP="009D661E">
      <w:pPr>
        <w:tabs>
          <w:tab w:val="left" w:pos="567"/>
        </w:tabs>
        <w:spacing w:line="240" w:lineRule="auto"/>
        <w:rPr>
          <w:sz w:val="20"/>
          <w:szCs w:val="20"/>
          <w:lang w:val="en-US"/>
        </w:rPr>
      </w:pPr>
    </w:p>
    <w:p w14:paraId="459667C7" w14:textId="6978BB4F" w:rsidR="00842A2B" w:rsidRPr="00AC57EA" w:rsidRDefault="00EC52D7" w:rsidP="00C12C98">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w:t>
      </w:r>
      <w:r w:rsidRPr="00AC57EA">
        <w:rPr>
          <w:rFonts w:eastAsia="MS Mincho"/>
          <w:b/>
          <w:bCs/>
          <w:i/>
          <w:iCs/>
          <w:sz w:val="20"/>
          <w:szCs w:val="20"/>
          <w:lang w:val="en-US" w:bidi="en-US"/>
        </w:rPr>
        <w:t>State</w:t>
      </w:r>
      <w:r w:rsidR="009D661E" w:rsidRPr="00AC57EA">
        <w:rPr>
          <w:rFonts w:eastAsia="Verdana" w:cs="Verdana"/>
          <w:sz w:val="20"/>
          <w:szCs w:val="20"/>
          <w:lang w:val="en-US"/>
        </w:rPr>
        <w:t xml:space="preserve"> </w:t>
      </w:r>
      <w:r w:rsidR="00080C7C" w:rsidRPr="00AC57EA">
        <w:rPr>
          <w:rFonts w:eastAsia="Verdana" w:cs="Verdana"/>
          <w:sz w:val="20"/>
          <w:szCs w:val="20"/>
          <w:lang w:val="en-US"/>
        </w:rPr>
        <w:t>indicated that, although</w:t>
      </w:r>
      <w:r w:rsidR="009D661E" w:rsidRPr="00AC57EA">
        <w:rPr>
          <w:rFonts w:eastAsia="Verdana" w:cs="Verdana"/>
          <w:sz w:val="20"/>
          <w:szCs w:val="20"/>
          <w:lang w:val="en-US"/>
        </w:rPr>
        <w:t xml:space="preserve"> </w:t>
      </w:r>
      <w:r w:rsidR="007E72AE" w:rsidRPr="00AC57EA">
        <w:rPr>
          <w:rFonts w:eastAsia="Verdana" w:cs="Verdana"/>
          <w:sz w:val="20"/>
          <w:szCs w:val="20"/>
          <w:lang w:val="en-US"/>
        </w:rPr>
        <w:t>non-pecuniary damage</w:t>
      </w:r>
      <w:r w:rsidR="009D661E" w:rsidRPr="00AC57EA">
        <w:rPr>
          <w:rFonts w:eastAsia="Verdana" w:cs="Verdana"/>
          <w:sz w:val="20"/>
          <w:szCs w:val="20"/>
          <w:lang w:val="en-US"/>
        </w:rPr>
        <w:t xml:space="preserve"> </w:t>
      </w:r>
      <w:r w:rsidR="00080C7C" w:rsidRPr="00AC57EA">
        <w:rPr>
          <w:rFonts w:eastAsia="Verdana" w:cs="Verdana"/>
          <w:sz w:val="20"/>
          <w:szCs w:val="20"/>
          <w:lang w:val="en-US"/>
        </w:rPr>
        <w:t>could include both the suffering and affliction caused to the direct victims and to their close family who had directly suffered the impairment of values of great significant for the individual, and it was not possible to allocate or establish an amount of money that was equivalent to the harm for the purposes of reparation, the sum sought by the representatives as compensation for</w:t>
      </w:r>
      <w:r w:rsidR="00080C7C" w:rsidRPr="00AC57EA">
        <w:rPr>
          <w:rFonts w:eastAsia="MS Mincho"/>
          <w:sz w:val="20"/>
          <w:szCs w:val="20"/>
          <w:lang w:val="en-US" w:bidi="en-US"/>
        </w:rPr>
        <w:t xml:space="preserve"> </w:t>
      </w:r>
      <w:r w:rsidR="007E72AE" w:rsidRPr="00AC57EA">
        <w:rPr>
          <w:rFonts w:eastAsia="Verdana" w:cs="Verdana"/>
          <w:sz w:val="20"/>
          <w:szCs w:val="20"/>
          <w:lang w:val="en-US"/>
        </w:rPr>
        <w:t>non-pecuniary damage</w:t>
      </w:r>
      <w:r w:rsidR="00080C7C" w:rsidRPr="00AC57EA">
        <w:rPr>
          <w:rFonts w:eastAsia="Verdana" w:cs="Verdana"/>
          <w:sz w:val="20"/>
          <w:szCs w:val="20"/>
          <w:lang w:val="en-US"/>
        </w:rPr>
        <w:t>, amounting to</w:t>
      </w:r>
      <w:r w:rsidR="009D661E" w:rsidRPr="00AC57EA">
        <w:rPr>
          <w:rFonts w:eastAsia="Verdana" w:cs="Verdana"/>
          <w:sz w:val="20"/>
          <w:szCs w:val="20"/>
          <w:lang w:val="en-US"/>
        </w:rPr>
        <w:t xml:space="preserve"> US$550</w:t>
      </w:r>
      <w:r w:rsidR="00474CE5" w:rsidRPr="00AC57EA">
        <w:rPr>
          <w:rFonts w:eastAsia="Verdana" w:cs="Verdana"/>
          <w:sz w:val="20"/>
          <w:szCs w:val="20"/>
          <w:lang w:val="en-US"/>
        </w:rPr>
        <w:t>,000.00</w:t>
      </w:r>
      <w:r w:rsidR="009D661E" w:rsidRPr="00AC57EA">
        <w:rPr>
          <w:rFonts w:eastAsia="Verdana" w:cs="Verdana"/>
          <w:sz w:val="20"/>
          <w:szCs w:val="20"/>
          <w:lang w:val="en-US"/>
        </w:rPr>
        <w:t xml:space="preserve">, </w:t>
      </w:r>
      <w:r w:rsidR="00C12C98" w:rsidRPr="00AC57EA">
        <w:rPr>
          <w:rFonts w:eastAsia="Verdana" w:cs="Verdana"/>
          <w:sz w:val="20"/>
          <w:szCs w:val="20"/>
          <w:lang w:val="en-US"/>
        </w:rPr>
        <w:t xml:space="preserve">exceeded the reality of a developing country such as </w:t>
      </w:r>
      <w:r w:rsidR="009D661E" w:rsidRPr="00AC57EA">
        <w:rPr>
          <w:rFonts w:eastAsia="Verdana" w:cs="Verdana"/>
          <w:sz w:val="20"/>
          <w:szCs w:val="20"/>
          <w:lang w:val="en-US"/>
        </w:rPr>
        <w:t>Nicaragua</w:t>
      </w:r>
      <w:r w:rsidR="008F7074" w:rsidRPr="00AC57EA">
        <w:rPr>
          <w:rFonts w:eastAsia="Verdana" w:cs="Verdana"/>
          <w:sz w:val="20"/>
          <w:szCs w:val="20"/>
          <w:lang w:val="en-US"/>
        </w:rPr>
        <w:t xml:space="preserve">. </w:t>
      </w:r>
      <w:r w:rsidR="00C12C98" w:rsidRPr="00AC57EA">
        <w:rPr>
          <w:rFonts w:eastAsia="Verdana" w:cs="Verdana"/>
          <w:sz w:val="20"/>
          <w:szCs w:val="20"/>
          <w:lang w:val="en-US"/>
        </w:rPr>
        <w:t>It asked the Court to take into account that, according to its case law, “the judgment can constitute,</w:t>
      </w:r>
      <w:r w:rsidR="009D661E" w:rsidRPr="00AC57EA">
        <w:rPr>
          <w:rFonts w:eastAsia="Verdana" w:cs="Verdana"/>
          <w:sz w:val="20"/>
          <w:szCs w:val="20"/>
          <w:lang w:val="en-US"/>
        </w:rPr>
        <w:t xml:space="preserve"> </w:t>
      </w:r>
      <w:r w:rsidR="009D661E" w:rsidRPr="00AC57EA">
        <w:rPr>
          <w:rFonts w:eastAsia="Verdana" w:cs="Verdana"/>
          <w:i/>
          <w:sz w:val="20"/>
          <w:szCs w:val="20"/>
          <w:lang w:val="en-US"/>
        </w:rPr>
        <w:t>per se</w:t>
      </w:r>
      <w:r w:rsidR="00C12C98" w:rsidRPr="00AC57EA">
        <w:rPr>
          <w:rFonts w:eastAsia="Verdana" w:cs="Verdana"/>
          <w:i/>
          <w:sz w:val="20"/>
          <w:szCs w:val="20"/>
          <w:lang w:val="en-US"/>
        </w:rPr>
        <w:t>,</w:t>
      </w:r>
      <w:r w:rsidR="009D661E" w:rsidRPr="00AC57EA">
        <w:rPr>
          <w:rFonts w:eastAsia="Verdana" w:cs="Verdana"/>
          <w:sz w:val="20"/>
          <w:szCs w:val="20"/>
          <w:lang w:val="en-US"/>
        </w:rPr>
        <w:t xml:space="preserve"> a form</w:t>
      </w:r>
      <w:r w:rsidR="00C12C98" w:rsidRPr="00AC57EA">
        <w:rPr>
          <w:rFonts w:eastAsia="Verdana" w:cs="Verdana"/>
          <w:sz w:val="20"/>
          <w:szCs w:val="20"/>
          <w:lang w:val="en-US"/>
        </w:rPr>
        <w:t xml:space="preserve"> of reparation.” The State considered that the amount requested as compensation for the alleged impairment of the life project was very high, even though the representatives had not indicated a specific sum</w:t>
      </w:r>
      <w:r w:rsidR="00054D89" w:rsidRPr="00AC57EA">
        <w:rPr>
          <w:rFonts w:eastAsia="Verdana" w:cs="Verdana"/>
          <w:sz w:val="20"/>
          <w:szCs w:val="20"/>
          <w:lang w:val="en-US"/>
        </w:rPr>
        <w:t>,</w:t>
      </w:r>
      <w:r w:rsidR="00C12C98" w:rsidRPr="00AC57EA">
        <w:rPr>
          <w:rFonts w:eastAsia="Verdana" w:cs="Verdana"/>
          <w:sz w:val="20"/>
          <w:szCs w:val="20"/>
          <w:lang w:val="en-US"/>
        </w:rPr>
        <w:t xml:space="preserve"> and</w:t>
      </w:r>
      <w:r w:rsidR="00054D89" w:rsidRPr="00AC57EA">
        <w:rPr>
          <w:rFonts w:eastAsia="Verdana" w:cs="Verdana"/>
          <w:sz w:val="20"/>
          <w:szCs w:val="20"/>
          <w:lang w:val="en-US"/>
        </w:rPr>
        <w:t xml:space="preserve"> it</w:t>
      </w:r>
      <w:r w:rsidR="00C12C98" w:rsidRPr="00AC57EA">
        <w:rPr>
          <w:rFonts w:eastAsia="Verdana" w:cs="Verdana"/>
          <w:sz w:val="20"/>
          <w:szCs w:val="20"/>
          <w:lang w:val="en-US"/>
        </w:rPr>
        <w:t xml:space="preserve"> contested considering V.R.P.’s brothers as beneficiaries because they had not been accredited as victims by the Commission. In addition, citing the Court’s case law on the life project, it asked that, in this judgment, the Court take into consideration the calculations made by the State</w:t>
      </w:r>
      <w:r w:rsidR="00842A2B" w:rsidRPr="00AC57EA">
        <w:rPr>
          <w:rFonts w:eastAsia="MS Mincho"/>
          <w:sz w:val="20"/>
          <w:szCs w:val="20"/>
          <w:lang w:val="en-US" w:bidi="en-US"/>
        </w:rPr>
        <w:t xml:space="preserve"> </w:t>
      </w:r>
      <w:r w:rsidR="009F3BE2" w:rsidRPr="00AC57EA">
        <w:rPr>
          <w:rFonts w:eastAsia="MS Mincho"/>
          <w:sz w:val="20"/>
          <w:szCs w:val="20"/>
          <w:lang w:val="en-US" w:bidi="en-US"/>
        </w:rPr>
        <w:t>concerning</w:t>
      </w:r>
      <w:r w:rsidR="00C12C98" w:rsidRPr="00AC57EA">
        <w:rPr>
          <w:rFonts w:eastAsia="MS Mincho"/>
          <w:sz w:val="20"/>
          <w:szCs w:val="20"/>
          <w:lang w:val="en-US" w:bidi="en-US"/>
        </w:rPr>
        <w:t xml:space="preserve"> the</w:t>
      </w:r>
      <w:r w:rsidR="00842A2B" w:rsidRPr="00AC57EA">
        <w:rPr>
          <w:rFonts w:eastAsia="MS Mincho"/>
          <w:sz w:val="20"/>
          <w:szCs w:val="20"/>
          <w:lang w:val="en-US" w:bidi="en-US"/>
        </w:rPr>
        <w:t xml:space="preserve"> </w:t>
      </w:r>
      <w:r w:rsidR="007E72AE" w:rsidRPr="00AC57EA">
        <w:rPr>
          <w:rFonts w:eastAsia="MS Mincho"/>
          <w:sz w:val="20"/>
          <w:szCs w:val="20"/>
          <w:lang w:val="en-US" w:bidi="en-US"/>
        </w:rPr>
        <w:t>pecuniary damage</w:t>
      </w:r>
      <w:r w:rsidR="00842A2B" w:rsidRPr="00AC57EA">
        <w:rPr>
          <w:rFonts w:eastAsia="MS Mincho"/>
          <w:sz w:val="20"/>
          <w:szCs w:val="20"/>
          <w:lang w:val="en-US" w:bidi="en-US"/>
        </w:rPr>
        <w:t xml:space="preserve"> </w:t>
      </w:r>
      <w:r w:rsidR="00C12C98" w:rsidRPr="00AC57EA">
        <w:rPr>
          <w:rFonts w:eastAsia="MS Mincho"/>
          <w:sz w:val="20"/>
          <w:szCs w:val="20"/>
          <w:lang w:val="en-US" w:bidi="en-US"/>
        </w:rPr>
        <w:t>that had presumably been caused.</w:t>
      </w:r>
    </w:p>
    <w:p w14:paraId="361815DC" w14:textId="77777777" w:rsidR="009D661E" w:rsidRPr="00AC57EA" w:rsidRDefault="009D661E" w:rsidP="004002B2">
      <w:pPr>
        <w:tabs>
          <w:tab w:val="left" w:pos="567"/>
        </w:tabs>
        <w:spacing w:line="240" w:lineRule="auto"/>
        <w:textAlignment w:val="auto"/>
        <w:rPr>
          <w:rFonts w:eastAsia="Calibri"/>
          <w:b/>
          <w:i/>
          <w:sz w:val="20"/>
          <w:szCs w:val="20"/>
          <w:lang w:val="en-US"/>
        </w:rPr>
      </w:pPr>
    </w:p>
    <w:p w14:paraId="550B6739" w14:textId="176A1C03" w:rsidR="009D661E" w:rsidRPr="00AC57EA" w:rsidRDefault="00C12C98" w:rsidP="00C12C98">
      <w:pPr>
        <w:numPr>
          <w:ilvl w:val="0"/>
          <w:numId w:val="2"/>
        </w:numPr>
        <w:tabs>
          <w:tab w:val="left" w:pos="567"/>
          <w:tab w:val="num" w:pos="5057"/>
        </w:tabs>
        <w:spacing w:line="240" w:lineRule="auto"/>
        <w:ind w:left="0" w:firstLine="0"/>
        <w:textAlignment w:val="auto"/>
        <w:rPr>
          <w:rFonts w:eastAsia="Calibri"/>
          <w:b/>
          <w:i/>
          <w:sz w:val="20"/>
          <w:szCs w:val="20"/>
          <w:lang w:val="en-US"/>
        </w:rPr>
      </w:pPr>
      <w:r w:rsidRPr="00AC57EA">
        <w:rPr>
          <w:sz w:val="20"/>
          <w:szCs w:val="20"/>
          <w:lang w:val="en-US"/>
        </w:rPr>
        <w:t>In its case law, t</w:t>
      </w:r>
      <w:r w:rsidR="00B7258C" w:rsidRPr="00AC57EA">
        <w:rPr>
          <w:sz w:val="20"/>
          <w:szCs w:val="20"/>
          <w:lang w:val="en-US"/>
        </w:rPr>
        <w:t>he Court</w:t>
      </w:r>
      <w:r w:rsidR="009D661E" w:rsidRPr="00AC57EA">
        <w:rPr>
          <w:sz w:val="20"/>
          <w:szCs w:val="20"/>
          <w:lang w:val="en-US"/>
        </w:rPr>
        <w:t xml:space="preserve"> ha</w:t>
      </w:r>
      <w:r w:rsidRPr="00AC57EA">
        <w:rPr>
          <w:sz w:val="20"/>
          <w:szCs w:val="20"/>
          <w:lang w:val="en-US"/>
        </w:rPr>
        <w:t>s</w:t>
      </w:r>
      <w:r w:rsidR="009D661E" w:rsidRPr="00AC57EA">
        <w:rPr>
          <w:sz w:val="20"/>
          <w:szCs w:val="20"/>
          <w:lang w:val="en-US"/>
        </w:rPr>
        <w:t xml:space="preserve"> establ</w:t>
      </w:r>
      <w:r w:rsidRPr="00AC57EA">
        <w:rPr>
          <w:sz w:val="20"/>
          <w:szCs w:val="20"/>
          <w:lang w:val="en-US"/>
        </w:rPr>
        <w:t>ished that</w:t>
      </w:r>
      <w:r w:rsidR="009D661E" w:rsidRPr="00AC57EA">
        <w:rPr>
          <w:sz w:val="20"/>
          <w:szCs w:val="20"/>
          <w:lang w:val="en-US"/>
        </w:rPr>
        <w:t xml:space="preserve"> </w:t>
      </w:r>
      <w:r w:rsidR="007E72AE" w:rsidRPr="00AC57EA">
        <w:rPr>
          <w:sz w:val="20"/>
          <w:szCs w:val="20"/>
          <w:lang w:val="en-US"/>
        </w:rPr>
        <w:t>non-pecuniary damage</w:t>
      </w:r>
      <w:r w:rsidR="009D661E" w:rsidRPr="00AC57EA">
        <w:rPr>
          <w:sz w:val="20"/>
          <w:szCs w:val="20"/>
          <w:lang w:val="en-US"/>
        </w:rPr>
        <w:t xml:space="preserve"> “</w:t>
      </w:r>
      <w:r w:rsidRPr="00AC57EA">
        <w:rPr>
          <w:sz w:val="20"/>
          <w:szCs w:val="20"/>
          <w:lang w:val="en-US"/>
        </w:rPr>
        <w:t>may include both the suffering and affliction caused by the violation, and also the impairment of values of great significance for the individual, and any alteration of a non-pecuniary nature in the living conditions of the victims.” In addition, since it is not possible to allocate a monetary equivalent to non-pecuniary damage, it can only be compensat</w:t>
      </w:r>
      <w:r w:rsidR="00054D89" w:rsidRPr="00AC57EA">
        <w:rPr>
          <w:sz w:val="20"/>
          <w:szCs w:val="20"/>
          <w:lang w:val="en-US"/>
        </w:rPr>
        <w:t>ed</w:t>
      </w:r>
      <w:r w:rsidRPr="00AC57EA">
        <w:rPr>
          <w:sz w:val="20"/>
          <w:szCs w:val="20"/>
          <w:lang w:val="en-US"/>
        </w:rPr>
        <w:t>, for the purposes of full reparation to the victims, by the payment of a sum of money or the delivery of goods or services with a monetary value, that the Court determines in reasonable application of judicial discretion and in equity.</w:t>
      </w:r>
      <w:r w:rsidR="00BE67B2" w:rsidRPr="00AC57EA">
        <w:rPr>
          <w:rStyle w:val="Refdenotaalpie"/>
          <w:sz w:val="20"/>
          <w:szCs w:val="20"/>
          <w:lang w:val="en-US"/>
        </w:rPr>
        <w:footnoteReference w:id="451"/>
      </w:r>
    </w:p>
    <w:p w14:paraId="3183C86E" w14:textId="77777777" w:rsidR="009D661E" w:rsidRPr="00AC57EA" w:rsidRDefault="009D661E">
      <w:pPr>
        <w:pStyle w:val="Prrafodelista"/>
        <w:spacing w:line="240" w:lineRule="auto"/>
        <w:rPr>
          <w:rFonts w:eastAsia="Calibri"/>
          <w:b/>
          <w:i/>
          <w:sz w:val="20"/>
          <w:szCs w:val="20"/>
          <w:lang w:val="en-US"/>
        </w:rPr>
      </w:pPr>
    </w:p>
    <w:p w14:paraId="2FDF922F" w14:textId="5CC16DD7" w:rsidR="004317CE" w:rsidRPr="00AC57EA" w:rsidRDefault="00C12C98" w:rsidP="0062750A">
      <w:pPr>
        <w:numPr>
          <w:ilvl w:val="0"/>
          <w:numId w:val="2"/>
        </w:numPr>
        <w:tabs>
          <w:tab w:val="left" w:pos="567"/>
          <w:tab w:val="num" w:pos="5057"/>
          <w:tab w:val="num" w:pos="12305"/>
        </w:tabs>
        <w:spacing w:line="240" w:lineRule="auto"/>
        <w:ind w:left="0" w:firstLine="0"/>
        <w:rPr>
          <w:rFonts w:eastAsia="MS Mincho" w:cs="Verdana"/>
          <w:sz w:val="20"/>
          <w:szCs w:val="20"/>
          <w:lang w:val="en-US" w:bidi="en-US"/>
        </w:rPr>
      </w:pPr>
      <w:r w:rsidRPr="00AC57EA">
        <w:rPr>
          <w:rFonts w:eastAsia="MS Mincho"/>
          <w:sz w:val="20"/>
          <w:szCs w:val="20"/>
          <w:lang w:val="en-US" w:bidi="en-US"/>
        </w:rPr>
        <w:t>Considering the circumstances of the instant case, the violations committed, the suffering caused and endured to different degrees,</w:t>
      </w:r>
      <w:r w:rsidR="000E60FE" w:rsidRPr="00AC57EA">
        <w:rPr>
          <w:rFonts w:eastAsia="MS Mincho"/>
          <w:sz w:val="20"/>
          <w:szCs w:val="20"/>
          <w:lang w:val="en-US" w:bidi="en-US"/>
        </w:rPr>
        <w:t xml:space="preserve"> as well as the change in the living conditions of </w:t>
      </w:r>
      <w:r w:rsidR="004317CE" w:rsidRPr="00AC57EA">
        <w:rPr>
          <w:rFonts w:eastAsia="MS Mincho"/>
          <w:sz w:val="20"/>
          <w:szCs w:val="20"/>
          <w:lang w:val="en-US" w:bidi="en-US"/>
        </w:rPr>
        <w:t>V.R.P.</w:t>
      </w:r>
      <w:r w:rsidR="00171E27" w:rsidRPr="00AC57EA">
        <w:rPr>
          <w:rFonts w:eastAsia="MS Mincho"/>
          <w:sz w:val="20"/>
          <w:szCs w:val="20"/>
          <w:lang w:val="en-US" w:bidi="en-US"/>
        </w:rPr>
        <w:t xml:space="preserve"> and </w:t>
      </w:r>
      <w:r w:rsidR="000E60FE" w:rsidRPr="00AC57EA">
        <w:rPr>
          <w:rFonts w:eastAsia="MS Mincho"/>
          <w:sz w:val="20"/>
          <w:szCs w:val="20"/>
          <w:lang w:val="en-US" w:bidi="en-US"/>
        </w:rPr>
        <w:t>the members of her family, the proven harm to personal integrity</w:t>
      </w:r>
      <w:r w:rsidR="00054D89" w:rsidRPr="00AC57EA">
        <w:rPr>
          <w:rFonts w:eastAsia="MS Mincho"/>
          <w:sz w:val="20"/>
          <w:szCs w:val="20"/>
          <w:lang w:val="en-US" w:bidi="en-US"/>
        </w:rPr>
        <w:t>,</w:t>
      </w:r>
      <w:r w:rsidR="000E60FE" w:rsidRPr="00AC57EA">
        <w:rPr>
          <w:rFonts w:eastAsia="MS Mincho"/>
          <w:sz w:val="20"/>
          <w:szCs w:val="20"/>
          <w:lang w:val="en-US" w:bidi="en-US"/>
        </w:rPr>
        <w:t xml:space="preserve"> and the other consequences of a non-pecuniary nature they suffered, the Court will now establish, in equity, compensation </w:t>
      </w:r>
      <w:r w:rsidR="000E60FE" w:rsidRPr="00AC57EA">
        <w:rPr>
          <w:rFonts w:eastAsia="MS Mincho" w:cs="Verdana"/>
          <w:sz w:val="20"/>
          <w:szCs w:val="20"/>
          <w:lang w:val="en-US" w:bidi="en-US"/>
        </w:rPr>
        <w:t xml:space="preserve">for </w:t>
      </w:r>
      <w:r w:rsidR="007E72AE" w:rsidRPr="00AC57EA">
        <w:rPr>
          <w:rFonts w:eastAsia="MS Mincho"/>
          <w:sz w:val="20"/>
          <w:szCs w:val="20"/>
          <w:lang w:val="en-US" w:bidi="en-US"/>
        </w:rPr>
        <w:t>non-pecuniary damage</w:t>
      </w:r>
      <w:r w:rsidR="004317CE" w:rsidRPr="00AC57EA">
        <w:rPr>
          <w:rFonts w:eastAsia="MS Mincho"/>
          <w:sz w:val="20"/>
          <w:szCs w:val="20"/>
          <w:lang w:val="en-US" w:bidi="en-US"/>
        </w:rPr>
        <w:t xml:space="preserve"> </w:t>
      </w:r>
      <w:r w:rsidR="00F00B8C" w:rsidRPr="00AC57EA">
        <w:rPr>
          <w:rFonts w:eastAsia="MS Mincho"/>
          <w:sz w:val="20"/>
          <w:szCs w:val="20"/>
          <w:lang w:val="en-US" w:bidi="en-US"/>
        </w:rPr>
        <w:t>in favor of</w:t>
      </w:r>
      <w:r w:rsidR="004317CE" w:rsidRPr="00AC57EA">
        <w:rPr>
          <w:rFonts w:eastAsia="MS Mincho"/>
          <w:sz w:val="20"/>
          <w:szCs w:val="20"/>
          <w:lang w:val="en-US" w:bidi="en-US"/>
        </w:rPr>
        <w:t xml:space="preserve"> </w:t>
      </w:r>
      <w:r w:rsidR="000E60FE" w:rsidRPr="00AC57EA">
        <w:rPr>
          <w:rFonts w:eastAsia="MS Mincho"/>
          <w:sz w:val="20"/>
          <w:szCs w:val="20"/>
          <w:lang w:val="en-US" w:bidi="en-US"/>
        </w:rPr>
        <w:t>the victims, which must be paid directly to each of them.</w:t>
      </w:r>
    </w:p>
    <w:p w14:paraId="4EA14B06" w14:textId="77777777" w:rsidR="000E60FE" w:rsidRPr="00AC57EA" w:rsidRDefault="000E60FE" w:rsidP="000E60FE">
      <w:pPr>
        <w:tabs>
          <w:tab w:val="left" w:pos="567"/>
          <w:tab w:val="num" w:pos="12305"/>
        </w:tabs>
        <w:spacing w:line="240" w:lineRule="auto"/>
        <w:rPr>
          <w:rFonts w:eastAsia="MS Mincho" w:cs="Verdana"/>
          <w:sz w:val="20"/>
          <w:szCs w:val="20"/>
          <w:lang w:val="en-US" w:bidi="en-US"/>
        </w:rPr>
      </w:pPr>
    </w:p>
    <w:p w14:paraId="2EF7E613" w14:textId="405F92C5" w:rsidR="004317CE" w:rsidRPr="00AC57EA" w:rsidRDefault="00F00B8C" w:rsidP="00DF3D71">
      <w:pPr>
        <w:numPr>
          <w:ilvl w:val="0"/>
          <w:numId w:val="2"/>
        </w:numPr>
        <w:tabs>
          <w:tab w:val="left" w:pos="567"/>
          <w:tab w:val="num" w:pos="5057"/>
          <w:tab w:val="num" w:pos="12305"/>
        </w:tabs>
        <w:spacing w:line="240" w:lineRule="auto"/>
        <w:ind w:left="0" w:firstLine="0"/>
        <w:rPr>
          <w:rFonts w:cs="Verdana"/>
          <w:sz w:val="20"/>
          <w:szCs w:val="20"/>
          <w:lang w:val="en-US"/>
        </w:rPr>
      </w:pPr>
      <w:r w:rsidRPr="00AC57EA">
        <w:rPr>
          <w:rFonts w:cs="Verdana"/>
          <w:sz w:val="20"/>
          <w:szCs w:val="20"/>
          <w:lang w:val="en-US"/>
        </w:rPr>
        <w:t>Consequently</w:t>
      </w:r>
      <w:r w:rsidR="004317CE" w:rsidRPr="00AC57EA">
        <w:rPr>
          <w:rFonts w:cs="Verdana"/>
          <w:sz w:val="20"/>
          <w:szCs w:val="20"/>
          <w:lang w:val="en-US"/>
        </w:rPr>
        <w:t xml:space="preserve">, </w:t>
      </w:r>
      <w:r w:rsidR="00B7258C" w:rsidRPr="00AC57EA">
        <w:rPr>
          <w:rFonts w:cs="Verdana"/>
          <w:sz w:val="20"/>
          <w:szCs w:val="20"/>
          <w:lang w:val="en-US"/>
        </w:rPr>
        <w:t>the Court</w:t>
      </w:r>
      <w:r w:rsidR="004317CE" w:rsidRPr="00AC57EA">
        <w:rPr>
          <w:rFonts w:cs="Verdana"/>
          <w:sz w:val="20"/>
          <w:szCs w:val="20"/>
          <w:lang w:val="en-US"/>
        </w:rPr>
        <w:t xml:space="preserve"> orde</w:t>
      </w:r>
      <w:r w:rsidRPr="00AC57EA">
        <w:rPr>
          <w:rFonts w:cs="Verdana"/>
          <w:sz w:val="20"/>
          <w:szCs w:val="20"/>
          <w:lang w:val="en-US"/>
        </w:rPr>
        <w:t>rs, in equity, the payment of</w:t>
      </w:r>
      <w:r w:rsidR="004317CE" w:rsidRPr="00AC57EA">
        <w:rPr>
          <w:rFonts w:cs="Verdana"/>
          <w:sz w:val="20"/>
          <w:szCs w:val="20"/>
          <w:lang w:val="en-US"/>
        </w:rPr>
        <w:t xml:space="preserve"> US$65</w:t>
      </w:r>
      <w:r w:rsidR="00474CE5" w:rsidRPr="00AC57EA">
        <w:rPr>
          <w:rFonts w:cs="Verdana"/>
          <w:sz w:val="20"/>
          <w:szCs w:val="20"/>
          <w:lang w:val="en-US"/>
        </w:rPr>
        <w:t>,000.00</w:t>
      </w:r>
      <w:r w:rsidR="004317CE" w:rsidRPr="00AC57EA">
        <w:rPr>
          <w:rFonts w:cs="Verdana"/>
          <w:sz w:val="20"/>
          <w:szCs w:val="20"/>
          <w:lang w:val="en-US"/>
        </w:rPr>
        <w:t xml:space="preserve"> (</w:t>
      </w:r>
      <w:r w:rsidRPr="00AC57EA">
        <w:rPr>
          <w:rFonts w:cs="Verdana"/>
          <w:sz w:val="20"/>
          <w:szCs w:val="20"/>
          <w:lang w:val="en-US"/>
        </w:rPr>
        <w:t>sixty-five</w:t>
      </w:r>
      <w:r w:rsidR="004317CE" w:rsidRPr="00AC57EA">
        <w:rPr>
          <w:rFonts w:cs="Verdana"/>
          <w:sz w:val="20"/>
          <w:szCs w:val="20"/>
          <w:lang w:val="en-US"/>
        </w:rPr>
        <w:t xml:space="preserve"> </w:t>
      </w:r>
      <w:r w:rsidR="006B773E" w:rsidRPr="00AC57EA">
        <w:rPr>
          <w:rFonts w:cs="Verdana"/>
          <w:sz w:val="20"/>
          <w:szCs w:val="20"/>
          <w:lang w:val="en-US"/>
        </w:rPr>
        <w:t>thousand United States dollars</w:t>
      </w:r>
      <w:r w:rsidR="004317CE" w:rsidRPr="00AC57EA">
        <w:rPr>
          <w:rFonts w:cs="Verdana"/>
          <w:sz w:val="20"/>
          <w:szCs w:val="20"/>
          <w:lang w:val="en-US"/>
        </w:rPr>
        <w:t xml:space="preserve">) </w:t>
      </w:r>
      <w:r w:rsidRPr="00AC57EA">
        <w:rPr>
          <w:rFonts w:cs="Verdana"/>
          <w:sz w:val="20"/>
          <w:szCs w:val="20"/>
          <w:lang w:val="en-US"/>
        </w:rPr>
        <w:t>for</w:t>
      </w:r>
      <w:r w:rsidR="004317CE" w:rsidRPr="00AC57EA">
        <w:rPr>
          <w:rFonts w:cs="Verdana"/>
          <w:sz w:val="20"/>
          <w:szCs w:val="20"/>
          <w:lang w:val="en-US"/>
        </w:rPr>
        <w:t xml:space="preserve"> </w:t>
      </w:r>
      <w:r w:rsidR="007E72AE" w:rsidRPr="00AC57EA">
        <w:rPr>
          <w:rFonts w:eastAsia="MS Mincho"/>
          <w:sz w:val="20"/>
          <w:szCs w:val="20"/>
          <w:lang w:val="en-US" w:bidi="en-US"/>
        </w:rPr>
        <w:t>non-pecuniary damage</w:t>
      </w:r>
      <w:r w:rsidR="00674F6E" w:rsidRPr="00AC57EA">
        <w:rPr>
          <w:rFonts w:cs="Verdana"/>
          <w:sz w:val="20"/>
          <w:szCs w:val="20"/>
          <w:lang w:val="en-US"/>
        </w:rPr>
        <w:t xml:space="preserve"> </w:t>
      </w:r>
      <w:r w:rsidRPr="00AC57EA">
        <w:rPr>
          <w:rFonts w:cs="Verdana"/>
          <w:sz w:val="20"/>
          <w:szCs w:val="20"/>
          <w:lang w:val="en-US"/>
        </w:rPr>
        <w:t>in favor of</w:t>
      </w:r>
      <w:r w:rsidR="00674F6E" w:rsidRPr="00AC57EA">
        <w:rPr>
          <w:rFonts w:cs="Verdana"/>
          <w:sz w:val="20"/>
          <w:szCs w:val="20"/>
          <w:lang w:val="en-US"/>
        </w:rPr>
        <w:t xml:space="preserve"> V.R.P.</w:t>
      </w:r>
      <w:r w:rsidR="004317CE" w:rsidRPr="00AC57EA">
        <w:rPr>
          <w:rFonts w:cs="Verdana"/>
          <w:sz w:val="20"/>
          <w:szCs w:val="20"/>
          <w:lang w:val="en-US"/>
        </w:rPr>
        <w:t xml:space="preserve"> </w:t>
      </w:r>
      <w:r w:rsidRPr="00AC57EA">
        <w:rPr>
          <w:rFonts w:cs="Verdana"/>
          <w:sz w:val="20"/>
          <w:szCs w:val="20"/>
          <w:lang w:val="en-US"/>
        </w:rPr>
        <w:t>In addition, the</w:t>
      </w:r>
      <w:r w:rsidR="00B7258C" w:rsidRPr="00AC57EA">
        <w:rPr>
          <w:rFonts w:cs="Verdana"/>
          <w:sz w:val="20"/>
          <w:szCs w:val="20"/>
          <w:lang w:val="en-US"/>
        </w:rPr>
        <w:t xml:space="preserve"> Court</w:t>
      </w:r>
      <w:r w:rsidR="004317CE" w:rsidRPr="00AC57EA">
        <w:rPr>
          <w:rFonts w:cs="Verdana"/>
          <w:sz w:val="20"/>
          <w:szCs w:val="20"/>
          <w:lang w:val="en-US"/>
        </w:rPr>
        <w:t xml:space="preserve"> </w:t>
      </w:r>
      <w:r w:rsidRPr="00AC57EA">
        <w:rPr>
          <w:rFonts w:cs="Verdana"/>
          <w:sz w:val="20"/>
          <w:szCs w:val="20"/>
          <w:lang w:val="en-US"/>
        </w:rPr>
        <w:t xml:space="preserve">establishes, in equity, the sum of </w:t>
      </w:r>
      <w:r w:rsidR="00674F6E" w:rsidRPr="00AC57EA">
        <w:rPr>
          <w:rFonts w:cs="Verdana"/>
          <w:sz w:val="20"/>
          <w:szCs w:val="20"/>
          <w:lang w:val="en-US"/>
        </w:rPr>
        <w:t>US$45</w:t>
      </w:r>
      <w:r w:rsidR="00474CE5" w:rsidRPr="00AC57EA">
        <w:rPr>
          <w:rFonts w:cs="Verdana"/>
          <w:sz w:val="20"/>
          <w:szCs w:val="20"/>
          <w:lang w:val="en-US"/>
        </w:rPr>
        <w:t>,000.00</w:t>
      </w:r>
      <w:r w:rsidR="00674F6E" w:rsidRPr="00AC57EA">
        <w:rPr>
          <w:rFonts w:cs="Verdana"/>
          <w:sz w:val="20"/>
          <w:szCs w:val="20"/>
          <w:lang w:val="en-US"/>
        </w:rPr>
        <w:t xml:space="preserve"> (</w:t>
      </w:r>
      <w:r w:rsidRPr="00AC57EA">
        <w:rPr>
          <w:rFonts w:cs="Verdana"/>
          <w:sz w:val="20"/>
          <w:szCs w:val="20"/>
          <w:lang w:val="en-US"/>
        </w:rPr>
        <w:t>forty-five</w:t>
      </w:r>
      <w:r w:rsidR="004317CE" w:rsidRPr="00AC57EA">
        <w:rPr>
          <w:rFonts w:cs="Verdana"/>
          <w:sz w:val="20"/>
          <w:szCs w:val="20"/>
          <w:lang w:val="en-US"/>
        </w:rPr>
        <w:t xml:space="preserve"> </w:t>
      </w:r>
      <w:r w:rsidR="006B773E" w:rsidRPr="00AC57EA">
        <w:rPr>
          <w:rFonts w:cs="Verdana"/>
          <w:sz w:val="20"/>
          <w:szCs w:val="20"/>
          <w:lang w:val="en-US"/>
        </w:rPr>
        <w:t>thousand United States dollars</w:t>
      </w:r>
      <w:r w:rsidR="004317CE" w:rsidRPr="00AC57EA">
        <w:rPr>
          <w:rFonts w:cs="Verdana"/>
          <w:sz w:val="20"/>
          <w:szCs w:val="20"/>
          <w:lang w:val="en-US"/>
        </w:rPr>
        <w:t xml:space="preserve">) </w:t>
      </w:r>
      <w:r w:rsidRPr="00AC57EA">
        <w:rPr>
          <w:rFonts w:cs="Verdana"/>
          <w:sz w:val="20"/>
          <w:szCs w:val="20"/>
          <w:lang w:val="en-US"/>
        </w:rPr>
        <w:t>f</w:t>
      </w:r>
      <w:r w:rsidR="00674F6E" w:rsidRPr="00AC57EA">
        <w:rPr>
          <w:rFonts w:cs="Verdana"/>
          <w:sz w:val="20"/>
          <w:szCs w:val="20"/>
          <w:lang w:val="en-US"/>
        </w:rPr>
        <w:t xml:space="preserve">or </w:t>
      </w:r>
      <w:r w:rsidR="007E72AE" w:rsidRPr="00AC57EA">
        <w:rPr>
          <w:rFonts w:eastAsia="MS Mincho"/>
          <w:sz w:val="20"/>
          <w:szCs w:val="20"/>
          <w:lang w:val="en-US" w:bidi="en-US"/>
        </w:rPr>
        <w:t>non-pecuniary damage</w:t>
      </w:r>
      <w:r w:rsidR="00674F6E" w:rsidRPr="00AC57EA">
        <w:rPr>
          <w:rFonts w:cs="Verdana"/>
          <w:sz w:val="20"/>
          <w:szCs w:val="20"/>
          <w:lang w:val="en-US"/>
        </w:rPr>
        <w:t xml:space="preserve"> </w:t>
      </w:r>
      <w:r w:rsidRPr="00AC57EA">
        <w:rPr>
          <w:rFonts w:cs="Verdana"/>
          <w:sz w:val="20"/>
          <w:szCs w:val="20"/>
          <w:lang w:val="en-US"/>
        </w:rPr>
        <w:t>in favor of</w:t>
      </w:r>
      <w:r w:rsidR="00674F6E" w:rsidRPr="00AC57EA">
        <w:rPr>
          <w:rFonts w:cs="Verdana"/>
          <w:sz w:val="20"/>
          <w:szCs w:val="20"/>
          <w:lang w:val="en-US"/>
        </w:rPr>
        <w:t xml:space="preserve"> </w:t>
      </w:r>
      <w:r w:rsidRPr="00AC57EA">
        <w:rPr>
          <w:rFonts w:cs="Verdana"/>
          <w:sz w:val="20"/>
          <w:szCs w:val="20"/>
          <w:lang w:val="en-US"/>
        </w:rPr>
        <w:t>her mother</w:t>
      </w:r>
      <w:r w:rsidR="00674F6E" w:rsidRPr="00AC57EA">
        <w:rPr>
          <w:rFonts w:cs="Verdana"/>
          <w:sz w:val="20"/>
          <w:szCs w:val="20"/>
          <w:lang w:val="en-US"/>
        </w:rPr>
        <w:t xml:space="preserve">, V.P.C. </w:t>
      </w:r>
      <w:r w:rsidRPr="00AC57EA">
        <w:rPr>
          <w:rFonts w:cs="Verdana"/>
          <w:sz w:val="20"/>
          <w:szCs w:val="20"/>
          <w:lang w:val="en-US"/>
        </w:rPr>
        <w:t>Lastly,</w:t>
      </w:r>
      <w:r w:rsidR="00674F6E" w:rsidRPr="00AC57EA">
        <w:rPr>
          <w:rFonts w:cs="Verdana"/>
          <w:sz w:val="20"/>
          <w:szCs w:val="20"/>
          <w:lang w:val="en-US"/>
        </w:rPr>
        <w:t xml:space="preserve"> </w:t>
      </w:r>
      <w:r w:rsidR="00B7258C" w:rsidRPr="00AC57EA">
        <w:rPr>
          <w:rFonts w:cs="Verdana"/>
          <w:sz w:val="20"/>
          <w:szCs w:val="20"/>
          <w:lang w:val="en-US"/>
        </w:rPr>
        <w:t>the Court</w:t>
      </w:r>
      <w:r w:rsidRPr="00AC57EA">
        <w:rPr>
          <w:rFonts w:cs="Verdana"/>
          <w:sz w:val="20"/>
          <w:szCs w:val="20"/>
          <w:lang w:val="en-US"/>
        </w:rPr>
        <w:t xml:space="preserve"> establishes, in equity, the sum of</w:t>
      </w:r>
      <w:r w:rsidR="00674F6E" w:rsidRPr="00AC57EA">
        <w:rPr>
          <w:rFonts w:cs="Verdana"/>
          <w:sz w:val="20"/>
          <w:szCs w:val="20"/>
          <w:lang w:val="en-US"/>
        </w:rPr>
        <w:t xml:space="preserve"> US$20</w:t>
      </w:r>
      <w:r w:rsidR="00474CE5" w:rsidRPr="00AC57EA">
        <w:rPr>
          <w:rFonts w:cs="Verdana"/>
          <w:sz w:val="20"/>
          <w:szCs w:val="20"/>
          <w:lang w:val="en-US"/>
        </w:rPr>
        <w:t>,000.00</w:t>
      </w:r>
      <w:r w:rsidR="00674F6E" w:rsidRPr="00AC57EA">
        <w:rPr>
          <w:rFonts w:cs="Verdana"/>
          <w:sz w:val="20"/>
          <w:szCs w:val="20"/>
          <w:lang w:val="en-US"/>
        </w:rPr>
        <w:t xml:space="preserve"> (</w:t>
      </w:r>
      <w:r w:rsidRPr="00AC57EA">
        <w:rPr>
          <w:rFonts w:cs="Verdana"/>
          <w:sz w:val="20"/>
          <w:szCs w:val="20"/>
          <w:lang w:val="en-US"/>
        </w:rPr>
        <w:t>twenty</w:t>
      </w:r>
      <w:r w:rsidR="00674F6E" w:rsidRPr="00AC57EA">
        <w:rPr>
          <w:rFonts w:cs="Verdana"/>
          <w:sz w:val="20"/>
          <w:szCs w:val="20"/>
          <w:lang w:val="en-US"/>
        </w:rPr>
        <w:t xml:space="preserve"> </w:t>
      </w:r>
      <w:r w:rsidR="006B773E" w:rsidRPr="00AC57EA">
        <w:rPr>
          <w:rFonts w:cs="Verdana"/>
          <w:sz w:val="20"/>
          <w:szCs w:val="20"/>
          <w:lang w:val="en-US"/>
        </w:rPr>
        <w:t>thousand United States dollars</w:t>
      </w:r>
      <w:r w:rsidR="00674F6E" w:rsidRPr="00AC57EA">
        <w:rPr>
          <w:rFonts w:cs="Verdana"/>
          <w:sz w:val="20"/>
          <w:szCs w:val="20"/>
          <w:lang w:val="en-US"/>
        </w:rPr>
        <w:t xml:space="preserve">) </w:t>
      </w:r>
      <w:r w:rsidRPr="00AC57EA">
        <w:rPr>
          <w:rFonts w:cs="Verdana"/>
          <w:sz w:val="20"/>
          <w:szCs w:val="20"/>
          <w:lang w:val="en-US"/>
        </w:rPr>
        <w:t>for</w:t>
      </w:r>
      <w:r w:rsidR="00674F6E" w:rsidRPr="00AC57EA">
        <w:rPr>
          <w:rFonts w:cs="Verdana"/>
          <w:sz w:val="20"/>
          <w:szCs w:val="20"/>
          <w:lang w:val="en-US"/>
        </w:rPr>
        <w:t xml:space="preserve"> </w:t>
      </w:r>
      <w:r w:rsidR="007E72AE" w:rsidRPr="00AC57EA">
        <w:rPr>
          <w:rFonts w:eastAsia="MS Mincho"/>
          <w:sz w:val="20"/>
          <w:szCs w:val="20"/>
          <w:lang w:val="en-US" w:bidi="en-US"/>
        </w:rPr>
        <w:t>non-pecuniary damage</w:t>
      </w:r>
      <w:r w:rsidR="00674F6E" w:rsidRPr="00AC57EA">
        <w:rPr>
          <w:rFonts w:cs="Verdana"/>
          <w:sz w:val="20"/>
          <w:szCs w:val="20"/>
          <w:lang w:val="en-US"/>
        </w:rPr>
        <w:t xml:space="preserve"> </w:t>
      </w:r>
      <w:r w:rsidRPr="00AC57EA">
        <w:rPr>
          <w:rFonts w:cs="Verdana"/>
          <w:sz w:val="20"/>
          <w:szCs w:val="20"/>
          <w:lang w:val="en-US"/>
        </w:rPr>
        <w:t>in favor of</w:t>
      </w:r>
      <w:r w:rsidR="00674F6E" w:rsidRPr="00AC57EA">
        <w:rPr>
          <w:rFonts w:cs="Verdana"/>
          <w:sz w:val="20"/>
          <w:szCs w:val="20"/>
          <w:lang w:val="en-US"/>
        </w:rPr>
        <w:t xml:space="preserve"> V.R.P.</w:t>
      </w:r>
      <w:r w:rsidRPr="00AC57EA">
        <w:rPr>
          <w:rFonts w:cs="Verdana"/>
          <w:sz w:val="20"/>
          <w:szCs w:val="20"/>
          <w:lang w:val="en-US"/>
        </w:rPr>
        <w:t>’s sister</w:t>
      </w:r>
      <w:r w:rsidR="00674F6E" w:rsidRPr="00AC57EA">
        <w:rPr>
          <w:rFonts w:cs="Verdana"/>
          <w:sz w:val="20"/>
          <w:szCs w:val="20"/>
          <w:lang w:val="en-US"/>
        </w:rPr>
        <w:t xml:space="preserve">, N.R.P., </w:t>
      </w:r>
      <w:r w:rsidRPr="00AC57EA">
        <w:rPr>
          <w:rFonts w:cs="Verdana"/>
          <w:sz w:val="20"/>
          <w:szCs w:val="20"/>
          <w:lang w:val="en-US"/>
        </w:rPr>
        <w:t>and the sum of</w:t>
      </w:r>
      <w:r w:rsidR="00674F6E" w:rsidRPr="00AC57EA">
        <w:rPr>
          <w:rFonts w:cs="Verdana"/>
          <w:sz w:val="20"/>
          <w:szCs w:val="20"/>
          <w:lang w:val="en-US"/>
        </w:rPr>
        <w:t xml:space="preserve"> US$15</w:t>
      </w:r>
      <w:r w:rsidR="00474CE5" w:rsidRPr="00AC57EA">
        <w:rPr>
          <w:rFonts w:cs="Verdana"/>
          <w:sz w:val="20"/>
          <w:szCs w:val="20"/>
          <w:lang w:val="en-US"/>
        </w:rPr>
        <w:t>,000.00</w:t>
      </w:r>
      <w:r w:rsidR="00674F6E" w:rsidRPr="00AC57EA">
        <w:rPr>
          <w:rFonts w:cs="Verdana"/>
          <w:sz w:val="20"/>
          <w:szCs w:val="20"/>
          <w:lang w:val="en-US"/>
        </w:rPr>
        <w:t xml:space="preserve"> (</w:t>
      </w:r>
      <w:r w:rsidRPr="00AC57EA">
        <w:rPr>
          <w:rFonts w:cs="Verdana"/>
          <w:sz w:val="20"/>
          <w:szCs w:val="20"/>
          <w:lang w:val="en-US"/>
        </w:rPr>
        <w:t>fifteen</w:t>
      </w:r>
      <w:r w:rsidR="00674F6E" w:rsidRPr="00AC57EA">
        <w:rPr>
          <w:rFonts w:cs="Verdana"/>
          <w:sz w:val="20"/>
          <w:szCs w:val="20"/>
          <w:lang w:val="en-US"/>
        </w:rPr>
        <w:t xml:space="preserve"> </w:t>
      </w:r>
      <w:r w:rsidR="006B773E" w:rsidRPr="00AC57EA">
        <w:rPr>
          <w:rFonts w:cs="Verdana"/>
          <w:sz w:val="20"/>
          <w:szCs w:val="20"/>
          <w:lang w:val="en-US"/>
        </w:rPr>
        <w:t>thousand United States dollars</w:t>
      </w:r>
      <w:r w:rsidR="00674F6E" w:rsidRPr="00AC57EA">
        <w:rPr>
          <w:rFonts w:cs="Verdana"/>
          <w:sz w:val="20"/>
          <w:szCs w:val="20"/>
          <w:lang w:val="en-US"/>
        </w:rPr>
        <w:t xml:space="preserve">) </w:t>
      </w:r>
      <w:r w:rsidRPr="00AC57EA">
        <w:rPr>
          <w:rFonts w:cs="Verdana"/>
          <w:sz w:val="20"/>
          <w:szCs w:val="20"/>
          <w:lang w:val="en-US"/>
        </w:rPr>
        <w:t>f</w:t>
      </w:r>
      <w:r w:rsidR="00674F6E" w:rsidRPr="00AC57EA">
        <w:rPr>
          <w:rFonts w:cs="Verdana"/>
          <w:sz w:val="20"/>
          <w:szCs w:val="20"/>
          <w:lang w:val="en-US"/>
        </w:rPr>
        <w:t xml:space="preserve">or </w:t>
      </w:r>
      <w:r w:rsidR="007E72AE" w:rsidRPr="00AC57EA">
        <w:rPr>
          <w:rFonts w:eastAsia="MS Mincho"/>
          <w:sz w:val="20"/>
          <w:szCs w:val="20"/>
          <w:lang w:val="en-US" w:bidi="en-US"/>
        </w:rPr>
        <w:t>non-pecuniary damage</w:t>
      </w:r>
      <w:r w:rsidR="00674F6E" w:rsidRPr="00AC57EA">
        <w:rPr>
          <w:rFonts w:cs="Verdana"/>
          <w:sz w:val="20"/>
          <w:szCs w:val="20"/>
          <w:lang w:val="en-US"/>
        </w:rPr>
        <w:t xml:space="preserve"> </w:t>
      </w:r>
      <w:r w:rsidRPr="00AC57EA">
        <w:rPr>
          <w:rFonts w:cs="Verdana"/>
          <w:sz w:val="20"/>
          <w:szCs w:val="20"/>
          <w:lang w:val="en-US"/>
        </w:rPr>
        <w:t>in favor of</w:t>
      </w:r>
      <w:r w:rsidR="00674F6E" w:rsidRPr="00AC57EA">
        <w:rPr>
          <w:rFonts w:cs="Verdana"/>
          <w:sz w:val="20"/>
          <w:szCs w:val="20"/>
          <w:lang w:val="en-US"/>
        </w:rPr>
        <w:t xml:space="preserve"> </w:t>
      </w:r>
      <w:r w:rsidRPr="00AC57EA">
        <w:rPr>
          <w:rFonts w:cs="Verdana"/>
          <w:sz w:val="20"/>
          <w:szCs w:val="20"/>
          <w:lang w:val="en-US"/>
        </w:rPr>
        <w:t>each of her brothers</w:t>
      </w:r>
      <w:r w:rsidR="00674F6E" w:rsidRPr="00AC57EA">
        <w:rPr>
          <w:rFonts w:cs="Verdana"/>
          <w:sz w:val="20"/>
          <w:szCs w:val="20"/>
          <w:lang w:val="en-US"/>
        </w:rPr>
        <w:t>, H.J.R.P.</w:t>
      </w:r>
      <w:r w:rsidR="00171E27" w:rsidRPr="00AC57EA">
        <w:rPr>
          <w:rFonts w:cs="Verdana"/>
          <w:sz w:val="20"/>
          <w:szCs w:val="20"/>
          <w:lang w:val="en-US"/>
        </w:rPr>
        <w:t xml:space="preserve"> and </w:t>
      </w:r>
      <w:r w:rsidR="00674F6E" w:rsidRPr="00AC57EA">
        <w:rPr>
          <w:rFonts w:cs="Verdana"/>
          <w:sz w:val="20"/>
          <w:szCs w:val="20"/>
          <w:lang w:val="en-US"/>
        </w:rPr>
        <w:t>V.A.R.P.</w:t>
      </w:r>
    </w:p>
    <w:p w14:paraId="774227F0" w14:textId="77777777" w:rsidR="009D661E" w:rsidRPr="00AC57EA" w:rsidRDefault="009D661E" w:rsidP="00493B4F">
      <w:pPr>
        <w:spacing w:line="240" w:lineRule="auto"/>
        <w:rPr>
          <w:rFonts w:eastAsia="MS Mincho"/>
          <w:sz w:val="20"/>
          <w:szCs w:val="20"/>
          <w:lang w:val="en-US" w:bidi="en-US"/>
        </w:rPr>
      </w:pPr>
    </w:p>
    <w:p w14:paraId="40031581" w14:textId="61B3B94E" w:rsidR="0031175A" w:rsidRPr="00AC57EA" w:rsidRDefault="00B7258C" w:rsidP="000E60FE">
      <w:pPr>
        <w:numPr>
          <w:ilvl w:val="0"/>
          <w:numId w:val="2"/>
        </w:numPr>
        <w:tabs>
          <w:tab w:val="left" w:pos="567"/>
          <w:tab w:val="num" w:pos="5057"/>
          <w:tab w:val="num" w:pos="12305"/>
        </w:tabs>
        <w:spacing w:line="240" w:lineRule="auto"/>
        <w:ind w:left="0" w:firstLine="0"/>
        <w:rPr>
          <w:rFonts w:eastAsia="MS Mincho"/>
          <w:sz w:val="20"/>
          <w:szCs w:val="20"/>
          <w:lang w:val="en-US" w:bidi="en-US"/>
        </w:rPr>
      </w:pPr>
      <w:r w:rsidRPr="00AC57EA">
        <w:rPr>
          <w:rFonts w:eastAsia="MS Mincho"/>
          <w:sz w:val="20"/>
          <w:szCs w:val="20"/>
          <w:lang w:val="en-US" w:bidi="en-US"/>
        </w:rPr>
        <w:t>The Court</w:t>
      </w:r>
      <w:r w:rsidR="009D661E" w:rsidRPr="00AC57EA">
        <w:rPr>
          <w:rFonts w:eastAsia="MS Mincho"/>
          <w:sz w:val="20"/>
          <w:szCs w:val="20"/>
          <w:lang w:val="en-US" w:bidi="en-US"/>
        </w:rPr>
        <w:t xml:space="preserve"> reco</w:t>
      </w:r>
      <w:r w:rsidR="000E60FE" w:rsidRPr="00AC57EA">
        <w:rPr>
          <w:rFonts w:eastAsia="MS Mincho"/>
          <w:sz w:val="20"/>
          <w:szCs w:val="20"/>
          <w:lang w:val="en-US" w:bidi="en-US"/>
        </w:rPr>
        <w:t>gnizes that the violations of the human rights of</w:t>
      </w:r>
      <w:r w:rsidR="009D661E" w:rsidRPr="00AC57EA">
        <w:rPr>
          <w:rFonts w:eastAsia="MS Mincho"/>
          <w:sz w:val="20"/>
          <w:szCs w:val="20"/>
          <w:lang w:val="en-US" w:bidi="en-US"/>
        </w:rPr>
        <w:t xml:space="preserve"> V.R.P., V.P.C., N.R.P., H.</w:t>
      </w:r>
      <w:r w:rsidR="00D50E9A" w:rsidRPr="00AC57EA">
        <w:rPr>
          <w:rFonts w:eastAsia="MS Mincho"/>
          <w:sz w:val="20"/>
          <w:szCs w:val="20"/>
          <w:lang w:val="en-US" w:bidi="en-US"/>
        </w:rPr>
        <w:t>J.</w:t>
      </w:r>
      <w:r w:rsidR="009D661E" w:rsidRPr="00AC57EA">
        <w:rPr>
          <w:rFonts w:eastAsia="MS Mincho"/>
          <w:sz w:val="20"/>
          <w:szCs w:val="20"/>
          <w:lang w:val="en-US" w:bidi="en-US"/>
        </w:rPr>
        <w:t>R.P.</w:t>
      </w:r>
      <w:r w:rsidR="00171E27" w:rsidRPr="00AC57EA">
        <w:rPr>
          <w:rFonts w:eastAsia="MS Mincho"/>
          <w:sz w:val="20"/>
          <w:szCs w:val="20"/>
          <w:lang w:val="en-US" w:bidi="en-US"/>
        </w:rPr>
        <w:t xml:space="preserve"> and </w:t>
      </w:r>
      <w:r w:rsidR="009D661E" w:rsidRPr="00AC57EA">
        <w:rPr>
          <w:rFonts w:eastAsia="MS Mincho"/>
          <w:sz w:val="20"/>
          <w:szCs w:val="20"/>
          <w:lang w:val="en-US" w:bidi="en-US"/>
        </w:rPr>
        <w:t xml:space="preserve">V.A.R.P., </w:t>
      </w:r>
      <w:r w:rsidR="000E60FE" w:rsidRPr="00AC57EA">
        <w:rPr>
          <w:rFonts w:eastAsia="MS Mincho"/>
          <w:sz w:val="20"/>
          <w:szCs w:val="20"/>
          <w:lang w:val="en-US" w:bidi="en-US"/>
        </w:rPr>
        <w:t xml:space="preserve">harmed their personal development and their family life, and also altered their social relationships; in other words, they harmed their life project. However, the Court considers that this harm is included within the </w:t>
      </w:r>
      <w:r w:rsidR="007E72AE" w:rsidRPr="00AC57EA">
        <w:rPr>
          <w:rFonts w:eastAsia="MS Mincho"/>
          <w:sz w:val="20"/>
          <w:szCs w:val="20"/>
          <w:lang w:val="en-US" w:bidi="en-US"/>
        </w:rPr>
        <w:t>non-pecuniary damage</w:t>
      </w:r>
      <w:r w:rsidR="000E60FE" w:rsidRPr="00AC57EA">
        <w:rPr>
          <w:rFonts w:eastAsia="MS Mincho"/>
          <w:sz w:val="20"/>
          <w:szCs w:val="20"/>
          <w:lang w:val="en-US" w:bidi="en-US"/>
        </w:rPr>
        <w:t xml:space="preserve"> and the o</w:t>
      </w:r>
      <w:r w:rsidR="00BB0638" w:rsidRPr="00AC57EA">
        <w:rPr>
          <w:rFonts w:eastAsia="MS Mincho"/>
          <w:sz w:val="20"/>
          <w:szCs w:val="20"/>
          <w:lang w:val="en-US" w:bidi="en-US"/>
        </w:rPr>
        <w:t>ther measures</w:t>
      </w:r>
      <w:r w:rsidR="00D50E9A" w:rsidRPr="00AC57EA">
        <w:rPr>
          <w:rFonts w:eastAsia="MS Mincho"/>
          <w:sz w:val="20"/>
          <w:szCs w:val="20"/>
          <w:lang w:val="en-US" w:bidi="en-US"/>
        </w:rPr>
        <w:t xml:space="preserve"> </w:t>
      </w:r>
      <w:r w:rsidR="000E60FE" w:rsidRPr="00AC57EA">
        <w:rPr>
          <w:rFonts w:eastAsia="MS Mincho"/>
          <w:sz w:val="20"/>
          <w:szCs w:val="20"/>
          <w:lang w:val="en-US" w:bidi="en-US"/>
        </w:rPr>
        <w:t xml:space="preserve">of reparation already ordered in this judgment, such as scholarships and the measures of </w:t>
      </w:r>
      <w:r w:rsidR="00474CE5" w:rsidRPr="00AC57EA">
        <w:rPr>
          <w:rFonts w:eastAsia="MS Mincho"/>
          <w:sz w:val="20"/>
          <w:szCs w:val="20"/>
          <w:lang w:val="en-US" w:bidi="en-US"/>
        </w:rPr>
        <w:t>rehabilitation</w:t>
      </w:r>
      <w:r w:rsidR="00D50E9A" w:rsidRPr="00AC57EA">
        <w:rPr>
          <w:rFonts w:eastAsia="MS Mincho"/>
          <w:sz w:val="20"/>
          <w:szCs w:val="20"/>
          <w:lang w:val="en-US" w:bidi="en-US"/>
        </w:rPr>
        <w:t xml:space="preserve">. </w:t>
      </w:r>
    </w:p>
    <w:p w14:paraId="515CBE51" w14:textId="77777777" w:rsidR="009D661E" w:rsidRPr="00AC57EA" w:rsidRDefault="009D661E" w:rsidP="0031175A">
      <w:pPr>
        <w:tabs>
          <w:tab w:val="left" w:pos="567"/>
        </w:tabs>
        <w:spacing w:line="240" w:lineRule="auto"/>
        <w:textAlignment w:val="auto"/>
        <w:rPr>
          <w:rFonts w:eastAsia="MS Mincho"/>
          <w:sz w:val="20"/>
          <w:szCs w:val="20"/>
          <w:lang w:val="en-US" w:bidi="en-US"/>
        </w:rPr>
      </w:pPr>
    </w:p>
    <w:p w14:paraId="6DFE1C10" w14:textId="43DD4133" w:rsidR="009D661E" w:rsidRPr="00AC57EA" w:rsidRDefault="007E72AE" w:rsidP="002C415B">
      <w:pPr>
        <w:keepNext/>
        <w:keepLines/>
        <w:numPr>
          <w:ilvl w:val="0"/>
          <w:numId w:val="11"/>
        </w:numPr>
        <w:tabs>
          <w:tab w:val="left" w:pos="567"/>
          <w:tab w:val="left" w:pos="1134"/>
        </w:tabs>
        <w:spacing w:line="240" w:lineRule="auto"/>
        <w:ind w:left="567" w:firstLine="0"/>
        <w:textAlignment w:val="auto"/>
        <w:outlineLvl w:val="1"/>
        <w:rPr>
          <w:rFonts w:eastAsia="MS Mincho"/>
          <w:b/>
          <w:bCs/>
          <w:i/>
          <w:sz w:val="20"/>
          <w:szCs w:val="20"/>
          <w:lang w:val="en-US"/>
        </w:rPr>
      </w:pPr>
      <w:r w:rsidRPr="00AC57EA">
        <w:rPr>
          <w:rFonts w:eastAsia="MS Mincho"/>
          <w:b/>
          <w:bCs/>
          <w:i/>
          <w:sz w:val="20"/>
          <w:szCs w:val="20"/>
          <w:lang w:val="en-US"/>
        </w:rPr>
        <w:t>Costs and expenses</w:t>
      </w:r>
    </w:p>
    <w:p w14:paraId="48878E91" w14:textId="77777777" w:rsidR="009D661E" w:rsidRPr="00AC57EA" w:rsidRDefault="009D661E" w:rsidP="004F5ECE">
      <w:pPr>
        <w:tabs>
          <w:tab w:val="left" w:pos="1995"/>
        </w:tabs>
        <w:spacing w:line="240" w:lineRule="auto"/>
        <w:ind w:left="142"/>
        <w:rPr>
          <w:sz w:val="20"/>
          <w:szCs w:val="20"/>
          <w:lang w:val="en-US"/>
        </w:rPr>
      </w:pPr>
    </w:p>
    <w:p w14:paraId="13753B27" w14:textId="0A7960D9" w:rsidR="009D661E" w:rsidRPr="00AC57EA" w:rsidRDefault="00171E27" w:rsidP="004F5ECE">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 xml:space="preserve">The </w:t>
      </w:r>
      <w:r w:rsidRPr="00AC57EA">
        <w:rPr>
          <w:rFonts w:eastAsia="MS Mincho"/>
          <w:b/>
          <w:bCs/>
          <w:i/>
          <w:iCs/>
          <w:sz w:val="20"/>
          <w:szCs w:val="20"/>
          <w:lang w:val="en-US" w:bidi="en-US"/>
        </w:rPr>
        <w:t>representatives</w:t>
      </w:r>
      <w:r w:rsidR="009D661E" w:rsidRPr="00AC57EA">
        <w:rPr>
          <w:rFonts w:eastAsia="MS Mincho"/>
          <w:sz w:val="20"/>
          <w:szCs w:val="20"/>
          <w:lang w:val="en-US" w:bidi="en-US"/>
        </w:rPr>
        <w:t xml:space="preserve"> </w:t>
      </w:r>
      <w:r w:rsidR="000E60FE" w:rsidRPr="00AC57EA">
        <w:rPr>
          <w:sz w:val="20"/>
          <w:szCs w:val="20"/>
          <w:lang w:val="en-US"/>
        </w:rPr>
        <w:t>asked</w:t>
      </w:r>
      <w:r w:rsidR="009D661E" w:rsidRPr="00AC57EA">
        <w:rPr>
          <w:rFonts w:eastAsia="Verdana" w:cs="Verdana"/>
          <w:sz w:val="20"/>
          <w:szCs w:val="20"/>
          <w:lang w:val="en-US"/>
        </w:rPr>
        <w:t xml:space="preserve"> </w:t>
      </w:r>
      <w:r w:rsidR="00B7258C" w:rsidRPr="00AC57EA">
        <w:rPr>
          <w:rFonts w:eastAsia="Verdana" w:cs="Verdana"/>
          <w:sz w:val="20"/>
          <w:szCs w:val="20"/>
          <w:lang w:val="en-US"/>
        </w:rPr>
        <w:t>the Court</w:t>
      </w:r>
      <w:r w:rsidR="009D661E" w:rsidRPr="00AC57EA">
        <w:rPr>
          <w:rFonts w:eastAsia="Verdana" w:cs="Verdana"/>
          <w:sz w:val="20"/>
          <w:szCs w:val="20"/>
          <w:lang w:val="en-US"/>
        </w:rPr>
        <w:t xml:space="preserve"> </w:t>
      </w:r>
      <w:r w:rsidR="007E6FE3" w:rsidRPr="00AC57EA">
        <w:rPr>
          <w:rFonts w:eastAsia="Verdana" w:cs="Verdana"/>
          <w:sz w:val="20"/>
          <w:szCs w:val="20"/>
          <w:lang w:val="en-US"/>
        </w:rPr>
        <w:t xml:space="preserve">to order the State to pay the </w:t>
      </w:r>
      <w:r w:rsidR="007E72AE" w:rsidRPr="00AC57EA">
        <w:rPr>
          <w:rFonts w:eastAsia="Verdana" w:cs="Verdana"/>
          <w:sz w:val="20"/>
          <w:szCs w:val="20"/>
          <w:lang w:val="en-US"/>
        </w:rPr>
        <w:t>costs and expenses</w:t>
      </w:r>
      <w:r w:rsidR="009D661E" w:rsidRPr="00AC57EA">
        <w:rPr>
          <w:rFonts w:eastAsia="Verdana" w:cs="Verdana"/>
          <w:sz w:val="20"/>
          <w:szCs w:val="20"/>
          <w:lang w:val="en-US"/>
        </w:rPr>
        <w:t xml:space="preserve"> </w:t>
      </w:r>
      <w:r w:rsidR="007E6FE3" w:rsidRPr="00AC57EA">
        <w:rPr>
          <w:rFonts w:eastAsia="Verdana" w:cs="Verdana"/>
          <w:sz w:val="20"/>
          <w:szCs w:val="20"/>
          <w:lang w:val="en-US"/>
        </w:rPr>
        <w:t>resulting from the processing of the case in both the domestic sphere and before the inter-American system.</w:t>
      </w:r>
    </w:p>
    <w:p w14:paraId="136AFEEB" w14:textId="77777777" w:rsidR="009D661E" w:rsidRPr="00AC57EA" w:rsidRDefault="009D661E" w:rsidP="004F5ECE">
      <w:pPr>
        <w:tabs>
          <w:tab w:val="left" w:pos="567"/>
        </w:tabs>
        <w:spacing w:line="240" w:lineRule="auto"/>
        <w:textAlignment w:val="auto"/>
        <w:rPr>
          <w:sz w:val="20"/>
          <w:szCs w:val="20"/>
          <w:lang w:val="en-US"/>
        </w:rPr>
      </w:pPr>
    </w:p>
    <w:p w14:paraId="0AC2363F" w14:textId="372B107A" w:rsidR="009D661E" w:rsidRPr="00AC57EA" w:rsidRDefault="009D661E" w:rsidP="00B26781">
      <w:pPr>
        <w:numPr>
          <w:ilvl w:val="0"/>
          <w:numId w:val="2"/>
        </w:numPr>
        <w:tabs>
          <w:tab w:val="left" w:pos="567"/>
          <w:tab w:val="num" w:pos="5057"/>
        </w:tabs>
        <w:spacing w:line="240" w:lineRule="auto"/>
        <w:ind w:left="0" w:firstLine="0"/>
        <w:textAlignment w:val="auto"/>
        <w:rPr>
          <w:sz w:val="20"/>
          <w:szCs w:val="20"/>
          <w:lang w:val="en-US"/>
        </w:rPr>
      </w:pPr>
      <w:r w:rsidRPr="00AC57EA">
        <w:rPr>
          <w:rFonts w:eastAsia="MS Mincho"/>
          <w:sz w:val="20"/>
          <w:szCs w:val="20"/>
          <w:lang w:val="en-US" w:bidi="en-US"/>
        </w:rPr>
        <w:t>N</w:t>
      </w:r>
      <w:r w:rsidR="00911B20" w:rsidRPr="00AC57EA">
        <w:rPr>
          <w:rFonts w:eastAsia="MS Mincho"/>
          <w:sz w:val="20"/>
          <w:szCs w:val="20"/>
          <w:lang w:val="en-US" w:bidi="en-US"/>
        </w:rPr>
        <w:t>either</w:t>
      </w:r>
      <w:r w:rsidRPr="00AC57EA">
        <w:rPr>
          <w:rFonts w:eastAsia="MS Mincho"/>
          <w:sz w:val="20"/>
          <w:szCs w:val="20"/>
          <w:lang w:val="en-US" w:bidi="en-US"/>
        </w:rPr>
        <w:t xml:space="preserve"> </w:t>
      </w:r>
      <w:r w:rsidR="00EC52D7" w:rsidRPr="00AC57EA">
        <w:rPr>
          <w:rFonts w:eastAsia="MS Mincho"/>
          <w:sz w:val="20"/>
          <w:szCs w:val="20"/>
          <w:lang w:val="en-US" w:bidi="en-US"/>
        </w:rPr>
        <w:t xml:space="preserve">the </w:t>
      </w:r>
      <w:r w:rsidR="00EC52D7" w:rsidRPr="00AC57EA">
        <w:rPr>
          <w:rFonts w:eastAsia="MS Mincho"/>
          <w:b/>
          <w:bCs/>
          <w:i/>
          <w:iCs/>
          <w:sz w:val="20"/>
          <w:szCs w:val="20"/>
          <w:lang w:val="en-US" w:bidi="en-US"/>
        </w:rPr>
        <w:t>State</w:t>
      </w:r>
      <w:r w:rsidRPr="00AC57EA">
        <w:rPr>
          <w:rFonts w:eastAsia="MS Mincho"/>
          <w:b/>
          <w:i/>
          <w:sz w:val="20"/>
          <w:szCs w:val="20"/>
          <w:lang w:val="en-US" w:bidi="en-US"/>
        </w:rPr>
        <w:t xml:space="preserve"> </w:t>
      </w:r>
      <w:r w:rsidRPr="00AC57EA">
        <w:rPr>
          <w:rFonts w:eastAsia="MS Mincho"/>
          <w:sz w:val="20"/>
          <w:szCs w:val="20"/>
          <w:lang w:val="en-US" w:bidi="en-US"/>
        </w:rPr>
        <w:t>n</w:t>
      </w:r>
      <w:r w:rsidR="00911B20" w:rsidRPr="00AC57EA">
        <w:rPr>
          <w:rFonts w:eastAsia="MS Mincho"/>
          <w:sz w:val="20"/>
          <w:szCs w:val="20"/>
          <w:lang w:val="en-US" w:bidi="en-US"/>
        </w:rPr>
        <w:t>or</w:t>
      </w:r>
      <w:r w:rsidRPr="00AC57EA">
        <w:rPr>
          <w:rFonts w:eastAsia="MS Mincho"/>
          <w:sz w:val="20"/>
          <w:szCs w:val="20"/>
          <w:lang w:val="en-US" w:bidi="en-US"/>
        </w:rPr>
        <w:t xml:space="preserve"> </w:t>
      </w:r>
      <w:r w:rsidR="00B7258C" w:rsidRPr="00AC57EA">
        <w:rPr>
          <w:rFonts w:eastAsia="MS Mincho"/>
          <w:sz w:val="20"/>
          <w:szCs w:val="20"/>
          <w:lang w:val="en-US" w:bidi="en-US"/>
        </w:rPr>
        <w:t xml:space="preserve">the </w:t>
      </w:r>
      <w:r w:rsidR="00B7258C" w:rsidRPr="00AC57EA">
        <w:rPr>
          <w:rFonts w:eastAsia="MS Mincho"/>
          <w:b/>
          <w:bCs/>
          <w:i/>
          <w:iCs/>
          <w:sz w:val="20"/>
          <w:szCs w:val="20"/>
          <w:lang w:val="en-US" w:bidi="en-US"/>
        </w:rPr>
        <w:t>Commission</w:t>
      </w:r>
      <w:r w:rsidRPr="00AC57EA">
        <w:rPr>
          <w:rFonts w:eastAsia="MS Mincho"/>
          <w:b/>
          <w:bCs/>
          <w:i/>
          <w:iCs/>
          <w:sz w:val="20"/>
          <w:szCs w:val="20"/>
          <w:lang w:val="en-US" w:bidi="en-US"/>
        </w:rPr>
        <w:t xml:space="preserve"> </w:t>
      </w:r>
      <w:r w:rsidRPr="00AC57EA">
        <w:rPr>
          <w:rFonts w:eastAsia="MS Mincho"/>
          <w:sz w:val="20"/>
          <w:szCs w:val="20"/>
          <w:lang w:val="en-US" w:bidi="en-US"/>
        </w:rPr>
        <w:t>present</w:t>
      </w:r>
      <w:r w:rsidR="00911B20" w:rsidRPr="00AC57EA">
        <w:rPr>
          <w:rFonts w:eastAsia="MS Mincho"/>
          <w:sz w:val="20"/>
          <w:szCs w:val="20"/>
          <w:lang w:val="en-US" w:bidi="en-US"/>
        </w:rPr>
        <w:t>ed specific arguments on this point.</w:t>
      </w:r>
    </w:p>
    <w:p w14:paraId="57A7BD31" w14:textId="77777777" w:rsidR="009D661E" w:rsidRPr="00AC57EA" w:rsidRDefault="009D661E" w:rsidP="00B26781">
      <w:pPr>
        <w:pStyle w:val="Prrafodelista"/>
        <w:spacing w:line="240" w:lineRule="auto"/>
        <w:rPr>
          <w:sz w:val="20"/>
          <w:szCs w:val="20"/>
          <w:lang w:val="en-US"/>
        </w:rPr>
      </w:pPr>
    </w:p>
    <w:p w14:paraId="5911E461" w14:textId="48C9C806" w:rsidR="009D661E" w:rsidRPr="00AC57EA" w:rsidRDefault="00B7258C" w:rsidP="007E6FE3">
      <w:pPr>
        <w:numPr>
          <w:ilvl w:val="0"/>
          <w:numId w:val="2"/>
        </w:numPr>
        <w:tabs>
          <w:tab w:val="left" w:pos="567"/>
          <w:tab w:val="num" w:pos="5057"/>
        </w:tabs>
        <w:spacing w:line="240" w:lineRule="auto"/>
        <w:ind w:left="0" w:firstLine="0"/>
        <w:textAlignment w:val="auto"/>
        <w:rPr>
          <w:sz w:val="20"/>
          <w:szCs w:val="20"/>
          <w:lang w:val="en-US"/>
        </w:rPr>
      </w:pPr>
      <w:r w:rsidRPr="00AC57EA">
        <w:rPr>
          <w:rFonts w:cs="Verdana"/>
          <w:bCs/>
          <w:iCs/>
          <w:sz w:val="20"/>
          <w:szCs w:val="20"/>
          <w:lang w:val="en-US"/>
        </w:rPr>
        <w:t>The Court</w:t>
      </w:r>
      <w:r w:rsidR="009D661E" w:rsidRPr="00AC57EA">
        <w:rPr>
          <w:rFonts w:cs="Verdana"/>
          <w:bCs/>
          <w:iCs/>
          <w:sz w:val="20"/>
          <w:szCs w:val="20"/>
          <w:lang w:val="en-US"/>
        </w:rPr>
        <w:t xml:space="preserve"> reitera</w:t>
      </w:r>
      <w:r w:rsidR="007E6FE3" w:rsidRPr="00AC57EA">
        <w:rPr>
          <w:rFonts w:cs="Verdana"/>
          <w:bCs/>
          <w:iCs/>
          <w:sz w:val="20"/>
          <w:szCs w:val="20"/>
          <w:lang w:val="en-US"/>
        </w:rPr>
        <w:t>tes that, according to its case law,</w:t>
      </w:r>
      <w:r w:rsidR="009D661E" w:rsidRPr="00AC57EA">
        <w:rPr>
          <w:rFonts w:cs="Verdana"/>
          <w:bCs/>
          <w:iCs/>
          <w:sz w:val="20"/>
          <w:szCs w:val="20"/>
          <w:vertAlign w:val="superscript"/>
          <w:lang w:val="en-US"/>
        </w:rPr>
        <w:footnoteReference w:id="452"/>
      </w:r>
      <w:r w:rsidR="009D661E" w:rsidRPr="00AC57EA">
        <w:rPr>
          <w:rFonts w:cs="Verdana"/>
          <w:bCs/>
          <w:iCs/>
          <w:sz w:val="20"/>
          <w:szCs w:val="20"/>
          <w:lang w:val="en-US"/>
        </w:rPr>
        <w:t xml:space="preserve"> </w:t>
      </w:r>
      <w:r w:rsidR="007E72AE" w:rsidRPr="00AC57EA">
        <w:rPr>
          <w:rFonts w:cs="Verdana"/>
          <w:bCs/>
          <w:iCs/>
          <w:sz w:val="20"/>
          <w:szCs w:val="20"/>
          <w:lang w:val="en-US"/>
        </w:rPr>
        <w:t>costs and expenses</w:t>
      </w:r>
      <w:r w:rsidR="009D661E" w:rsidRPr="00AC57EA">
        <w:rPr>
          <w:rFonts w:cs="Verdana"/>
          <w:bCs/>
          <w:iCs/>
          <w:sz w:val="20"/>
          <w:szCs w:val="20"/>
          <w:lang w:val="en-US"/>
        </w:rPr>
        <w:t xml:space="preserve"> </w:t>
      </w:r>
      <w:r w:rsidR="007E6FE3" w:rsidRPr="00AC57EA">
        <w:rPr>
          <w:rFonts w:cs="Verdana"/>
          <w:bCs/>
          <w:iCs/>
          <w:sz w:val="20"/>
          <w:szCs w:val="20"/>
          <w:lang w:val="en-US"/>
        </w:rPr>
        <w:t>are part of the concept of reparation, because the actions taken by the victims in order to obtain justice, at both the national and the international level, entail disbursements that must be compensated when the international responsibility of the State has been declared in a judgment</w:t>
      </w:r>
      <w:r w:rsidR="009D661E" w:rsidRPr="00AC57EA">
        <w:rPr>
          <w:rFonts w:cs="Verdana"/>
          <w:bCs/>
          <w:iCs/>
          <w:sz w:val="20"/>
          <w:szCs w:val="20"/>
          <w:lang w:val="en-US"/>
        </w:rPr>
        <w:t xml:space="preserve">. </w:t>
      </w:r>
      <w:r w:rsidR="007E6FE3" w:rsidRPr="00AC57EA">
        <w:rPr>
          <w:rFonts w:cs="Verdana"/>
          <w:bCs/>
          <w:iCs/>
          <w:sz w:val="20"/>
          <w:szCs w:val="20"/>
          <w:lang w:val="en-US"/>
        </w:rPr>
        <w:t>Regarding reimbursement</w:t>
      </w:r>
      <w:r w:rsidR="009D661E" w:rsidRPr="00AC57EA">
        <w:rPr>
          <w:rFonts w:cs="Verdana"/>
          <w:bCs/>
          <w:iCs/>
          <w:sz w:val="20"/>
          <w:szCs w:val="20"/>
          <w:lang w:val="en-US"/>
        </w:rPr>
        <w:t xml:space="preserve"> </w:t>
      </w:r>
      <w:r w:rsidR="007E6FE3" w:rsidRPr="00AC57EA">
        <w:rPr>
          <w:rFonts w:cs="Verdana"/>
          <w:bCs/>
          <w:iCs/>
          <w:sz w:val="20"/>
          <w:szCs w:val="20"/>
          <w:lang w:val="en-US"/>
        </w:rPr>
        <w:t>of</w:t>
      </w:r>
      <w:r w:rsidR="009D661E" w:rsidRPr="00AC57EA">
        <w:rPr>
          <w:rFonts w:cs="Verdana"/>
          <w:bCs/>
          <w:iCs/>
          <w:sz w:val="20"/>
          <w:szCs w:val="20"/>
          <w:lang w:val="en-US"/>
        </w:rPr>
        <w:t xml:space="preserve"> </w:t>
      </w:r>
      <w:r w:rsidR="007E72AE" w:rsidRPr="00AC57EA">
        <w:rPr>
          <w:rFonts w:cs="Verdana"/>
          <w:bCs/>
          <w:iCs/>
          <w:sz w:val="20"/>
          <w:szCs w:val="20"/>
          <w:lang w:val="en-US"/>
        </w:rPr>
        <w:t>costs and expenses</w:t>
      </w:r>
      <w:r w:rsidR="009D661E" w:rsidRPr="00AC57EA">
        <w:rPr>
          <w:rFonts w:cs="Verdana"/>
          <w:bCs/>
          <w:iCs/>
          <w:sz w:val="20"/>
          <w:szCs w:val="20"/>
          <w:lang w:val="en-US"/>
        </w:rPr>
        <w:t xml:space="preserve">, </w:t>
      </w:r>
      <w:r w:rsidR="007E6FE3" w:rsidRPr="00AC57EA">
        <w:rPr>
          <w:rFonts w:cs="Verdana"/>
          <w:bCs/>
          <w:iCs/>
          <w:sz w:val="20"/>
          <w:szCs w:val="20"/>
          <w:lang w:val="en-US"/>
        </w:rPr>
        <w:t>it is for the Court to prudently assess their scope, and this includes</w:t>
      </w:r>
      <w:r w:rsidR="00255AC3" w:rsidRPr="00AC57EA">
        <w:rPr>
          <w:rFonts w:cs="Verdana"/>
          <w:bCs/>
          <w:iCs/>
          <w:sz w:val="20"/>
          <w:szCs w:val="20"/>
          <w:lang w:val="en-US"/>
        </w:rPr>
        <w:t xml:space="preserve"> both the expenses arising before the authorities of the domestic jurisdiction, as well as those incurred in the course of the proceedings before the inter-American system, taking into account the circumstances of the specific case and the nature of the international jurisdiction for the protection of human rights. This assessment may be made based on the principle of equity and taking into account the expenses indicated by the parties, provided their</w:t>
      </w:r>
      <w:r w:rsidR="00255AC3" w:rsidRPr="00AC57EA">
        <w:rPr>
          <w:sz w:val="20"/>
          <w:szCs w:val="20"/>
          <w:lang w:val="en-US"/>
        </w:rPr>
        <w:t xml:space="preserve"> </w:t>
      </w:r>
      <w:r w:rsidR="009D661E" w:rsidRPr="00AC57EA">
        <w:rPr>
          <w:rFonts w:cs="Verdana"/>
          <w:bCs/>
          <w:i/>
          <w:iCs/>
          <w:sz w:val="20"/>
          <w:szCs w:val="20"/>
          <w:lang w:val="en-US"/>
        </w:rPr>
        <w:t xml:space="preserve">quantum </w:t>
      </w:r>
      <w:r w:rsidR="00255AC3" w:rsidRPr="00AC57EA">
        <w:rPr>
          <w:rFonts w:cs="Verdana"/>
          <w:bCs/>
          <w:iCs/>
          <w:sz w:val="20"/>
          <w:szCs w:val="20"/>
          <w:lang w:val="en-US"/>
        </w:rPr>
        <w:t>is reasonable.</w:t>
      </w:r>
      <w:r w:rsidR="009D661E" w:rsidRPr="00AC57EA">
        <w:rPr>
          <w:rFonts w:cs="Verdana"/>
          <w:bCs/>
          <w:iCs/>
          <w:sz w:val="20"/>
          <w:szCs w:val="20"/>
          <w:vertAlign w:val="superscript"/>
          <w:lang w:val="en-US"/>
        </w:rPr>
        <w:footnoteReference w:id="453"/>
      </w:r>
    </w:p>
    <w:p w14:paraId="1E734671" w14:textId="77777777" w:rsidR="002E0836" w:rsidRPr="00AC57EA" w:rsidRDefault="002E0836" w:rsidP="00DF3D71">
      <w:pPr>
        <w:pStyle w:val="Prrafodelista"/>
        <w:spacing w:line="240" w:lineRule="auto"/>
        <w:rPr>
          <w:sz w:val="20"/>
          <w:szCs w:val="20"/>
          <w:lang w:val="en-US"/>
        </w:rPr>
      </w:pPr>
    </w:p>
    <w:p w14:paraId="4762116D" w14:textId="70535061" w:rsidR="002E0836" w:rsidRPr="00AC57EA" w:rsidRDefault="00B7258C" w:rsidP="00255AC3">
      <w:pPr>
        <w:numPr>
          <w:ilvl w:val="0"/>
          <w:numId w:val="2"/>
        </w:numPr>
        <w:tabs>
          <w:tab w:val="left" w:pos="567"/>
          <w:tab w:val="num" w:pos="5057"/>
        </w:tabs>
        <w:spacing w:line="240" w:lineRule="auto"/>
        <w:ind w:left="0" w:firstLine="0"/>
        <w:rPr>
          <w:rFonts w:eastAsia="MS Mincho"/>
          <w:sz w:val="20"/>
          <w:szCs w:val="20"/>
          <w:lang w:val="en-US" w:bidi="en-US"/>
        </w:rPr>
      </w:pPr>
      <w:r w:rsidRPr="00AC57EA">
        <w:rPr>
          <w:rFonts w:eastAsia="MS Mincho"/>
          <w:sz w:val="20"/>
          <w:szCs w:val="20"/>
          <w:lang w:val="en-US" w:bidi="en-US"/>
        </w:rPr>
        <w:t>The Court</w:t>
      </w:r>
      <w:r w:rsidR="002E0836" w:rsidRPr="00AC57EA">
        <w:rPr>
          <w:rFonts w:eastAsia="MS Mincho"/>
          <w:sz w:val="20"/>
          <w:szCs w:val="20"/>
          <w:lang w:val="en-US" w:bidi="en-US"/>
        </w:rPr>
        <w:t xml:space="preserve"> </w:t>
      </w:r>
      <w:r w:rsidR="00255AC3" w:rsidRPr="00AC57EA">
        <w:rPr>
          <w:rFonts w:eastAsia="MS Mincho"/>
          <w:sz w:val="20"/>
          <w:szCs w:val="20"/>
          <w:lang w:val="en-US" w:bidi="en-US"/>
        </w:rPr>
        <w:t>has indicated that</w:t>
      </w:r>
      <w:r w:rsidR="002E0836" w:rsidRPr="00AC57EA">
        <w:rPr>
          <w:rFonts w:eastAsia="MS Mincho"/>
          <w:sz w:val="20"/>
          <w:szCs w:val="20"/>
          <w:lang w:val="en-US" w:bidi="en-US"/>
        </w:rPr>
        <w:t xml:space="preserve"> “</w:t>
      </w:r>
      <w:r w:rsidR="00255AC3" w:rsidRPr="00AC57EA">
        <w:rPr>
          <w:rFonts w:eastAsia="MS Mincho"/>
          <w:sz w:val="20"/>
          <w:szCs w:val="20"/>
          <w:lang w:val="en-US" w:bidi="en-US"/>
        </w:rPr>
        <w:t xml:space="preserve">the claims of the victims or their representatives with regard to </w:t>
      </w:r>
      <w:r w:rsidR="007E72AE" w:rsidRPr="00AC57EA">
        <w:rPr>
          <w:rFonts w:eastAsia="MS Mincho"/>
          <w:sz w:val="20"/>
          <w:szCs w:val="20"/>
          <w:lang w:val="en-US" w:bidi="en-US"/>
        </w:rPr>
        <w:t>costs and expenses</w:t>
      </w:r>
      <w:r w:rsidR="00171E27" w:rsidRPr="00AC57EA">
        <w:rPr>
          <w:rFonts w:eastAsia="MS Mincho"/>
          <w:sz w:val="20"/>
          <w:szCs w:val="20"/>
          <w:lang w:val="en-US" w:bidi="en-US"/>
        </w:rPr>
        <w:t xml:space="preserve"> and </w:t>
      </w:r>
      <w:r w:rsidR="00255AC3" w:rsidRPr="00AC57EA">
        <w:rPr>
          <w:rFonts w:eastAsia="MS Mincho"/>
          <w:sz w:val="20"/>
          <w:szCs w:val="20"/>
          <w:lang w:val="en-US" w:bidi="en-US"/>
        </w:rPr>
        <w:t xml:space="preserve">the </w:t>
      </w:r>
      <w:r w:rsidR="00D27D90" w:rsidRPr="00AC57EA">
        <w:rPr>
          <w:rFonts w:eastAsia="MS Mincho"/>
          <w:sz w:val="20"/>
          <w:szCs w:val="20"/>
          <w:lang w:val="en-US" w:bidi="en-US"/>
        </w:rPr>
        <w:t xml:space="preserve">substantiating </w:t>
      </w:r>
      <w:r w:rsidR="00255AC3" w:rsidRPr="00AC57EA">
        <w:rPr>
          <w:rFonts w:eastAsia="MS Mincho"/>
          <w:sz w:val="20"/>
          <w:szCs w:val="20"/>
          <w:lang w:val="en-US" w:bidi="en-US"/>
        </w:rPr>
        <w:t>evidence must be submitted to the Court at the first procedural moment granted to them – that is, in the pleadings and motions brief – without prejudice to updating those claims subsequently in keeping with the new costs and expenses incurred during the proceedings before this Court.</w:t>
      </w:r>
      <w:r w:rsidR="002E0836" w:rsidRPr="00AC57EA">
        <w:rPr>
          <w:rFonts w:eastAsia="MS Mincho"/>
          <w:sz w:val="20"/>
          <w:szCs w:val="20"/>
          <w:lang w:val="en-US" w:bidi="en-US"/>
        </w:rPr>
        <w:t>”</w:t>
      </w:r>
      <w:r w:rsidR="002E0836" w:rsidRPr="00AC57EA">
        <w:rPr>
          <w:rFonts w:eastAsia="MS Mincho"/>
          <w:sz w:val="20"/>
          <w:szCs w:val="20"/>
          <w:vertAlign w:val="superscript"/>
          <w:lang w:val="en-US" w:bidi="en-US"/>
        </w:rPr>
        <w:footnoteReference w:id="454"/>
      </w:r>
      <w:r w:rsidR="00255AC3" w:rsidRPr="00AC57EA">
        <w:rPr>
          <w:rFonts w:eastAsia="MS Mincho"/>
          <w:sz w:val="20"/>
          <w:szCs w:val="20"/>
          <w:lang w:val="en-US" w:bidi="en-US"/>
        </w:rPr>
        <w:t xml:space="preserve"> In addition, the Court reiterates that it is not sufficient merely to forward probative documents; rather the parties are required to include arguments that relate the evidence to the fact it is considered to represent and, in the case of alleged financial disbursements, the items and their justification </w:t>
      </w:r>
      <w:r w:rsidR="00D27D90" w:rsidRPr="00AC57EA">
        <w:rPr>
          <w:rFonts w:eastAsia="MS Mincho"/>
          <w:sz w:val="20"/>
          <w:szCs w:val="20"/>
          <w:lang w:val="en-US" w:bidi="en-US"/>
        </w:rPr>
        <w:t>must be</w:t>
      </w:r>
      <w:r w:rsidR="00255AC3" w:rsidRPr="00AC57EA">
        <w:rPr>
          <w:rFonts w:eastAsia="MS Mincho"/>
          <w:sz w:val="20"/>
          <w:szCs w:val="20"/>
          <w:lang w:val="en-US" w:bidi="en-US"/>
        </w:rPr>
        <w:t xml:space="preserve"> clearly indicated.</w:t>
      </w:r>
      <w:r w:rsidR="002E0836" w:rsidRPr="00AC57EA">
        <w:rPr>
          <w:rFonts w:eastAsia="MS Mincho"/>
          <w:sz w:val="20"/>
          <w:szCs w:val="20"/>
          <w:vertAlign w:val="superscript"/>
          <w:lang w:val="en-US" w:bidi="en-US"/>
        </w:rPr>
        <w:footnoteReference w:id="455"/>
      </w:r>
    </w:p>
    <w:p w14:paraId="18435B2A" w14:textId="4C3B3AD6" w:rsidR="002E0836" w:rsidRPr="00AC57EA" w:rsidRDefault="002E0836" w:rsidP="00044A68">
      <w:pPr>
        <w:tabs>
          <w:tab w:val="left" w:pos="720"/>
        </w:tabs>
        <w:spacing w:line="240" w:lineRule="auto"/>
        <w:rPr>
          <w:rFonts w:eastAsia="Times"/>
          <w:sz w:val="20"/>
          <w:szCs w:val="20"/>
          <w:lang w:val="en-US"/>
        </w:rPr>
      </w:pPr>
    </w:p>
    <w:p w14:paraId="6B0D288E" w14:textId="39E12392" w:rsidR="002E0836" w:rsidRPr="00AC57EA" w:rsidRDefault="00B7258C" w:rsidP="00255AC3">
      <w:pPr>
        <w:numPr>
          <w:ilvl w:val="0"/>
          <w:numId w:val="2"/>
        </w:numPr>
        <w:tabs>
          <w:tab w:val="left" w:pos="567"/>
          <w:tab w:val="num" w:pos="5057"/>
        </w:tabs>
        <w:spacing w:line="240" w:lineRule="auto"/>
        <w:ind w:left="0" w:firstLine="0"/>
        <w:rPr>
          <w:rFonts w:eastAsia="Batang"/>
          <w:sz w:val="20"/>
          <w:szCs w:val="20"/>
          <w:lang w:val="en-US"/>
        </w:rPr>
      </w:pPr>
      <w:r w:rsidRPr="00AC57EA">
        <w:rPr>
          <w:sz w:val="20"/>
          <w:szCs w:val="20"/>
          <w:lang w:val="en-US"/>
        </w:rPr>
        <w:t>The Court</w:t>
      </w:r>
      <w:r w:rsidR="002E0836" w:rsidRPr="00AC57EA">
        <w:rPr>
          <w:sz w:val="20"/>
          <w:szCs w:val="20"/>
          <w:lang w:val="en-US"/>
        </w:rPr>
        <w:t xml:space="preserve"> not</w:t>
      </w:r>
      <w:r w:rsidR="00255AC3" w:rsidRPr="00AC57EA">
        <w:rPr>
          <w:sz w:val="20"/>
          <w:szCs w:val="20"/>
          <w:lang w:val="en-US"/>
        </w:rPr>
        <w:t>es that no vouchers were provided for the expenses incurred in the search for justice in the domestic sphere owing to the rape of V.R.P., for various legal expenses</w:t>
      </w:r>
      <w:r w:rsidR="00D27D90" w:rsidRPr="00AC57EA">
        <w:rPr>
          <w:sz w:val="20"/>
          <w:szCs w:val="20"/>
          <w:lang w:val="en-US"/>
        </w:rPr>
        <w:t xml:space="preserve"> arising from</w:t>
      </w:r>
      <w:r w:rsidR="00255AC3" w:rsidRPr="00AC57EA">
        <w:rPr>
          <w:sz w:val="20"/>
          <w:szCs w:val="20"/>
          <w:lang w:val="en-US"/>
        </w:rPr>
        <w:t xml:space="preserve"> filing complaints against different authorities, for legal expenses for the asylum procedure filed by V.P.C. and her daughters in the United States, or those that the representatives alleged they had incurred during the procedure before the Commission. Nevertheless, the Court considers that it can be presumed that V.P.C. incurred additional expenses based on the search for justice in the domestic sphere and before the inter-American system, in particular in the procedure before </w:t>
      </w:r>
      <w:r w:rsidRPr="00AC57EA">
        <w:rPr>
          <w:rFonts w:eastAsia="MS Mincho" w:cs="Arial"/>
          <w:sz w:val="20"/>
          <w:szCs w:val="20"/>
          <w:lang w:val="en-US" w:bidi="en-US"/>
        </w:rPr>
        <w:t>the Inter-American Commission</w:t>
      </w:r>
      <w:r w:rsidR="00044A68" w:rsidRPr="00AC57EA">
        <w:rPr>
          <w:rFonts w:eastAsia="MS Mincho" w:cs="Arial"/>
          <w:sz w:val="20"/>
          <w:szCs w:val="20"/>
          <w:lang w:val="en-US" w:bidi="en-US"/>
        </w:rPr>
        <w:t>.</w:t>
      </w:r>
      <w:r w:rsidR="002E0836" w:rsidRPr="00AC57EA">
        <w:rPr>
          <w:rFonts w:eastAsia="MS Mincho" w:cs="Arial"/>
          <w:sz w:val="20"/>
          <w:szCs w:val="20"/>
          <w:lang w:val="en-US" w:bidi="en-US"/>
        </w:rPr>
        <w:t xml:space="preserve"> </w:t>
      </w:r>
      <w:r w:rsidRPr="00AC57EA">
        <w:rPr>
          <w:sz w:val="20"/>
          <w:lang w:val="en-US"/>
        </w:rPr>
        <w:t>The Court</w:t>
      </w:r>
      <w:r w:rsidR="00192F16" w:rsidRPr="00AC57EA">
        <w:rPr>
          <w:sz w:val="20"/>
          <w:lang w:val="en-US"/>
        </w:rPr>
        <w:t xml:space="preserve"> </w:t>
      </w:r>
      <w:r w:rsidR="00510709" w:rsidRPr="00AC57EA">
        <w:rPr>
          <w:sz w:val="20"/>
          <w:lang w:val="en-US"/>
        </w:rPr>
        <w:t xml:space="preserve">finds it necessary to indicate that this amount does not include the payment of expenses incurred as a result of the proceedings before this Court which were covered by the Victims’ Legal </w:t>
      </w:r>
      <w:r w:rsidR="00171E27" w:rsidRPr="00AC57EA">
        <w:rPr>
          <w:sz w:val="20"/>
          <w:lang w:val="en-US"/>
        </w:rPr>
        <w:t>Assistance Fund</w:t>
      </w:r>
      <w:r w:rsidR="00192F16" w:rsidRPr="00AC57EA">
        <w:rPr>
          <w:sz w:val="20"/>
          <w:lang w:val="en-US"/>
        </w:rPr>
        <w:t xml:space="preserve"> (</w:t>
      </w:r>
      <w:r w:rsidR="00192F16" w:rsidRPr="00AC57EA">
        <w:rPr>
          <w:i/>
          <w:sz w:val="20"/>
          <w:lang w:val="en-US"/>
        </w:rPr>
        <w:t>infra</w:t>
      </w:r>
      <w:r w:rsidR="00FC7260" w:rsidRPr="00AC57EA">
        <w:rPr>
          <w:sz w:val="20"/>
          <w:lang w:val="en-US"/>
        </w:rPr>
        <w:t xml:space="preserve"> </w:t>
      </w:r>
      <w:r w:rsidR="00171E27" w:rsidRPr="00AC57EA">
        <w:rPr>
          <w:sz w:val="20"/>
          <w:lang w:val="en-US"/>
        </w:rPr>
        <w:t>para.</w:t>
      </w:r>
      <w:r w:rsidR="00FC7260" w:rsidRPr="00AC57EA">
        <w:rPr>
          <w:sz w:val="20"/>
          <w:lang w:val="en-US"/>
        </w:rPr>
        <w:t xml:space="preserve"> 434).</w:t>
      </w:r>
    </w:p>
    <w:p w14:paraId="72D9C8AB" w14:textId="77777777" w:rsidR="00044A68" w:rsidRPr="00AC57EA" w:rsidRDefault="00044A68" w:rsidP="00044A68">
      <w:pPr>
        <w:tabs>
          <w:tab w:val="left" w:pos="567"/>
        </w:tabs>
        <w:spacing w:line="240" w:lineRule="auto"/>
        <w:rPr>
          <w:rFonts w:eastAsia="Batang"/>
          <w:sz w:val="20"/>
          <w:szCs w:val="20"/>
          <w:lang w:val="en-US"/>
        </w:rPr>
      </w:pPr>
    </w:p>
    <w:p w14:paraId="27F43658" w14:textId="5F8A59F8" w:rsidR="009D661E" w:rsidRPr="00AC57EA" w:rsidRDefault="00362365" w:rsidP="00DF3D71">
      <w:pPr>
        <w:numPr>
          <w:ilvl w:val="0"/>
          <w:numId w:val="2"/>
        </w:numPr>
        <w:tabs>
          <w:tab w:val="left" w:pos="567"/>
          <w:tab w:val="num" w:pos="5057"/>
          <w:tab w:val="num" w:pos="11028"/>
        </w:tabs>
        <w:spacing w:line="240" w:lineRule="auto"/>
        <w:ind w:left="0" w:right="-90" w:firstLine="0"/>
        <w:rPr>
          <w:sz w:val="20"/>
          <w:szCs w:val="20"/>
          <w:lang w:val="en-US"/>
        </w:rPr>
      </w:pPr>
      <w:bookmarkStart w:id="169" w:name="_Ref455680884"/>
      <w:r w:rsidRPr="00AC57EA">
        <w:rPr>
          <w:rFonts w:eastAsia="MS Mincho"/>
          <w:sz w:val="20"/>
          <w:szCs w:val="20"/>
          <w:lang w:val="en-US" w:bidi="en-US"/>
        </w:rPr>
        <w:t>Consequently</w:t>
      </w:r>
      <w:r w:rsidR="002E0836" w:rsidRPr="00AC57EA">
        <w:rPr>
          <w:rFonts w:eastAsia="MS Mincho"/>
          <w:sz w:val="20"/>
          <w:szCs w:val="20"/>
          <w:lang w:val="en-US" w:bidi="en-US"/>
        </w:rPr>
        <w:t xml:space="preserve">, </w:t>
      </w:r>
      <w:r w:rsidR="00B7258C" w:rsidRPr="00AC57EA">
        <w:rPr>
          <w:rFonts w:eastAsia="MS Mincho"/>
          <w:sz w:val="20"/>
          <w:szCs w:val="20"/>
          <w:lang w:val="en-US" w:bidi="en-US"/>
        </w:rPr>
        <w:t>the Court</w:t>
      </w:r>
      <w:r w:rsidR="002E0836" w:rsidRPr="00AC57EA">
        <w:rPr>
          <w:rFonts w:eastAsia="MS Mincho"/>
          <w:sz w:val="20"/>
          <w:szCs w:val="20"/>
          <w:lang w:val="en-US" w:bidi="en-US"/>
        </w:rPr>
        <w:t xml:space="preserve"> decide</w:t>
      </w:r>
      <w:r w:rsidRPr="00AC57EA">
        <w:rPr>
          <w:rFonts w:eastAsia="MS Mincho"/>
          <w:sz w:val="20"/>
          <w:szCs w:val="20"/>
          <w:lang w:val="en-US" w:bidi="en-US"/>
        </w:rPr>
        <w:t>s to establish the reasonable amount of</w:t>
      </w:r>
      <w:r w:rsidR="002E0836" w:rsidRPr="00AC57EA">
        <w:rPr>
          <w:rFonts w:eastAsia="MS Mincho"/>
          <w:sz w:val="20"/>
          <w:szCs w:val="20"/>
          <w:lang w:val="en-US" w:bidi="en-US"/>
        </w:rPr>
        <w:t xml:space="preserve"> </w:t>
      </w:r>
      <w:r w:rsidR="002E0836" w:rsidRPr="00AC57EA">
        <w:rPr>
          <w:sz w:val="20"/>
          <w:szCs w:val="20"/>
          <w:lang w:val="en-US"/>
        </w:rPr>
        <w:t>US$</w:t>
      </w:r>
      <w:r w:rsidR="00D4268B" w:rsidRPr="00AC57EA">
        <w:rPr>
          <w:rFonts w:cs="Verdana"/>
          <w:sz w:val="20"/>
          <w:szCs w:val="20"/>
          <w:lang w:val="en-US"/>
        </w:rPr>
        <w:t>15</w:t>
      </w:r>
      <w:r w:rsidR="00474CE5" w:rsidRPr="00AC57EA">
        <w:rPr>
          <w:rFonts w:cs="Verdana"/>
          <w:sz w:val="20"/>
          <w:szCs w:val="20"/>
          <w:lang w:val="en-US"/>
        </w:rPr>
        <w:t>,000.00</w:t>
      </w:r>
      <w:r w:rsidR="00044A68" w:rsidRPr="00AC57EA">
        <w:rPr>
          <w:rFonts w:cs="Verdana"/>
          <w:sz w:val="20"/>
          <w:szCs w:val="20"/>
          <w:lang w:val="en-US"/>
        </w:rPr>
        <w:t xml:space="preserve"> (</w:t>
      </w:r>
      <w:r w:rsidRPr="00AC57EA">
        <w:rPr>
          <w:rFonts w:cs="Verdana"/>
          <w:sz w:val="20"/>
          <w:szCs w:val="20"/>
          <w:lang w:val="en-US"/>
        </w:rPr>
        <w:t>fifteen</w:t>
      </w:r>
      <w:r w:rsidR="002E0836" w:rsidRPr="00AC57EA">
        <w:rPr>
          <w:rFonts w:cs="Verdana"/>
          <w:sz w:val="20"/>
          <w:szCs w:val="20"/>
          <w:lang w:val="en-US"/>
        </w:rPr>
        <w:t xml:space="preserve"> </w:t>
      </w:r>
      <w:r w:rsidR="006B773E" w:rsidRPr="00AC57EA">
        <w:rPr>
          <w:rFonts w:cs="Verdana"/>
          <w:sz w:val="20"/>
          <w:szCs w:val="20"/>
          <w:lang w:val="en-US"/>
        </w:rPr>
        <w:t>thousand United States dollars</w:t>
      </w:r>
      <w:r w:rsidR="002E0836" w:rsidRPr="00AC57EA">
        <w:rPr>
          <w:rFonts w:cs="Verdana"/>
          <w:sz w:val="20"/>
          <w:szCs w:val="20"/>
          <w:lang w:val="en-US"/>
        </w:rPr>
        <w:t>)</w:t>
      </w:r>
      <w:r w:rsidR="002E0836" w:rsidRPr="00AC57EA">
        <w:rPr>
          <w:rFonts w:eastAsia="MS Mincho" w:cs="Verdana"/>
          <w:sz w:val="20"/>
          <w:szCs w:val="20"/>
          <w:lang w:val="en-US" w:bidi="en-US"/>
        </w:rPr>
        <w:t xml:space="preserve"> </w:t>
      </w:r>
      <w:r w:rsidRPr="00AC57EA">
        <w:rPr>
          <w:rFonts w:eastAsia="MS Mincho" w:cs="Verdana"/>
          <w:sz w:val="20"/>
          <w:szCs w:val="20"/>
          <w:lang w:val="en-US" w:bidi="en-US"/>
        </w:rPr>
        <w:t>for</w:t>
      </w:r>
      <w:r w:rsidR="002E0836" w:rsidRPr="00AC57EA">
        <w:rPr>
          <w:rFonts w:eastAsia="MS Mincho"/>
          <w:bCs/>
          <w:sz w:val="20"/>
          <w:szCs w:val="20"/>
          <w:lang w:val="en-US" w:eastAsia="en-US" w:bidi="en-US"/>
        </w:rPr>
        <w:t xml:space="preserve"> </w:t>
      </w:r>
      <w:r w:rsidR="007E72AE" w:rsidRPr="00AC57EA">
        <w:rPr>
          <w:rFonts w:eastAsia="MS Mincho"/>
          <w:bCs/>
          <w:sz w:val="20"/>
          <w:szCs w:val="20"/>
          <w:lang w:val="en-US" w:eastAsia="en-US" w:bidi="en-US"/>
        </w:rPr>
        <w:t>costs and expenses</w:t>
      </w:r>
      <w:r w:rsidR="002E0836" w:rsidRPr="00AC57EA">
        <w:rPr>
          <w:rFonts w:eastAsia="MS Mincho"/>
          <w:bCs/>
          <w:sz w:val="20"/>
          <w:szCs w:val="20"/>
          <w:lang w:val="en-US" w:eastAsia="en-US" w:bidi="en-US"/>
        </w:rPr>
        <w:t xml:space="preserve">. </w:t>
      </w:r>
      <w:r w:rsidR="00510709" w:rsidRPr="00AC57EA">
        <w:rPr>
          <w:rFonts w:eastAsia="MS Mincho" w:cs="Verdana"/>
          <w:sz w:val="20"/>
          <w:szCs w:val="20"/>
          <w:lang w:val="en-US" w:bidi="en-US"/>
        </w:rPr>
        <w:t xml:space="preserve">This amount shall be delivered to </w:t>
      </w:r>
      <w:r w:rsidR="00044A68" w:rsidRPr="00AC57EA">
        <w:rPr>
          <w:rFonts w:eastAsia="MS Mincho" w:cs="Verdana"/>
          <w:sz w:val="20"/>
          <w:szCs w:val="20"/>
          <w:lang w:val="en-US" w:bidi="en-US"/>
        </w:rPr>
        <w:t xml:space="preserve">V.P.C. </w:t>
      </w:r>
      <w:r w:rsidR="00510709" w:rsidRPr="00AC57EA">
        <w:rPr>
          <w:rFonts w:eastAsia="MS Mincho" w:cs="Verdana"/>
          <w:sz w:val="20"/>
          <w:szCs w:val="20"/>
          <w:lang w:val="en-US" w:bidi="en-US"/>
        </w:rPr>
        <w:t xml:space="preserve">During the procedure of monitoring compliance with this judgment, the Court may establish </w:t>
      </w:r>
      <w:r w:rsidR="00D27D90" w:rsidRPr="00AC57EA">
        <w:rPr>
          <w:rFonts w:eastAsia="MS Mincho" w:cs="Verdana"/>
          <w:sz w:val="20"/>
          <w:szCs w:val="20"/>
          <w:lang w:val="en-US" w:bidi="en-US"/>
        </w:rPr>
        <w:t xml:space="preserve">that </w:t>
      </w:r>
      <w:r w:rsidR="00510709" w:rsidRPr="00AC57EA">
        <w:rPr>
          <w:rFonts w:eastAsia="MS Mincho" w:cs="Verdana"/>
          <w:sz w:val="20"/>
          <w:szCs w:val="20"/>
          <w:lang w:val="en-US" w:bidi="en-US"/>
        </w:rPr>
        <w:t>the State</w:t>
      </w:r>
      <w:r w:rsidR="00D27D90" w:rsidRPr="00AC57EA">
        <w:rPr>
          <w:rFonts w:eastAsia="MS Mincho" w:cs="Verdana"/>
          <w:sz w:val="20"/>
          <w:szCs w:val="20"/>
          <w:lang w:val="en-US" w:bidi="en-US"/>
        </w:rPr>
        <w:t xml:space="preserve"> must reimburse</w:t>
      </w:r>
      <w:r w:rsidR="00510709" w:rsidRPr="00AC57EA">
        <w:rPr>
          <w:rFonts w:eastAsia="MS Mincho" w:cs="Verdana"/>
          <w:sz w:val="20"/>
          <w:szCs w:val="20"/>
          <w:lang w:val="en-US" w:bidi="en-US"/>
        </w:rPr>
        <w:t xml:space="preserve"> the victims or their representatives any reasonable and duly authenticated expenses at that procedural stage.</w:t>
      </w:r>
      <w:bookmarkEnd w:id="169"/>
      <w:r w:rsidR="009D661E" w:rsidRPr="00AC57EA">
        <w:rPr>
          <w:rStyle w:val="Refdenotaalpie"/>
          <w:sz w:val="20"/>
          <w:szCs w:val="20"/>
          <w:lang w:val="en-US"/>
        </w:rPr>
        <w:footnoteReference w:id="456"/>
      </w:r>
    </w:p>
    <w:p w14:paraId="5ED588F0" w14:textId="77777777" w:rsidR="00553F0D" w:rsidRPr="00AC57EA" w:rsidRDefault="00553F0D" w:rsidP="00044A68">
      <w:pPr>
        <w:tabs>
          <w:tab w:val="left" w:pos="567"/>
        </w:tabs>
        <w:spacing w:line="240" w:lineRule="auto"/>
        <w:textAlignment w:val="auto"/>
        <w:rPr>
          <w:sz w:val="20"/>
          <w:szCs w:val="20"/>
          <w:lang w:val="en-US"/>
        </w:rPr>
      </w:pPr>
    </w:p>
    <w:p w14:paraId="40F33727" w14:textId="364A4EEF" w:rsidR="009D661E" w:rsidRPr="00AC57EA" w:rsidRDefault="00D2733C" w:rsidP="002C415B">
      <w:pPr>
        <w:keepNext/>
        <w:keepLines/>
        <w:numPr>
          <w:ilvl w:val="0"/>
          <w:numId w:val="11"/>
        </w:numPr>
        <w:tabs>
          <w:tab w:val="left" w:pos="567"/>
          <w:tab w:val="left" w:pos="1134"/>
        </w:tabs>
        <w:spacing w:line="240" w:lineRule="auto"/>
        <w:ind w:left="567" w:firstLine="0"/>
        <w:textAlignment w:val="auto"/>
        <w:outlineLvl w:val="1"/>
        <w:rPr>
          <w:rFonts w:eastAsia="MS Mincho"/>
          <w:b/>
          <w:bCs/>
          <w:i/>
          <w:sz w:val="20"/>
          <w:szCs w:val="20"/>
          <w:lang w:val="en-US"/>
        </w:rPr>
      </w:pPr>
      <w:bookmarkStart w:id="170" w:name="_Toc495658705"/>
      <w:bookmarkStart w:id="171" w:name="_Toc476390747"/>
      <w:bookmarkStart w:id="172" w:name="_Toc514172673"/>
      <w:r w:rsidRPr="00AC57EA">
        <w:rPr>
          <w:rFonts w:eastAsia="MS Mincho"/>
          <w:b/>
          <w:bCs/>
          <w:i/>
          <w:sz w:val="20"/>
          <w:szCs w:val="20"/>
          <w:lang w:val="en-US"/>
        </w:rPr>
        <w:t>Reimbursement of expenses to the</w:t>
      </w:r>
      <w:r w:rsidR="009D661E" w:rsidRPr="00AC57EA">
        <w:rPr>
          <w:rFonts w:eastAsia="MS Mincho"/>
          <w:b/>
          <w:bCs/>
          <w:i/>
          <w:sz w:val="20"/>
          <w:szCs w:val="20"/>
          <w:lang w:val="en-US"/>
        </w:rPr>
        <w:t xml:space="preserve"> </w:t>
      </w:r>
      <w:r w:rsidR="007E72AE" w:rsidRPr="00AC57EA">
        <w:rPr>
          <w:rFonts w:eastAsia="MS Mincho"/>
          <w:b/>
          <w:bCs/>
          <w:i/>
          <w:sz w:val="20"/>
          <w:szCs w:val="20"/>
          <w:lang w:val="en-US"/>
        </w:rPr>
        <w:t>Victims’ Legal Assistance Fund</w:t>
      </w:r>
      <w:bookmarkEnd w:id="170"/>
      <w:bookmarkEnd w:id="171"/>
      <w:bookmarkEnd w:id="172"/>
    </w:p>
    <w:p w14:paraId="4D97B673" w14:textId="77777777" w:rsidR="009D661E" w:rsidRPr="00AC57EA" w:rsidRDefault="009D661E" w:rsidP="00044A68">
      <w:pPr>
        <w:tabs>
          <w:tab w:val="left" w:pos="720"/>
        </w:tabs>
        <w:spacing w:line="240" w:lineRule="auto"/>
        <w:ind w:left="142"/>
        <w:rPr>
          <w:sz w:val="20"/>
          <w:szCs w:val="20"/>
          <w:lang w:val="en-US" w:bidi="en-US"/>
        </w:rPr>
      </w:pPr>
    </w:p>
    <w:p w14:paraId="342D1418" w14:textId="01DE3426" w:rsidR="00463F6D" w:rsidRPr="00AC57EA" w:rsidRDefault="00362365" w:rsidP="00044A68">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rFonts w:eastAsia="MS Mincho" w:cs="Verdana"/>
          <w:snapToGrid w:val="0"/>
          <w:sz w:val="20"/>
          <w:szCs w:val="20"/>
          <w:lang w:val="en-US" w:eastAsia="es-ES" w:bidi="en-US"/>
        </w:rPr>
        <w:t>In</w:t>
      </w:r>
      <w:r w:rsidR="009D661E" w:rsidRPr="00AC57EA">
        <w:rPr>
          <w:rFonts w:eastAsia="MS Mincho" w:cs="Verdana"/>
          <w:snapToGrid w:val="0"/>
          <w:sz w:val="20"/>
          <w:szCs w:val="20"/>
          <w:lang w:val="en-US" w:eastAsia="es-ES" w:bidi="en-US"/>
        </w:rPr>
        <w:t xml:space="preserve"> 2008</w:t>
      </w:r>
      <w:r w:rsidRPr="00AC57EA">
        <w:rPr>
          <w:rFonts w:eastAsia="MS Mincho" w:cs="Verdana"/>
          <w:snapToGrid w:val="0"/>
          <w:sz w:val="20"/>
          <w:szCs w:val="20"/>
          <w:lang w:val="en-US" w:eastAsia="es-ES" w:bidi="en-US"/>
        </w:rPr>
        <w:t xml:space="preserve">, the General Assembly of the Organization of American States created </w:t>
      </w:r>
      <w:r w:rsidR="00171E27" w:rsidRPr="00AC57EA">
        <w:rPr>
          <w:rFonts w:eastAsia="MS Mincho" w:cs="Verdana"/>
          <w:snapToGrid w:val="0"/>
          <w:sz w:val="20"/>
          <w:szCs w:val="20"/>
          <w:lang w:val="en-US" w:eastAsia="es-ES" w:bidi="en-US"/>
        </w:rPr>
        <w:t>the</w:t>
      </w:r>
      <w:r w:rsidRPr="00AC57EA">
        <w:rPr>
          <w:rFonts w:eastAsia="MS Mincho" w:cs="Verdana"/>
          <w:snapToGrid w:val="0"/>
          <w:sz w:val="20"/>
          <w:szCs w:val="20"/>
          <w:lang w:val="en-US" w:eastAsia="es-ES" w:bidi="en-US"/>
        </w:rPr>
        <w:t xml:space="preserve"> Victims’ Legal</w:t>
      </w:r>
      <w:r w:rsidR="00171E27" w:rsidRPr="00AC57EA">
        <w:rPr>
          <w:rFonts w:eastAsia="MS Mincho" w:cs="Verdana"/>
          <w:snapToGrid w:val="0"/>
          <w:sz w:val="20"/>
          <w:szCs w:val="20"/>
          <w:lang w:val="en-US" w:eastAsia="es-ES" w:bidi="en-US"/>
        </w:rPr>
        <w:t xml:space="preserve"> Assistance Fund</w:t>
      </w:r>
      <w:r w:rsidR="009D661E" w:rsidRPr="00AC57EA">
        <w:rPr>
          <w:rFonts w:eastAsia="MS Mincho" w:cs="Verdana"/>
          <w:snapToGrid w:val="0"/>
          <w:sz w:val="20"/>
          <w:szCs w:val="20"/>
          <w:lang w:val="en-US" w:eastAsia="es-ES" w:bidi="en-US"/>
        </w:rPr>
        <w:t xml:space="preserve"> </w:t>
      </w:r>
      <w:r w:rsidRPr="00AC57EA">
        <w:rPr>
          <w:rFonts w:eastAsia="MS Mincho" w:cs="Verdana"/>
          <w:snapToGrid w:val="0"/>
          <w:sz w:val="20"/>
          <w:szCs w:val="20"/>
          <w:lang w:val="en-US" w:eastAsia="es-ES" w:bidi="en-US"/>
        </w:rPr>
        <w:t xml:space="preserve">of the </w:t>
      </w:r>
      <w:r w:rsidR="008D5D0C" w:rsidRPr="00AC57EA">
        <w:rPr>
          <w:rFonts w:eastAsia="MS Mincho" w:cs="Verdana"/>
          <w:snapToGrid w:val="0"/>
          <w:sz w:val="20"/>
          <w:szCs w:val="20"/>
          <w:lang w:val="en-US" w:eastAsia="es-ES" w:bidi="en-US"/>
        </w:rPr>
        <w:t xml:space="preserve">inter-American human rights system, in </w:t>
      </w:r>
      <w:r w:rsidR="00856148" w:rsidRPr="00AC57EA">
        <w:rPr>
          <w:rFonts w:eastAsia="MS Mincho" w:cs="Verdana"/>
          <w:snapToGrid w:val="0"/>
          <w:sz w:val="20"/>
          <w:szCs w:val="20"/>
          <w:lang w:val="en-US" w:eastAsia="es-ES" w:bidi="en-US"/>
        </w:rPr>
        <w:t>order “to facilitate access to the inter-American human rights system by persons who currently lack the resources needed to bring their cases before the system.</w:t>
      </w:r>
      <w:r w:rsidR="009D661E" w:rsidRPr="00AC57EA">
        <w:rPr>
          <w:rFonts w:eastAsia="MS Mincho" w:cs="Verdana"/>
          <w:snapToGrid w:val="0"/>
          <w:sz w:val="20"/>
          <w:szCs w:val="20"/>
          <w:lang w:val="en-US" w:eastAsia="es-ES" w:bidi="en-US"/>
        </w:rPr>
        <w:t>”</w:t>
      </w:r>
      <w:r w:rsidR="009D661E" w:rsidRPr="00AC57EA">
        <w:rPr>
          <w:rFonts w:eastAsia="MS Mincho" w:cs="Verdana"/>
          <w:snapToGrid w:val="0"/>
          <w:sz w:val="20"/>
          <w:szCs w:val="20"/>
          <w:vertAlign w:val="superscript"/>
          <w:lang w:val="en-US" w:eastAsia="es-ES" w:bidi="en-US"/>
        </w:rPr>
        <w:footnoteReference w:id="457"/>
      </w:r>
      <w:r w:rsidR="009D661E" w:rsidRPr="00AC57EA">
        <w:rPr>
          <w:rFonts w:eastAsia="MS Mincho" w:cs="Verdana"/>
          <w:snapToGrid w:val="0"/>
          <w:sz w:val="20"/>
          <w:szCs w:val="20"/>
          <w:lang w:val="en-US" w:eastAsia="es-ES" w:bidi="en-US"/>
        </w:rPr>
        <w:t xml:space="preserve"> </w:t>
      </w:r>
      <w:r w:rsidRPr="00AC57EA">
        <w:rPr>
          <w:rFonts w:eastAsia="MS Mincho" w:cs="Verdana"/>
          <w:snapToGrid w:val="0"/>
          <w:sz w:val="20"/>
          <w:szCs w:val="20"/>
          <w:lang w:val="en-US" w:eastAsia="es-ES" w:bidi="en-US"/>
        </w:rPr>
        <w:t>In th</w:t>
      </w:r>
      <w:r w:rsidR="00D27D90" w:rsidRPr="00AC57EA">
        <w:rPr>
          <w:rFonts w:eastAsia="MS Mincho" w:cs="Verdana"/>
          <w:snapToGrid w:val="0"/>
          <w:sz w:val="20"/>
          <w:szCs w:val="20"/>
          <w:lang w:val="en-US" w:eastAsia="es-ES" w:bidi="en-US"/>
        </w:rPr>
        <w:t>e instant</w:t>
      </w:r>
      <w:r w:rsidRPr="00AC57EA">
        <w:rPr>
          <w:rFonts w:eastAsia="MS Mincho" w:cs="Verdana"/>
          <w:snapToGrid w:val="0"/>
          <w:sz w:val="20"/>
          <w:szCs w:val="20"/>
          <w:lang w:val="en-US" w:eastAsia="es-ES" w:bidi="en-US"/>
        </w:rPr>
        <w:t xml:space="preserve"> case,</w:t>
      </w:r>
      <w:r w:rsidR="00856148" w:rsidRPr="00AC57EA">
        <w:rPr>
          <w:rFonts w:eastAsia="MS Mincho" w:cs="Verdana"/>
          <w:snapToGrid w:val="0"/>
          <w:sz w:val="20"/>
          <w:szCs w:val="20"/>
          <w:lang w:val="en-US" w:eastAsia="es-ES" w:bidi="en-US"/>
        </w:rPr>
        <w:t xml:space="preserve"> </w:t>
      </w:r>
      <w:r w:rsidRPr="00AC57EA">
        <w:rPr>
          <w:rFonts w:eastAsia="MS Mincho" w:cs="Verdana"/>
          <w:snapToGrid w:val="0"/>
          <w:sz w:val="20"/>
          <w:szCs w:val="20"/>
          <w:lang w:val="en-US" w:eastAsia="es-ES" w:bidi="en-US"/>
        </w:rPr>
        <w:t>an</w:t>
      </w:r>
      <w:r w:rsidR="009D661E" w:rsidRPr="00AC57EA">
        <w:rPr>
          <w:rFonts w:eastAsia="MS Mincho" w:cs="Verdana"/>
          <w:snapToGrid w:val="0"/>
          <w:sz w:val="20"/>
          <w:szCs w:val="20"/>
          <w:lang w:val="en-US" w:eastAsia="es-ES" w:bidi="en-US"/>
        </w:rPr>
        <w:t xml:space="preserve"> </w:t>
      </w:r>
      <w:r w:rsidRPr="00AC57EA">
        <w:rPr>
          <w:rFonts w:eastAsia="MS Mincho" w:cs="Verdana"/>
          <w:snapToGrid w:val="0"/>
          <w:sz w:val="20"/>
          <w:szCs w:val="20"/>
          <w:lang w:val="en-US" w:eastAsia="es-ES" w:bidi="en-US"/>
        </w:rPr>
        <w:t>order</w:t>
      </w:r>
      <w:r w:rsidR="00B7258C" w:rsidRPr="00AC57EA">
        <w:rPr>
          <w:rFonts w:eastAsia="MS Mincho" w:cs="Verdana"/>
          <w:snapToGrid w:val="0"/>
          <w:sz w:val="20"/>
          <w:szCs w:val="20"/>
          <w:lang w:val="en-US" w:eastAsia="es-ES" w:bidi="en-US"/>
        </w:rPr>
        <w:t xml:space="preserve"> of the President</w:t>
      </w:r>
      <w:r w:rsidR="009D661E" w:rsidRPr="00AC57EA">
        <w:rPr>
          <w:rFonts w:eastAsia="MS Mincho" w:cs="Verdana"/>
          <w:snapToGrid w:val="0"/>
          <w:sz w:val="20"/>
          <w:szCs w:val="20"/>
          <w:lang w:val="en-US" w:eastAsia="es-ES" w:bidi="en-US"/>
        </w:rPr>
        <w:t xml:space="preserve"> </w:t>
      </w:r>
      <w:r w:rsidRPr="00AC57EA">
        <w:rPr>
          <w:rFonts w:eastAsia="MS Mincho" w:cs="Verdana"/>
          <w:snapToGrid w:val="0"/>
          <w:sz w:val="20"/>
          <w:szCs w:val="20"/>
          <w:lang w:val="en-US" w:eastAsia="es-ES" w:bidi="en-US"/>
        </w:rPr>
        <w:t>of September 21,</w:t>
      </w:r>
      <w:r w:rsidR="009D661E" w:rsidRPr="00AC57EA">
        <w:rPr>
          <w:rFonts w:eastAsia="MS Mincho" w:cs="Verdana"/>
          <w:snapToGrid w:val="0"/>
          <w:sz w:val="20"/>
          <w:szCs w:val="20"/>
          <w:lang w:val="en-US" w:eastAsia="es-ES" w:bidi="en-US"/>
        </w:rPr>
        <w:t xml:space="preserve"> 2017</w:t>
      </w:r>
      <w:r w:rsidRPr="00AC57EA">
        <w:rPr>
          <w:rFonts w:eastAsia="MS Mincho" w:cs="Verdana"/>
          <w:snapToGrid w:val="0"/>
          <w:sz w:val="20"/>
          <w:szCs w:val="20"/>
          <w:lang w:val="en-US" w:eastAsia="es-ES" w:bidi="en-US"/>
        </w:rPr>
        <w:t>,</w:t>
      </w:r>
      <w:r w:rsidR="009D661E" w:rsidRPr="00AC57EA">
        <w:rPr>
          <w:rStyle w:val="Refdenotaalpie"/>
          <w:rFonts w:eastAsia="MS Mincho" w:cs="Verdana"/>
          <w:snapToGrid w:val="0"/>
          <w:sz w:val="20"/>
          <w:szCs w:val="20"/>
          <w:lang w:val="en-US" w:eastAsia="es-ES" w:bidi="en-US"/>
        </w:rPr>
        <w:footnoteReference w:id="458"/>
      </w:r>
      <w:r w:rsidR="00856148" w:rsidRPr="00AC57EA">
        <w:rPr>
          <w:rFonts w:eastAsia="MS Mincho" w:cs="Verdana"/>
          <w:snapToGrid w:val="0"/>
          <w:sz w:val="20"/>
          <w:szCs w:val="20"/>
          <w:lang w:val="en-US" w:eastAsia="es-ES" w:bidi="en-US"/>
        </w:rPr>
        <w:t xml:space="preserve"> granted the financial assistance of the Fund</w:t>
      </w:r>
      <w:r w:rsidR="00463F6D" w:rsidRPr="00AC57EA">
        <w:rPr>
          <w:rFonts w:eastAsia="MS Mincho" w:cs="Verdana"/>
          <w:snapToGrid w:val="0"/>
          <w:sz w:val="20"/>
          <w:szCs w:val="20"/>
          <w:lang w:val="en-US" w:eastAsia="es-ES" w:bidi="en-US"/>
        </w:rPr>
        <w:t xml:space="preserve"> to cover the expenses of: (i) travel, transfers and accommodation </w:t>
      </w:r>
      <w:r w:rsidR="00D27D90" w:rsidRPr="00AC57EA">
        <w:rPr>
          <w:rFonts w:eastAsia="MS Mincho" w:cs="Verdana"/>
          <w:snapToGrid w:val="0"/>
          <w:sz w:val="20"/>
          <w:szCs w:val="20"/>
          <w:lang w:val="en-US" w:eastAsia="es-ES" w:bidi="en-US"/>
        </w:rPr>
        <w:t>so that</w:t>
      </w:r>
      <w:r w:rsidR="00463F6D" w:rsidRPr="00AC57EA">
        <w:rPr>
          <w:rFonts w:eastAsia="MS Mincho" w:cs="Verdana"/>
          <w:snapToGrid w:val="0"/>
          <w:sz w:val="20"/>
          <w:szCs w:val="20"/>
          <w:lang w:val="en-US" w:eastAsia="es-ES" w:bidi="en-US"/>
        </w:rPr>
        <w:t xml:space="preserve"> two inter-American defenders </w:t>
      </w:r>
      <w:r w:rsidR="00D27D90" w:rsidRPr="00AC57EA">
        <w:rPr>
          <w:rFonts w:eastAsia="MS Mincho" w:cs="Verdana"/>
          <w:snapToGrid w:val="0"/>
          <w:sz w:val="20"/>
          <w:szCs w:val="20"/>
          <w:lang w:val="en-US" w:eastAsia="es-ES" w:bidi="en-US"/>
        </w:rPr>
        <w:t>could</w:t>
      </w:r>
      <w:r w:rsidR="00463F6D" w:rsidRPr="00AC57EA">
        <w:rPr>
          <w:rFonts w:eastAsia="MS Mincho" w:cs="Verdana"/>
          <w:snapToGrid w:val="0"/>
          <w:sz w:val="20"/>
          <w:szCs w:val="20"/>
          <w:lang w:val="en-US" w:eastAsia="es-ES" w:bidi="en-US"/>
        </w:rPr>
        <w:t xml:space="preserve"> attend the public hearing and represented the presumed victims; (ii) travel, transfers and accommodation for V.R.P., V.P.C. and </w:t>
      </w:r>
      <w:r w:rsidR="00463F6D" w:rsidRPr="00AC57EA">
        <w:rPr>
          <w:rFonts w:eastAsia="MS Mincho" w:cs="Verdana"/>
          <w:sz w:val="20"/>
          <w:szCs w:val="20"/>
          <w:lang w:val="en-US" w:bidi="en-US"/>
        </w:rPr>
        <w:t>Enrique Oscar Stola to attend this hearing to provide their statements and expert opinion, respectively; (iii) the costs required for the affidavits of N.R.P., H.J.R.P. and V.A.R.P., and (iv) other reasonable and necessary expenses incurred by the inter-American defenders; to this end, they must forward the Court both the justification of such expenses and the respective vouchers.</w:t>
      </w:r>
    </w:p>
    <w:p w14:paraId="21CBFBAB" w14:textId="77777777" w:rsidR="009D661E" w:rsidRPr="00AC57EA" w:rsidRDefault="009D661E" w:rsidP="009D661E">
      <w:pPr>
        <w:tabs>
          <w:tab w:val="left" w:pos="567"/>
        </w:tabs>
        <w:spacing w:line="240" w:lineRule="auto"/>
        <w:textAlignment w:val="auto"/>
        <w:rPr>
          <w:rFonts w:eastAsia="MS Mincho" w:cs="Verdana"/>
          <w:snapToGrid w:val="0"/>
          <w:sz w:val="20"/>
          <w:szCs w:val="20"/>
          <w:lang w:val="en-US" w:eastAsia="es-ES" w:bidi="en-US"/>
        </w:rPr>
      </w:pPr>
    </w:p>
    <w:p w14:paraId="2982A631" w14:textId="6553ECF6" w:rsidR="009D661E" w:rsidRPr="00AC57EA" w:rsidRDefault="00EC52D7" w:rsidP="00463F6D">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rFonts w:cs="Verdana"/>
          <w:snapToGrid w:val="0"/>
          <w:sz w:val="20"/>
          <w:szCs w:val="20"/>
          <w:lang w:val="en-US" w:eastAsia="es-ES"/>
        </w:rPr>
        <w:t>The State</w:t>
      </w:r>
      <w:r w:rsidR="00463F6D" w:rsidRPr="00AC57EA">
        <w:rPr>
          <w:rFonts w:cs="Verdana"/>
          <w:snapToGrid w:val="0"/>
          <w:sz w:val="20"/>
          <w:szCs w:val="20"/>
          <w:lang w:val="en-US" w:eastAsia="es-ES"/>
        </w:rPr>
        <w:t xml:space="preserve"> was able to present its observations on the disbursements made in this case, which amount</w:t>
      </w:r>
      <w:r w:rsidR="008D5D0C" w:rsidRPr="00AC57EA">
        <w:rPr>
          <w:rFonts w:cs="Verdana"/>
          <w:snapToGrid w:val="0"/>
          <w:sz w:val="20"/>
          <w:szCs w:val="20"/>
          <w:lang w:val="en-US" w:eastAsia="es-ES"/>
        </w:rPr>
        <w:t>ed</w:t>
      </w:r>
      <w:r w:rsidR="00463F6D" w:rsidRPr="00AC57EA">
        <w:rPr>
          <w:rFonts w:cs="Verdana"/>
          <w:snapToGrid w:val="0"/>
          <w:sz w:val="20"/>
          <w:szCs w:val="20"/>
          <w:lang w:val="en-US" w:eastAsia="es-ES"/>
        </w:rPr>
        <w:t xml:space="preserve"> to </w:t>
      </w:r>
      <w:r w:rsidR="009D661E" w:rsidRPr="00AC57EA">
        <w:rPr>
          <w:rFonts w:eastAsia="MS Mincho" w:cs="Verdana"/>
          <w:snapToGrid w:val="0"/>
          <w:sz w:val="20"/>
          <w:szCs w:val="20"/>
          <w:lang w:val="en-US" w:eastAsia="es-ES" w:bidi="en-US"/>
        </w:rPr>
        <w:t>US$</w:t>
      </w:r>
      <w:r w:rsidR="00116D6D" w:rsidRPr="00AC57EA">
        <w:rPr>
          <w:rFonts w:eastAsia="MS Mincho" w:cs="Verdana"/>
          <w:snapToGrid w:val="0"/>
          <w:sz w:val="20"/>
          <w:szCs w:val="20"/>
          <w:lang w:val="en-US" w:eastAsia="es-ES" w:bidi="en-US"/>
        </w:rPr>
        <w:t>13</w:t>
      </w:r>
      <w:r w:rsidR="00362365" w:rsidRPr="00AC57EA">
        <w:rPr>
          <w:rFonts w:eastAsia="MS Mincho" w:cs="Verdana"/>
          <w:snapToGrid w:val="0"/>
          <w:sz w:val="20"/>
          <w:szCs w:val="20"/>
          <w:lang w:val="en-US" w:eastAsia="es-ES" w:bidi="en-US"/>
        </w:rPr>
        <w:t>,</w:t>
      </w:r>
      <w:r w:rsidR="00116D6D" w:rsidRPr="00AC57EA">
        <w:rPr>
          <w:rFonts w:eastAsia="MS Mincho" w:cs="Verdana"/>
          <w:snapToGrid w:val="0"/>
          <w:sz w:val="20"/>
          <w:szCs w:val="20"/>
          <w:lang w:val="en-US" w:eastAsia="es-ES" w:bidi="en-US"/>
        </w:rPr>
        <w:t>862</w:t>
      </w:r>
      <w:r w:rsidR="00362365" w:rsidRPr="00AC57EA">
        <w:rPr>
          <w:rFonts w:eastAsia="MS Mincho" w:cs="Verdana"/>
          <w:snapToGrid w:val="0"/>
          <w:sz w:val="20"/>
          <w:szCs w:val="20"/>
          <w:lang w:val="en-US" w:eastAsia="es-ES" w:bidi="en-US"/>
        </w:rPr>
        <w:t>.</w:t>
      </w:r>
      <w:r w:rsidR="00116D6D" w:rsidRPr="00AC57EA">
        <w:rPr>
          <w:rFonts w:eastAsia="MS Mincho" w:cs="Verdana"/>
          <w:snapToGrid w:val="0"/>
          <w:sz w:val="20"/>
          <w:szCs w:val="20"/>
          <w:lang w:val="en-US" w:eastAsia="es-ES" w:bidi="en-US"/>
        </w:rPr>
        <w:t>51</w:t>
      </w:r>
      <w:r w:rsidR="009D661E" w:rsidRPr="00AC57EA">
        <w:rPr>
          <w:rFonts w:eastAsia="MS Mincho" w:cs="Verdana"/>
          <w:snapToGrid w:val="0"/>
          <w:sz w:val="20"/>
          <w:szCs w:val="20"/>
          <w:lang w:val="en-US" w:eastAsia="es-ES" w:bidi="en-US"/>
        </w:rPr>
        <w:t xml:space="preserve"> (</w:t>
      </w:r>
      <w:r w:rsidR="00362365" w:rsidRPr="00AC57EA">
        <w:rPr>
          <w:rFonts w:eastAsia="MS Mincho" w:cs="Verdana"/>
          <w:snapToGrid w:val="0"/>
          <w:sz w:val="20"/>
          <w:szCs w:val="20"/>
          <w:lang w:val="en-US" w:eastAsia="es-ES" w:bidi="en-US"/>
        </w:rPr>
        <w:t xml:space="preserve">thirteen thousand eight hundred and sixty-two </w:t>
      </w:r>
      <w:r w:rsidR="00BB0638" w:rsidRPr="00AC57EA">
        <w:rPr>
          <w:rFonts w:eastAsia="MS Mincho" w:cs="Verdana"/>
          <w:snapToGrid w:val="0"/>
          <w:sz w:val="20"/>
          <w:szCs w:val="20"/>
          <w:lang w:val="en-US" w:eastAsia="es-ES" w:bidi="en-US"/>
        </w:rPr>
        <w:t>United States dollars</w:t>
      </w:r>
      <w:r w:rsidR="00362365" w:rsidRPr="00AC57EA">
        <w:rPr>
          <w:rFonts w:eastAsia="MS Mincho" w:cs="Verdana"/>
          <w:snapToGrid w:val="0"/>
          <w:sz w:val="20"/>
          <w:szCs w:val="20"/>
          <w:lang w:val="en-US" w:eastAsia="es-ES" w:bidi="en-US"/>
        </w:rPr>
        <w:t xml:space="preserve"> and fifty-one cents</w:t>
      </w:r>
      <w:r w:rsidR="009D661E" w:rsidRPr="00AC57EA">
        <w:rPr>
          <w:rFonts w:cs="Verdana"/>
          <w:snapToGrid w:val="0"/>
          <w:sz w:val="20"/>
          <w:szCs w:val="20"/>
          <w:lang w:val="en-US" w:eastAsia="es-ES"/>
        </w:rPr>
        <w:t xml:space="preserve">). </w:t>
      </w:r>
      <w:r w:rsidR="00463F6D" w:rsidRPr="00AC57EA">
        <w:rPr>
          <w:rFonts w:cs="Verdana"/>
          <w:snapToGrid w:val="0"/>
          <w:sz w:val="20"/>
          <w:szCs w:val="20"/>
          <w:lang w:val="en-US" w:eastAsia="es-ES"/>
        </w:rPr>
        <w:t>In its brief of</w:t>
      </w:r>
      <w:r w:rsidR="00362365" w:rsidRPr="00AC57EA">
        <w:rPr>
          <w:rFonts w:cs="Verdana"/>
          <w:snapToGrid w:val="0"/>
          <w:sz w:val="20"/>
          <w:szCs w:val="20"/>
          <w:lang w:val="en-US" w:eastAsia="es-ES"/>
        </w:rPr>
        <w:t xml:space="preserve"> December 21,</w:t>
      </w:r>
      <w:r w:rsidR="009D661E" w:rsidRPr="00AC57EA">
        <w:rPr>
          <w:rFonts w:cs="Verdana"/>
          <w:snapToGrid w:val="0"/>
          <w:sz w:val="20"/>
          <w:szCs w:val="20"/>
          <w:lang w:val="en-US" w:eastAsia="es-ES"/>
        </w:rPr>
        <w:t xml:space="preserve"> 2017</w:t>
      </w:r>
      <w:r w:rsidR="00362365" w:rsidRPr="00AC57EA">
        <w:rPr>
          <w:rFonts w:cs="Verdana"/>
          <w:snapToGrid w:val="0"/>
          <w:sz w:val="20"/>
          <w:szCs w:val="20"/>
          <w:lang w:val="en-US" w:eastAsia="es-ES"/>
        </w:rPr>
        <w:t>,</w:t>
      </w:r>
      <w:r w:rsidR="009D661E" w:rsidRPr="00AC57EA">
        <w:rPr>
          <w:rFonts w:cs="Verdana"/>
          <w:snapToGrid w:val="0"/>
          <w:sz w:val="20"/>
          <w:szCs w:val="20"/>
          <w:lang w:val="en-US" w:eastAsia="es-ES"/>
        </w:rPr>
        <w:t xml:space="preserve"> </w:t>
      </w:r>
      <w:r w:rsidR="00463F6D" w:rsidRPr="00AC57EA">
        <w:rPr>
          <w:rFonts w:cs="Verdana"/>
          <w:snapToGrid w:val="0"/>
          <w:sz w:val="20"/>
          <w:szCs w:val="20"/>
          <w:lang w:val="en-US" w:eastAsia="es-ES"/>
        </w:rPr>
        <w:t xml:space="preserve">the State indicated that, although a calculation table of “per diems” allocated in Panama was attached to the report </w:t>
      </w:r>
      <w:r w:rsidR="008D5D0C" w:rsidRPr="00AC57EA">
        <w:rPr>
          <w:rFonts w:cs="Verdana"/>
          <w:snapToGrid w:val="0"/>
          <w:sz w:val="20"/>
          <w:szCs w:val="20"/>
          <w:lang w:val="en-US" w:eastAsia="es-ES"/>
        </w:rPr>
        <w:t>provided by</w:t>
      </w:r>
      <w:r w:rsidR="00463F6D" w:rsidRPr="00AC57EA">
        <w:rPr>
          <w:rFonts w:cs="Verdana"/>
          <w:snapToGrid w:val="0"/>
          <w:sz w:val="20"/>
          <w:szCs w:val="20"/>
          <w:lang w:val="en-US" w:eastAsia="es-ES"/>
        </w:rPr>
        <w:t xml:space="preserve"> the Court’s Secretariat, the report did not include any account</w:t>
      </w:r>
      <w:r w:rsidR="00403AE0" w:rsidRPr="00AC57EA">
        <w:rPr>
          <w:rFonts w:cs="Verdana"/>
          <w:snapToGrid w:val="0"/>
          <w:sz w:val="20"/>
          <w:szCs w:val="20"/>
          <w:lang w:val="en-US" w:eastAsia="es-ES"/>
        </w:rPr>
        <w:t>ing</w:t>
      </w:r>
      <w:r w:rsidR="00463F6D" w:rsidRPr="00AC57EA">
        <w:rPr>
          <w:rFonts w:cs="Verdana"/>
          <w:snapToGrid w:val="0"/>
          <w:sz w:val="20"/>
          <w:szCs w:val="20"/>
          <w:lang w:val="en-US" w:eastAsia="es-ES"/>
        </w:rPr>
        <w:t xml:space="preserve"> for those amounts by the beneficiaries. The State</w:t>
      </w:r>
      <w:r w:rsidR="00403AE0" w:rsidRPr="00AC57EA">
        <w:rPr>
          <w:rFonts w:cs="Verdana"/>
          <w:snapToGrid w:val="0"/>
          <w:sz w:val="20"/>
          <w:szCs w:val="20"/>
          <w:lang w:val="en-US" w:eastAsia="es-ES"/>
        </w:rPr>
        <w:t xml:space="preserve"> also</w:t>
      </w:r>
      <w:r w:rsidR="00463F6D" w:rsidRPr="00AC57EA">
        <w:rPr>
          <w:rFonts w:cs="Verdana"/>
          <w:snapToGrid w:val="0"/>
          <w:sz w:val="20"/>
          <w:szCs w:val="20"/>
          <w:lang w:val="en-US" w:eastAsia="es-ES"/>
        </w:rPr>
        <w:t xml:space="preserve"> indicated that</w:t>
      </w:r>
      <w:r w:rsidR="00403AE0" w:rsidRPr="00AC57EA">
        <w:rPr>
          <w:rFonts w:cs="Verdana"/>
          <w:snapToGrid w:val="0"/>
          <w:sz w:val="20"/>
          <w:szCs w:val="20"/>
          <w:lang w:val="en-US" w:eastAsia="es-ES"/>
        </w:rPr>
        <w:t xml:space="preserve"> </w:t>
      </w:r>
      <w:r w:rsidR="00463F6D" w:rsidRPr="00AC57EA">
        <w:rPr>
          <w:rFonts w:cs="Verdana"/>
          <w:snapToGrid w:val="0"/>
          <w:sz w:val="20"/>
          <w:szCs w:val="20"/>
          <w:lang w:val="en-US" w:eastAsia="es-ES"/>
        </w:rPr>
        <w:t xml:space="preserve">the report had not been signed or approved by the Court’s accounts section, </w:t>
      </w:r>
      <w:r w:rsidR="00403AE0" w:rsidRPr="00AC57EA">
        <w:rPr>
          <w:rFonts w:cs="Verdana"/>
          <w:snapToGrid w:val="0"/>
          <w:sz w:val="20"/>
          <w:szCs w:val="20"/>
          <w:lang w:val="en-US" w:eastAsia="es-ES"/>
        </w:rPr>
        <w:t>and</w:t>
      </w:r>
      <w:r w:rsidR="00463F6D" w:rsidRPr="00AC57EA">
        <w:rPr>
          <w:rFonts w:cs="Verdana"/>
          <w:snapToGrid w:val="0"/>
          <w:sz w:val="20"/>
          <w:szCs w:val="20"/>
          <w:lang w:val="en-US" w:eastAsia="es-ES"/>
        </w:rPr>
        <w:t xml:space="preserve"> </w:t>
      </w:r>
      <w:r w:rsidR="00403AE0" w:rsidRPr="00AC57EA">
        <w:rPr>
          <w:rFonts w:cs="Verdana"/>
          <w:snapToGrid w:val="0"/>
          <w:sz w:val="20"/>
          <w:szCs w:val="20"/>
          <w:lang w:val="en-US" w:eastAsia="es-ES"/>
        </w:rPr>
        <w:t xml:space="preserve">Nicaragua’s </w:t>
      </w:r>
      <w:r w:rsidR="00463F6D" w:rsidRPr="00AC57EA">
        <w:rPr>
          <w:rFonts w:cs="Verdana"/>
          <w:snapToGrid w:val="0"/>
          <w:sz w:val="20"/>
          <w:szCs w:val="20"/>
          <w:lang w:val="en-US" w:eastAsia="es-ES"/>
        </w:rPr>
        <w:t xml:space="preserve">accounting rules required </w:t>
      </w:r>
      <w:r w:rsidR="00403AE0" w:rsidRPr="00AC57EA">
        <w:rPr>
          <w:rFonts w:cs="Verdana"/>
          <w:snapToGrid w:val="0"/>
          <w:sz w:val="20"/>
          <w:szCs w:val="20"/>
          <w:lang w:val="en-US" w:eastAsia="es-ES"/>
        </w:rPr>
        <w:t>real</w:t>
      </w:r>
      <w:r w:rsidR="00463F6D" w:rsidRPr="00AC57EA">
        <w:rPr>
          <w:rFonts w:cs="Verdana"/>
          <w:snapToGrid w:val="0"/>
          <w:sz w:val="20"/>
          <w:szCs w:val="20"/>
          <w:lang w:val="en-US" w:eastAsia="es-ES"/>
        </w:rPr>
        <w:t xml:space="preserve"> and sufficient evidence to justify the use of funds for this type of activit</w:t>
      </w:r>
      <w:r w:rsidR="00403AE0" w:rsidRPr="00AC57EA">
        <w:rPr>
          <w:rFonts w:cs="Verdana"/>
          <w:snapToGrid w:val="0"/>
          <w:sz w:val="20"/>
          <w:szCs w:val="20"/>
          <w:lang w:val="en-US" w:eastAsia="es-ES"/>
        </w:rPr>
        <w:t>y</w:t>
      </w:r>
      <w:r w:rsidR="00463F6D" w:rsidRPr="00AC57EA">
        <w:rPr>
          <w:rFonts w:cs="Verdana"/>
          <w:snapToGrid w:val="0"/>
          <w:sz w:val="20"/>
          <w:szCs w:val="20"/>
          <w:lang w:val="en-US" w:eastAsia="es-ES"/>
        </w:rPr>
        <w:t>. It therefore indicated that</w:t>
      </w:r>
      <w:r w:rsidR="009F7D2A" w:rsidRPr="00AC57EA">
        <w:rPr>
          <w:rFonts w:cs="Verdana"/>
          <w:snapToGrid w:val="0"/>
          <w:sz w:val="20"/>
          <w:szCs w:val="20"/>
          <w:lang w:val="en-US" w:eastAsia="es-ES"/>
        </w:rPr>
        <w:t>, given the lack of supporting documents, bills or receipts for all the disbursements made by the beneficiaries, the State did not have the probative support to determine the amoun</w:t>
      </w:r>
      <w:r w:rsidR="00403AE0" w:rsidRPr="00AC57EA">
        <w:rPr>
          <w:rFonts w:cs="Verdana"/>
          <w:snapToGrid w:val="0"/>
          <w:sz w:val="20"/>
          <w:szCs w:val="20"/>
          <w:lang w:val="en-US" w:eastAsia="es-ES"/>
        </w:rPr>
        <w:t>ts disbursed</w:t>
      </w:r>
      <w:r w:rsidR="009F7D2A" w:rsidRPr="00AC57EA">
        <w:rPr>
          <w:rFonts w:cs="Verdana"/>
          <w:snapToGrid w:val="0"/>
          <w:sz w:val="20"/>
          <w:szCs w:val="20"/>
          <w:lang w:val="en-US" w:eastAsia="es-ES"/>
        </w:rPr>
        <w:t xml:space="preserve"> and therefore requested that the Court provide supporting documents that justified the use of the funds for food and accommodation, and if there was a balance that had not been used to this end, it should be reimbursed to the</w:t>
      </w:r>
      <w:r w:rsidR="009F7D2A" w:rsidRPr="00AC57EA">
        <w:rPr>
          <w:rFonts w:eastAsia="MS Mincho" w:cs="Verdana"/>
          <w:snapToGrid w:val="0"/>
          <w:sz w:val="20"/>
          <w:szCs w:val="20"/>
          <w:lang w:val="en-US" w:eastAsia="es-ES" w:bidi="en-US"/>
        </w:rPr>
        <w:t xml:space="preserve"> </w:t>
      </w:r>
      <w:r w:rsidR="007E72AE" w:rsidRPr="00AC57EA">
        <w:rPr>
          <w:sz w:val="20"/>
          <w:szCs w:val="20"/>
          <w:lang w:val="en-US"/>
        </w:rPr>
        <w:t>Victims’ Legal Assistance Fund</w:t>
      </w:r>
      <w:r w:rsidR="009D661E" w:rsidRPr="00AC57EA">
        <w:rPr>
          <w:sz w:val="20"/>
          <w:szCs w:val="20"/>
          <w:lang w:val="en-US"/>
        </w:rPr>
        <w:t>.</w:t>
      </w:r>
    </w:p>
    <w:p w14:paraId="142E5BD4" w14:textId="77777777" w:rsidR="009D661E" w:rsidRPr="00AC57EA" w:rsidRDefault="009D661E" w:rsidP="009D661E">
      <w:pPr>
        <w:tabs>
          <w:tab w:val="left" w:pos="567"/>
        </w:tabs>
        <w:spacing w:line="240" w:lineRule="auto"/>
        <w:textAlignment w:val="auto"/>
        <w:rPr>
          <w:rFonts w:eastAsia="MS Mincho" w:cs="Verdana"/>
          <w:snapToGrid w:val="0"/>
          <w:sz w:val="20"/>
          <w:szCs w:val="20"/>
          <w:lang w:val="en-US" w:eastAsia="es-ES" w:bidi="en-US"/>
        </w:rPr>
      </w:pPr>
    </w:p>
    <w:p w14:paraId="6EF47A9A" w14:textId="784A93F9" w:rsidR="009F7D2A" w:rsidRPr="00AC57EA" w:rsidRDefault="009F7D2A" w:rsidP="009D661E">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sz w:val="20"/>
          <w:szCs w:val="20"/>
          <w:lang w:val="en-US"/>
        </w:rPr>
        <w:t>The</w:t>
      </w:r>
      <w:r w:rsidR="00EC52D7" w:rsidRPr="00AC57EA">
        <w:rPr>
          <w:sz w:val="20"/>
          <w:szCs w:val="20"/>
          <w:lang w:val="en-US"/>
        </w:rPr>
        <w:t xml:space="preserve"> State</w:t>
      </w:r>
      <w:r w:rsidR="009D661E" w:rsidRPr="00AC57EA">
        <w:rPr>
          <w:sz w:val="20"/>
          <w:szCs w:val="20"/>
          <w:lang w:val="en-US"/>
        </w:rPr>
        <w:t xml:space="preserve"> al</w:t>
      </w:r>
      <w:r w:rsidRPr="00AC57EA">
        <w:rPr>
          <w:sz w:val="20"/>
          <w:szCs w:val="20"/>
          <w:lang w:val="en-US"/>
        </w:rPr>
        <w:t xml:space="preserve">so alleged that, in the case of the payment of fees to expert </w:t>
      </w:r>
      <w:r w:rsidR="009935FA" w:rsidRPr="00AC57EA">
        <w:rPr>
          <w:sz w:val="20"/>
          <w:szCs w:val="20"/>
          <w:lang w:val="en-US"/>
        </w:rPr>
        <w:t>witness</w:t>
      </w:r>
      <w:r w:rsidR="009D661E" w:rsidRPr="00AC57EA">
        <w:rPr>
          <w:sz w:val="20"/>
          <w:szCs w:val="20"/>
          <w:lang w:val="en-US"/>
        </w:rPr>
        <w:t xml:space="preserve"> Enrique Oscar Stola, </w:t>
      </w:r>
      <w:r w:rsidRPr="00AC57EA">
        <w:rPr>
          <w:sz w:val="20"/>
          <w:szCs w:val="20"/>
          <w:lang w:val="en-US"/>
        </w:rPr>
        <w:t xml:space="preserve">although this was authorized with the signature of the Court’s </w:t>
      </w:r>
      <w:r w:rsidR="00B7258C" w:rsidRPr="00AC57EA">
        <w:rPr>
          <w:sz w:val="20"/>
          <w:szCs w:val="20"/>
          <w:lang w:val="en-US"/>
        </w:rPr>
        <w:t>Secretary</w:t>
      </w:r>
      <w:r w:rsidR="009D661E" w:rsidRPr="00AC57EA">
        <w:rPr>
          <w:sz w:val="20"/>
          <w:szCs w:val="20"/>
          <w:lang w:val="en-US"/>
        </w:rPr>
        <w:t>,</w:t>
      </w:r>
      <w:r w:rsidRPr="00AC57EA">
        <w:rPr>
          <w:sz w:val="20"/>
          <w:szCs w:val="20"/>
          <w:lang w:val="en-US"/>
        </w:rPr>
        <w:t xml:space="preserve"> this payment was not authorized pursuant to a</w:t>
      </w:r>
      <w:r w:rsidR="00B7258C" w:rsidRPr="00AC57EA">
        <w:rPr>
          <w:sz w:val="20"/>
          <w:szCs w:val="20"/>
          <w:lang w:val="en-US"/>
        </w:rPr>
        <w:t>rticle</w:t>
      </w:r>
      <w:r w:rsidR="009D661E" w:rsidRPr="00AC57EA">
        <w:rPr>
          <w:sz w:val="20"/>
          <w:szCs w:val="20"/>
          <w:lang w:val="en-US"/>
        </w:rPr>
        <w:t xml:space="preserve"> 4</w:t>
      </w:r>
      <w:r w:rsidR="00B7258C" w:rsidRPr="00AC57EA">
        <w:rPr>
          <w:sz w:val="20"/>
          <w:szCs w:val="20"/>
          <w:lang w:val="en-US"/>
        </w:rPr>
        <w:t xml:space="preserve"> of the Rules</w:t>
      </w:r>
      <w:r w:rsidR="00403AE0" w:rsidRPr="00AC57EA">
        <w:rPr>
          <w:sz w:val="20"/>
          <w:szCs w:val="20"/>
          <w:lang w:val="en-US"/>
        </w:rPr>
        <w:t xml:space="preserve"> for the Operation of </w:t>
      </w:r>
      <w:r w:rsidR="009E569E" w:rsidRPr="00AC57EA">
        <w:rPr>
          <w:sz w:val="20"/>
          <w:szCs w:val="20"/>
          <w:lang w:val="en-US"/>
        </w:rPr>
        <w:t xml:space="preserve">the </w:t>
      </w:r>
      <w:r w:rsidRPr="00AC57EA">
        <w:rPr>
          <w:sz w:val="20"/>
          <w:szCs w:val="20"/>
          <w:lang w:val="en-US"/>
        </w:rPr>
        <w:t xml:space="preserve">Victim’s Legal </w:t>
      </w:r>
      <w:r w:rsidR="00171E27" w:rsidRPr="00AC57EA">
        <w:rPr>
          <w:sz w:val="20"/>
          <w:szCs w:val="20"/>
          <w:lang w:val="en-US"/>
        </w:rPr>
        <w:t>Assistance Fund</w:t>
      </w:r>
      <w:r w:rsidR="009D661E" w:rsidRPr="00AC57EA">
        <w:rPr>
          <w:sz w:val="20"/>
          <w:szCs w:val="20"/>
          <w:lang w:val="en-US"/>
        </w:rPr>
        <w:t xml:space="preserve"> </w:t>
      </w:r>
      <w:r w:rsidRPr="00AC57EA">
        <w:rPr>
          <w:sz w:val="20"/>
          <w:szCs w:val="20"/>
          <w:lang w:val="en-US"/>
        </w:rPr>
        <w:t>or</w:t>
      </w:r>
      <w:r w:rsidR="009D661E" w:rsidRPr="00AC57EA">
        <w:rPr>
          <w:sz w:val="20"/>
          <w:szCs w:val="20"/>
          <w:lang w:val="en-US"/>
        </w:rPr>
        <w:t xml:space="preserve"> </w:t>
      </w:r>
      <w:r w:rsidR="005A2722" w:rsidRPr="00AC57EA">
        <w:rPr>
          <w:sz w:val="20"/>
          <w:szCs w:val="20"/>
          <w:lang w:val="en-US"/>
        </w:rPr>
        <w:t>paragraphs</w:t>
      </w:r>
      <w:r w:rsidR="009D661E" w:rsidRPr="00AC57EA">
        <w:rPr>
          <w:sz w:val="20"/>
          <w:szCs w:val="20"/>
          <w:lang w:val="en-US"/>
        </w:rPr>
        <w:t xml:space="preserve"> 43 </w:t>
      </w:r>
      <w:r w:rsidRPr="00AC57EA">
        <w:rPr>
          <w:sz w:val="20"/>
          <w:szCs w:val="20"/>
          <w:lang w:val="en-US"/>
        </w:rPr>
        <w:t>to</w:t>
      </w:r>
      <w:r w:rsidR="009D661E" w:rsidRPr="00AC57EA">
        <w:rPr>
          <w:sz w:val="20"/>
          <w:szCs w:val="20"/>
          <w:lang w:val="en-US"/>
        </w:rPr>
        <w:t xml:space="preserve"> 46 </w:t>
      </w:r>
      <w:r w:rsidRPr="00AC57EA">
        <w:rPr>
          <w:sz w:val="20"/>
          <w:szCs w:val="20"/>
          <w:lang w:val="en-US"/>
        </w:rPr>
        <w:t>of the order</w:t>
      </w:r>
      <w:r w:rsidR="00B7258C" w:rsidRPr="00AC57EA">
        <w:rPr>
          <w:sz w:val="20"/>
          <w:szCs w:val="20"/>
          <w:lang w:val="en-US"/>
        </w:rPr>
        <w:t xml:space="preserve"> of the President</w:t>
      </w:r>
      <w:r w:rsidR="009D661E" w:rsidRPr="00AC57EA">
        <w:rPr>
          <w:sz w:val="20"/>
          <w:szCs w:val="20"/>
          <w:lang w:val="en-US"/>
        </w:rPr>
        <w:t xml:space="preserve"> </w:t>
      </w:r>
      <w:r w:rsidRPr="00AC57EA">
        <w:rPr>
          <w:sz w:val="20"/>
          <w:szCs w:val="20"/>
          <w:lang w:val="en-US"/>
        </w:rPr>
        <w:t>of September 21,</w:t>
      </w:r>
      <w:r w:rsidR="009D661E" w:rsidRPr="00AC57EA">
        <w:rPr>
          <w:sz w:val="20"/>
          <w:szCs w:val="20"/>
          <w:lang w:val="en-US"/>
        </w:rPr>
        <w:t xml:space="preserve"> 2017. </w:t>
      </w:r>
      <w:r w:rsidR="00EC52D7" w:rsidRPr="00AC57EA">
        <w:rPr>
          <w:sz w:val="20"/>
          <w:szCs w:val="20"/>
          <w:lang w:val="en-US"/>
        </w:rPr>
        <w:t>The State</w:t>
      </w:r>
      <w:r w:rsidR="009D661E" w:rsidRPr="00AC57EA">
        <w:rPr>
          <w:sz w:val="20"/>
          <w:szCs w:val="20"/>
          <w:lang w:val="en-US"/>
        </w:rPr>
        <w:t xml:space="preserve"> </w:t>
      </w:r>
      <w:r w:rsidRPr="00AC57EA">
        <w:rPr>
          <w:sz w:val="20"/>
          <w:szCs w:val="20"/>
          <w:lang w:val="en-US"/>
        </w:rPr>
        <w:t>indicated that, in no paragraph of this order had</w:t>
      </w:r>
      <w:r w:rsidR="009D661E" w:rsidRPr="00AC57EA">
        <w:rPr>
          <w:sz w:val="20"/>
          <w:szCs w:val="20"/>
          <w:lang w:val="en-US"/>
        </w:rPr>
        <w:t xml:space="preserve"> </w:t>
      </w:r>
      <w:r w:rsidR="00B7258C" w:rsidRPr="00AC57EA">
        <w:rPr>
          <w:sz w:val="20"/>
          <w:szCs w:val="20"/>
          <w:lang w:val="en-US"/>
        </w:rPr>
        <w:t>the President</w:t>
      </w:r>
      <w:r w:rsidR="009D661E" w:rsidRPr="00AC57EA">
        <w:rPr>
          <w:sz w:val="20"/>
          <w:szCs w:val="20"/>
          <w:lang w:val="en-US"/>
        </w:rPr>
        <w:t xml:space="preserve"> </w:t>
      </w:r>
      <w:r w:rsidRPr="00AC57EA">
        <w:rPr>
          <w:sz w:val="20"/>
          <w:szCs w:val="20"/>
          <w:lang w:val="en-US"/>
        </w:rPr>
        <w:t xml:space="preserve">established </w:t>
      </w:r>
      <w:r w:rsidR="00403AE0" w:rsidRPr="00AC57EA">
        <w:rPr>
          <w:sz w:val="20"/>
          <w:szCs w:val="20"/>
          <w:lang w:val="en-US"/>
        </w:rPr>
        <w:t xml:space="preserve">the </w:t>
      </w:r>
      <w:r w:rsidRPr="00AC57EA">
        <w:rPr>
          <w:sz w:val="20"/>
          <w:szCs w:val="20"/>
          <w:lang w:val="en-US"/>
        </w:rPr>
        <w:t xml:space="preserve">payment </w:t>
      </w:r>
      <w:r w:rsidR="00403AE0" w:rsidRPr="00AC57EA">
        <w:rPr>
          <w:sz w:val="20"/>
          <w:szCs w:val="20"/>
          <w:lang w:val="en-US"/>
        </w:rPr>
        <w:t>of</w:t>
      </w:r>
      <w:r w:rsidRPr="00AC57EA">
        <w:rPr>
          <w:sz w:val="20"/>
          <w:szCs w:val="20"/>
          <w:lang w:val="en-US"/>
        </w:rPr>
        <w:t xml:space="preserve"> fees for the said expert witness. </w:t>
      </w:r>
      <w:r w:rsidR="00403AE0" w:rsidRPr="00AC57EA">
        <w:rPr>
          <w:sz w:val="20"/>
          <w:szCs w:val="20"/>
          <w:lang w:val="en-US"/>
        </w:rPr>
        <w:t>Furthermore,</w:t>
      </w:r>
      <w:r w:rsidRPr="00AC57EA">
        <w:rPr>
          <w:sz w:val="20"/>
          <w:szCs w:val="20"/>
          <w:lang w:val="en-US"/>
        </w:rPr>
        <w:t xml:space="preserve"> it indicated that, pursuant to article 4 of the said Rules, disbursements from the Fund should be made in accordance with the parameters authorized by the President, which had not occurred in this case. Therefore, the State indicated that it could not and should not pay this disbursement which amounted to more than five thousand dollars.</w:t>
      </w:r>
    </w:p>
    <w:p w14:paraId="0A7520E8" w14:textId="77777777" w:rsidR="009D661E" w:rsidRPr="00AC57EA" w:rsidRDefault="009D661E" w:rsidP="009D661E">
      <w:pPr>
        <w:autoSpaceDE w:val="0"/>
        <w:autoSpaceDN w:val="0"/>
        <w:spacing w:line="240" w:lineRule="auto"/>
        <w:rPr>
          <w:sz w:val="20"/>
          <w:szCs w:val="20"/>
          <w:lang w:val="en-US"/>
        </w:rPr>
      </w:pPr>
    </w:p>
    <w:p w14:paraId="4A7C18E1" w14:textId="05D065AE" w:rsidR="009D661E" w:rsidRPr="00AC57EA" w:rsidRDefault="009F7D2A" w:rsidP="00B522B1">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rFonts w:eastAsia="MS Mincho"/>
          <w:sz w:val="20"/>
          <w:szCs w:val="20"/>
          <w:lang w:val="en-US"/>
        </w:rPr>
        <w:t>Regarding the State’s objections to the lack of documentation to substanti</w:t>
      </w:r>
      <w:r w:rsidR="00B522B1" w:rsidRPr="00AC57EA">
        <w:rPr>
          <w:rFonts w:eastAsia="MS Mincho"/>
          <w:sz w:val="20"/>
          <w:szCs w:val="20"/>
          <w:lang w:val="en-US"/>
        </w:rPr>
        <w:t>a</w:t>
      </w:r>
      <w:r w:rsidRPr="00AC57EA">
        <w:rPr>
          <w:rFonts w:eastAsia="MS Mincho"/>
          <w:sz w:val="20"/>
          <w:szCs w:val="20"/>
          <w:lang w:val="en-US"/>
        </w:rPr>
        <w:t>te the amounts disbursed for per diems and transportation expenses</w:t>
      </w:r>
      <w:r w:rsidR="00B522B1" w:rsidRPr="00AC57EA">
        <w:rPr>
          <w:rFonts w:eastAsia="MS Mincho"/>
          <w:sz w:val="20"/>
          <w:szCs w:val="20"/>
          <w:lang w:val="en-US"/>
        </w:rPr>
        <w:t xml:space="preserve">, the Court recalls that, according to article 6 of the Court’s Rules for the Operation of the Victims’ Legal Assistance Fund, “the Court shall decide matters not governed by the Rules and questions regarding their interpretation.” In this regard, since the Assistance Fund </w:t>
      </w:r>
      <w:r w:rsidR="00403AE0" w:rsidRPr="00AC57EA">
        <w:rPr>
          <w:rFonts w:eastAsia="MS Mincho"/>
          <w:sz w:val="20"/>
          <w:szCs w:val="20"/>
          <w:lang w:val="en-US"/>
        </w:rPr>
        <w:t>came into operation</w:t>
      </w:r>
      <w:r w:rsidR="00B522B1" w:rsidRPr="00AC57EA">
        <w:rPr>
          <w:rFonts w:eastAsia="MS Mincho"/>
          <w:sz w:val="20"/>
          <w:szCs w:val="20"/>
          <w:lang w:val="en-US"/>
        </w:rPr>
        <w:t>,</w:t>
      </w:r>
      <w:r w:rsidR="009D661E" w:rsidRPr="00AC57EA">
        <w:rPr>
          <w:rStyle w:val="Refdenotaalpie"/>
          <w:rFonts w:eastAsia="MS Mincho"/>
          <w:sz w:val="20"/>
          <w:szCs w:val="20"/>
          <w:lang w:val="en-US"/>
        </w:rPr>
        <w:footnoteReference w:id="459"/>
      </w:r>
      <w:r w:rsidR="00B522B1" w:rsidRPr="00AC57EA">
        <w:rPr>
          <w:rFonts w:eastAsia="MS Mincho"/>
          <w:sz w:val="20"/>
          <w:szCs w:val="20"/>
          <w:lang w:val="en-US"/>
        </w:rPr>
        <w:t xml:space="preserve"> </w:t>
      </w:r>
      <w:r w:rsidR="00403AE0" w:rsidRPr="00AC57EA">
        <w:rPr>
          <w:rFonts w:eastAsia="MS Mincho"/>
          <w:sz w:val="20"/>
          <w:szCs w:val="20"/>
          <w:lang w:val="en-US"/>
        </w:rPr>
        <w:t>the</w:t>
      </w:r>
      <w:r w:rsidR="00B522B1" w:rsidRPr="00AC57EA">
        <w:rPr>
          <w:rFonts w:eastAsia="MS Mincho"/>
          <w:sz w:val="20"/>
          <w:szCs w:val="20"/>
          <w:lang w:val="en-US"/>
        </w:rPr>
        <w:t xml:space="preserve"> Court has established as a policy that it accords the persons </w:t>
      </w:r>
      <w:r w:rsidR="00403AE0" w:rsidRPr="00AC57EA">
        <w:rPr>
          <w:rFonts w:eastAsia="MS Mincho"/>
          <w:sz w:val="20"/>
          <w:szCs w:val="20"/>
          <w:lang w:val="en-US"/>
        </w:rPr>
        <w:t xml:space="preserve">whose expenses are </w:t>
      </w:r>
      <w:r w:rsidR="00B522B1" w:rsidRPr="00AC57EA">
        <w:rPr>
          <w:rFonts w:eastAsia="MS Mincho"/>
          <w:sz w:val="20"/>
          <w:szCs w:val="20"/>
          <w:lang w:val="en-US"/>
        </w:rPr>
        <w:t>covered by</w:t>
      </w:r>
      <w:r w:rsidR="00403AE0" w:rsidRPr="00AC57EA">
        <w:rPr>
          <w:rFonts w:eastAsia="MS Mincho"/>
          <w:sz w:val="20"/>
          <w:szCs w:val="20"/>
          <w:lang w:val="en-US"/>
        </w:rPr>
        <w:t xml:space="preserve"> the Fund </w:t>
      </w:r>
      <w:r w:rsidR="00B522B1" w:rsidRPr="00AC57EA">
        <w:rPr>
          <w:rFonts w:eastAsia="MS Mincho"/>
          <w:sz w:val="20"/>
          <w:szCs w:val="20"/>
          <w:lang w:val="en-US"/>
        </w:rPr>
        <w:t xml:space="preserve">a fixed amount for a per diem, which includes accommodation and food, based on the OAS table of per diems in force </w:t>
      </w:r>
      <w:r w:rsidR="00A30C8C" w:rsidRPr="00AC57EA">
        <w:rPr>
          <w:rFonts w:eastAsia="MS Mincho"/>
          <w:sz w:val="20"/>
          <w:szCs w:val="20"/>
          <w:lang w:val="en-US"/>
        </w:rPr>
        <w:t xml:space="preserve">(in this case </w:t>
      </w:r>
      <w:r w:rsidR="00B522B1" w:rsidRPr="00AC57EA">
        <w:rPr>
          <w:rFonts w:eastAsia="MS Mincho"/>
          <w:sz w:val="20"/>
          <w:szCs w:val="20"/>
          <w:lang w:val="en-US"/>
        </w:rPr>
        <w:t>applicable to Panama City, Republic of Panama</w:t>
      </w:r>
      <w:r w:rsidR="00A30C8C" w:rsidRPr="00AC57EA">
        <w:rPr>
          <w:rFonts w:eastAsia="MS Mincho"/>
          <w:sz w:val="20"/>
          <w:szCs w:val="20"/>
          <w:lang w:val="en-US"/>
        </w:rPr>
        <w:t>)</w:t>
      </w:r>
      <w:r w:rsidR="00B522B1" w:rsidRPr="00AC57EA">
        <w:rPr>
          <w:rFonts w:eastAsia="MS Mincho"/>
          <w:sz w:val="20"/>
          <w:szCs w:val="20"/>
          <w:lang w:val="en-US"/>
        </w:rPr>
        <w:t xml:space="preserve">, without the need for them to present invoices proving the disbursements made. This is because the said table reflects the amount that, according to the OAS, </w:t>
      </w:r>
      <w:r w:rsidR="00A30C8C" w:rsidRPr="00AC57EA">
        <w:rPr>
          <w:rFonts w:eastAsia="MS Mincho"/>
          <w:sz w:val="20"/>
          <w:szCs w:val="20"/>
          <w:lang w:val="en-US"/>
        </w:rPr>
        <w:t xml:space="preserve">a person </w:t>
      </w:r>
      <w:r w:rsidR="00B522B1" w:rsidRPr="00AC57EA">
        <w:rPr>
          <w:rFonts w:eastAsia="MS Mincho"/>
          <w:sz w:val="20"/>
          <w:szCs w:val="20"/>
          <w:lang w:val="en-US"/>
        </w:rPr>
        <w:t xml:space="preserve">will reasonably </w:t>
      </w:r>
      <w:r w:rsidR="00A30C8C" w:rsidRPr="00AC57EA">
        <w:rPr>
          <w:rFonts w:eastAsia="MS Mincho"/>
          <w:sz w:val="20"/>
          <w:szCs w:val="20"/>
          <w:lang w:val="en-US"/>
        </w:rPr>
        <w:t>spend</w:t>
      </w:r>
      <w:r w:rsidR="00B522B1" w:rsidRPr="00AC57EA">
        <w:rPr>
          <w:rFonts w:eastAsia="MS Mincho"/>
          <w:sz w:val="20"/>
          <w:szCs w:val="20"/>
          <w:lang w:val="en-US"/>
        </w:rPr>
        <w:t xml:space="preserve"> on accommodation and food in that city. </w:t>
      </w:r>
      <w:r w:rsidR="00A30C8C" w:rsidRPr="00AC57EA">
        <w:rPr>
          <w:rFonts w:eastAsia="MS Mincho"/>
          <w:sz w:val="20"/>
          <w:szCs w:val="20"/>
          <w:lang w:val="en-US"/>
        </w:rPr>
        <w:t>Moreover</w:t>
      </w:r>
      <w:r w:rsidR="00B522B1" w:rsidRPr="00AC57EA">
        <w:rPr>
          <w:rFonts w:eastAsia="MS Mincho"/>
          <w:sz w:val="20"/>
          <w:szCs w:val="20"/>
          <w:lang w:val="en-US"/>
        </w:rPr>
        <w:t xml:space="preserve">, requiring invoices from the beneficiaries of the </w:t>
      </w:r>
      <w:r w:rsidR="00171E27" w:rsidRPr="00AC57EA">
        <w:rPr>
          <w:rFonts w:eastAsia="MS Mincho"/>
          <w:sz w:val="20"/>
          <w:szCs w:val="20"/>
          <w:lang w:val="en-US"/>
        </w:rPr>
        <w:t>Assistance Fund</w:t>
      </w:r>
      <w:r w:rsidR="009D661E" w:rsidRPr="00AC57EA">
        <w:rPr>
          <w:rFonts w:eastAsia="MS Mincho"/>
          <w:sz w:val="20"/>
          <w:szCs w:val="20"/>
          <w:lang w:val="en-US"/>
        </w:rPr>
        <w:t xml:space="preserve"> </w:t>
      </w:r>
      <w:r w:rsidR="00B522B1" w:rsidRPr="00AC57EA">
        <w:rPr>
          <w:rFonts w:eastAsia="MS Mincho"/>
          <w:sz w:val="20"/>
          <w:szCs w:val="20"/>
          <w:lang w:val="en-US"/>
        </w:rPr>
        <w:t xml:space="preserve">for the per diem funds they receive would present serious obstacles to their correct and expeditious administration. </w:t>
      </w:r>
      <w:r w:rsidR="00A30C8C" w:rsidRPr="00AC57EA">
        <w:rPr>
          <w:rFonts w:eastAsia="MS Mincho"/>
          <w:sz w:val="20"/>
          <w:szCs w:val="20"/>
          <w:lang w:val="en-US"/>
        </w:rPr>
        <w:t>For this</w:t>
      </w:r>
      <w:r w:rsidR="00B522B1" w:rsidRPr="00AC57EA">
        <w:rPr>
          <w:rFonts w:eastAsia="MS Mincho"/>
          <w:sz w:val="20"/>
          <w:szCs w:val="20"/>
          <w:lang w:val="en-US"/>
        </w:rPr>
        <w:t xml:space="preserve"> reason </w:t>
      </w:r>
      <w:r w:rsidR="00A30C8C" w:rsidRPr="00AC57EA">
        <w:rPr>
          <w:rFonts w:eastAsia="MS Mincho"/>
          <w:sz w:val="20"/>
          <w:szCs w:val="20"/>
          <w:lang w:val="en-US"/>
        </w:rPr>
        <w:t>also</w:t>
      </w:r>
      <w:r w:rsidR="00B522B1" w:rsidRPr="00AC57EA">
        <w:rPr>
          <w:rFonts w:eastAsia="MS Mincho"/>
          <w:sz w:val="20"/>
          <w:szCs w:val="20"/>
          <w:lang w:val="en-US"/>
        </w:rPr>
        <w:t>, in the case of terminal expenses – that is, expenses for transport</w:t>
      </w:r>
      <w:r w:rsidR="008D5D0C" w:rsidRPr="00AC57EA">
        <w:rPr>
          <w:rFonts w:eastAsia="MS Mincho"/>
          <w:sz w:val="20"/>
          <w:szCs w:val="20"/>
          <w:lang w:val="en-US"/>
        </w:rPr>
        <w:t>ation</w:t>
      </w:r>
      <w:r w:rsidR="00B522B1" w:rsidRPr="00AC57EA">
        <w:rPr>
          <w:rFonts w:eastAsia="MS Mincho"/>
          <w:sz w:val="20"/>
          <w:szCs w:val="20"/>
          <w:lang w:val="en-US"/>
        </w:rPr>
        <w:t xml:space="preserve"> to and from the airport and other incidental expenses</w:t>
      </w:r>
      <w:r w:rsidR="00A30C8C" w:rsidRPr="00AC57EA">
        <w:rPr>
          <w:rFonts w:eastAsia="MS Mincho"/>
          <w:sz w:val="20"/>
          <w:szCs w:val="20"/>
          <w:lang w:val="en-US"/>
        </w:rPr>
        <w:t xml:space="preserve"> – the</w:t>
      </w:r>
      <w:r w:rsidR="00403AE0" w:rsidRPr="00AC57EA">
        <w:rPr>
          <w:rFonts w:eastAsia="MS Mincho"/>
          <w:sz w:val="20"/>
          <w:szCs w:val="20"/>
          <w:lang w:val="en-US"/>
        </w:rPr>
        <w:t xml:space="preserve"> Court only </w:t>
      </w:r>
      <w:r w:rsidR="00A30C8C" w:rsidRPr="00AC57EA">
        <w:rPr>
          <w:rFonts w:eastAsia="MS Mincho"/>
          <w:sz w:val="20"/>
          <w:szCs w:val="20"/>
          <w:lang w:val="en-US"/>
        </w:rPr>
        <w:t>verifies</w:t>
      </w:r>
      <w:r w:rsidR="00403AE0" w:rsidRPr="00AC57EA">
        <w:rPr>
          <w:rFonts w:eastAsia="MS Mincho"/>
          <w:sz w:val="20"/>
          <w:szCs w:val="20"/>
          <w:lang w:val="en-US"/>
        </w:rPr>
        <w:t xml:space="preserve"> the expenses incurred from the point of origin to the place where the hearing will be held, considering it reasonable that the</w:t>
      </w:r>
      <w:r w:rsidR="00A30C8C" w:rsidRPr="00AC57EA">
        <w:rPr>
          <w:rFonts w:eastAsia="MS Mincho"/>
          <w:sz w:val="20"/>
          <w:szCs w:val="20"/>
          <w:lang w:val="en-US"/>
        </w:rPr>
        <w:t xml:space="preserve"> person concerned will spend the</w:t>
      </w:r>
      <w:r w:rsidR="00403AE0" w:rsidRPr="00AC57EA">
        <w:rPr>
          <w:rFonts w:eastAsia="MS Mincho"/>
          <w:sz w:val="20"/>
          <w:szCs w:val="20"/>
          <w:lang w:val="en-US"/>
        </w:rPr>
        <w:t xml:space="preserve"> same amount on the return journey. Therefore, the Court rejects the State’s objections.</w:t>
      </w:r>
      <w:r w:rsidR="009D661E" w:rsidRPr="00AC57EA">
        <w:rPr>
          <w:rStyle w:val="Refdenotaalpie"/>
          <w:rFonts w:eastAsia="MS Mincho"/>
          <w:sz w:val="20"/>
          <w:szCs w:val="20"/>
          <w:lang w:val="en-US"/>
        </w:rPr>
        <w:footnoteReference w:id="460"/>
      </w:r>
    </w:p>
    <w:p w14:paraId="15D35D36" w14:textId="77777777" w:rsidR="009D661E" w:rsidRPr="00AC57EA" w:rsidRDefault="009D661E" w:rsidP="009D661E">
      <w:pPr>
        <w:tabs>
          <w:tab w:val="left" w:pos="567"/>
        </w:tabs>
        <w:spacing w:line="240" w:lineRule="auto"/>
        <w:textAlignment w:val="auto"/>
        <w:rPr>
          <w:rFonts w:eastAsia="MS Mincho" w:cs="Verdana"/>
          <w:snapToGrid w:val="0"/>
          <w:sz w:val="20"/>
          <w:szCs w:val="20"/>
          <w:lang w:val="en-US" w:eastAsia="es-ES" w:bidi="en-US"/>
        </w:rPr>
      </w:pPr>
    </w:p>
    <w:p w14:paraId="055E65A3" w14:textId="0ABBE949" w:rsidR="00A30C8C" w:rsidRPr="00AC57EA" w:rsidRDefault="00A30C8C" w:rsidP="00A30C8C">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rFonts w:eastAsia="MS Mincho"/>
          <w:sz w:val="20"/>
          <w:szCs w:val="20"/>
          <w:lang w:val="en-US"/>
        </w:rPr>
        <w:t xml:space="preserve">Regarding the State’s objections to the payment of </w:t>
      </w:r>
      <w:r w:rsidR="008D5D0C" w:rsidRPr="00AC57EA">
        <w:rPr>
          <w:rFonts w:eastAsia="MS Mincho"/>
          <w:sz w:val="20"/>
          <w:szCs w:val="20"/>
          <w:lang w:val="en-US"/>
        </w:rPr>
        <w:t xml:space="preserve">the </w:t>
      </w:r>
      <w:r w:rsidRPr="00AC57EA">
        <w:rPr>
          <w:rFonts w:eastAsia="MS Mincho"/>
          <w:sz w:val="20"/>
          <w:szCs w:val="20"/>
          <w:lang w:val="en-US"/>
        </w:rPr>
        <w:t xml:space="preserve">fees of </w:t>
      </w:r>
      <w:r w:rsidR="009935FA" w:rsidRPr="00AC57EA">
        <w:rPr>
          <w:rFonts w:eastAsia="MS Mincho"/>
          <w:sz w:val="20"/>
          <w:szCs w:val="20"/>
          <w:lang w:val="en-US"/>
        </w:rPr>
        <w:t>expert witness</w:t>
      </w:r>
      <w:r w:rsidR="009D661E" w:rsidRPr="00AC57EA">
        <w:rPr>
          <w:rFonts w:eastAsia="MS Mincho"/>
          <w:sz w:val="20"/>
          <w:szCs w:val="20"/>
          <w:lang w:val="en-US"/>
        </w:rPr>
        <w:t xml:space="preserve"> Enrique Oscar Stola, </w:t>
      </w:r>
      <w:r w:rsidR="00B7258C" w:rsidRPr="00AC57EA">
        <w:rPr>
          <w:rFonts w:eastAsia="MS Mincho"/>
          <w:sz w:val="20"/>
          <w:szCs w:val="20"/>
          <w:lang w:val="en-US"/>
        </w:rPr>
        <w:t>the Court</w:t>
      </w:r>
      <w:r w:rsidR="009D661E" w:rsidRPr="00AC57EA">
        <w:rPr>
          <w:rFonts w:eastAsia="MS Mincho"/>
          <w:sz w:val="20"/>
          <w:szCs w:val="20"/>
          <w:lang w:val="en-US"/>
        </w:rPr>
        <w:t xml:space="preserve"> </w:t>
      </w:r>
      <w:r w:rsidRPr="00AC57EA">
        <w:rPr>
          <w:rFonts w:eastAsia="MS Mincho"/>
          <w:sz w:val="20"/>
          <w:szCs w:val="20"/>
          <w:lang w:val="en-US"/>
        </w:rPr>
        <w:t>underlines that, according to paragraph 42 of the order</w:t>
      </w:r>
      <w:r w:rsidR="00B7258C" w:rsidRPr="00AC57EA">
        <w:rPr>
          <w:rFonts w:eastAsia="MS Mincho"/>
          <w:sz w:val="20"/>
          <w:szCs w:val="20"/>
          <w:lang w:val="en-US"/>
        </w:rPr>
        <w:t xml:space="preserve"> of the President</w:t>
      </w:r>
      <w:r w:rsidR="009D661E" w:rsidRPr="00AC57EA">
        <w:rPr>
          <w:rFonts w:eastAsia="MS Mincho"/>
          <w:sz w:val="20"/>
          <w:szCs w:val="20"/>
          <w:lang w:val="en-US"/>
        </w:rPr>
        <w:t xml:space="preserve"> </w:t>
      </w:r>
      <w:r w:rsidRPr="00AC57EA">
        <w:rPr>
          <w:rFonts w:eastAsia="MS Mincho"/>
          <w:sz w:val="20"/>
          <w:szCs w:val="20"/>
          <w:lang w:val="en-US"/>
        </w:rPr>
        <w:t>of September 21,</w:t>
      </w:r>
      <w:r w:rsidR="009D661E" w:rsidRPr="00AC57EA">
        <w:rPr>
          <w:rFonts w:eastAsia="MS Mincho"/>
          <w:sz w:val="20"/>
          <w:szCs w:val="20"/>
          <w:lang w:val="en-US"/>
        </w:rPr>
        <w:t xml:space="preserve"> 2017</w:t>
      </w:r>
      <w:r w:rsidR="00C95AD2" w:rsidRPr="00AC57EA">
        <w:rPr>
          <w:rFonts w:eastAsia="MS Mincho"/>
          <w:sz w:val="20"/>
          <w:szCs w:val="20"/>
          <w:lang w:val="en-US"/>
        </w:rPr>
        <w:t>,</w:t>
      </w:r>
      <w:r w:rsidR="009D661E" w:rsidRPr="00AC57EA">
        <w:rPr>
          <w:rFonts w:eastAsia="MS Mincho"/>
          <w:sz w:val="20"/>
          <w:szCs w:val="20"/>
          <w:lang w:val="en-US"/>
        </w:rPr>
        <w:t xml:space="preserve"> </w:t>
      </w:r>
      <w:r w:rsidR="009D661E" w:rsidRPr="00AC57EA">
        <w:rPr>
          <w:rFonts w:eastAsia="MS Mincho" w:cs="Verdana"/>
          <w:snapToGrid w:val="0"/>
          <w:sz w:val="20"/>
          <w:szCs w:val="20"/>
          <w:lang w:val="en-US" w:eastAsia="es-ES" w:bidi="en-US"/>
        </w:rPr>
        <w:t>“</w:t>
      </w:r>
      <w:r w:rsidRPr="00AC57EA">
        <w:rPr>
          <w:rFonts w:eastAsia="MS Mincho" w:cs="Verdana"/>
          <w:snapToGrid w:val="0"/>
          <w:sz w:val="20"/>
          <w:szCs w:val="20"/>
          <w:lang w:val="en-US" w:eastAsia="es-ES" w:bidi="en-US"/>
        </w:rPr>
        <w:t xml:space="preserve">in cases in which the representation is assumed free of charge by an </w:t>
      </w:r>
      <w:r w:rsidR="00171E27" w:rsidRPr="00AC57EA">
        <w:rPr>
          <w:sz w:val="20"/>
          <w:szCs w:val="20"/>
          <w:lang w:val="en-US"/>
        </w:rPr>
        <w:t>Inter-American Defender</w:t>
      </w:r>
      <w:r w:rsidR="009D661E" w:rsidRPr="00AC57EA">
        <w:rPr>
          <w:sz w:val="20"/>
          <w:szCs w:val="20"/>
          <w:lang w:val="en-US"/>
        </w:rPr>
        <w:t xml:space="preserve"> </w:t>
      </w:r>
      <w:r w:rsidRPr="00AC57EA">
        <w:rPr>
          <w:sz w:val="20"/>
          <w:szCs w:val="20"/>
          <w:lang w:val="en-US"/>
        </w:rPr>
        <w:t>under</w:t>
      </w:r>
      <w:r w:rsidR="00171E27" w:rsidRPr="00AC57EA">
        <w:rPr>
          <w:sz w:val="20"/>
          <w:szCs w:val="20"/>
          <w:lang w:val="en-US"/>
        </w:rPr>
        <w:t xml:space="preserve"> </w:t>
      </w:r>
      <w:r w:rsidRPr="00AC57EA">
        <w:rPr>
          <w:sz w:val="20"/>
          <w:szCs w:val="20"/>
          <w:lang w:val="en-US"/>
        </w:rPr>
        <w:t>A</w:t>
      </w:r>
      <w:r w:rsidR="00171E27" w:rsidRPr="00AC57EA">
        <w:rPr>
          <w:sz w:val="20"/>
          <w:szCs w:val="20"/>
          <w:lang w:val="en-US"/>
        </w:rPr>
        <w:t>rticle</w:t>
      </w:r>
      <w:r w:rsidR="009D661E" w:rsidRPr="00AC57EA">
        <w:rPr>
          <w:sz w:val="20"/>
          <w:szCs w:val="20"/>
          <w:lang w:val="en-US"/>
        </w:rPr>
        <w:t xml:space="preserve"> 37</w:t>
      </w:r>
      <w:r w:rsidR="00B7258C" w:rsidRPr="00AC57EA">
        <w:rPr>
          <w:sz w:val="20"/>
          <w:szCs w:val="20"/>
          <w:lang w:val="en-US"/>
        </w:rPr>
        <w:t xml:space="preserve"> of the </w:t>
      </w:r>
      <w:r w:rsidRPr="00AC57EA">
        <w:rPr>
          <w:sz w:val="20"/>
          <w:szCs w:val="20"/>
          <w:lang w:val="en-US"/>
        </w:rPr>
        <w:t xml:space="preserve">Inter-American Court’s </w:t>
      </w:r>
      <w:r w:rsidR="00B7258C" w:rsidRPr="00AC57EA">
        <w:rPr>
          <w:sz w:val="20"/>
          <w:szCs w:val="20"/>
          <w:lang w:val="en-US"/>
        </w:rPr>
        <w:t>Rules of Procedure</w:t>
      </w:r>
      <w:r w:rsidRPr="00AC57EA">
        <w:rPr>
          <w:sz w:val="20"/>
          <w:szCs w:val="20"/>
          <w:lang w:val="en-US"/>
        </w:rPr>
        <w:t>,</w:t>
      </w:r>
      <w:r w:rsidR="009D661E" w:rsidRPr="00AC57EA">
        <w:rPr>
          <w:rStyle w:val="Refdenotaalpie"/>
          <w:rFonts w:cs="Times"/>
          <w:sz w:val="20"/>
          <w:szCs w:val="20"/>
          <w:lang w:val="en-US"/>
        </w:rPr>
        <w:footnoteReference w:id="461"/>
      </w:r>
      <w:r w:rsidR="009D661E" w:rsidRPr="00AC57EA">
        <w:rPr>
          <w:sz w:val="20"/>
          <w:szCs w:val="20"/>
          <w:lang w:val="en-US"/>
        </w:rPr>
        <w:t xml:space="preserve"> </w:t>
      </w:r>
      <w:r w:rsidRPr="00AC57EA">
        <w:rPr>
          <w:sz w:val="20"/>
          <w:szCs w:val="20"/>
          <w:lang w:val="en-US"/>
        </w:rPr>
        <w:t xml:space="preserve">help will be provided by </w:t>
      </w:r>
      <w:r w:rsidR="009E569E" w:rsidRPr="00AC57EA">
        <w:rPr>
          <w:sz w:val="20"/>
          <w:szCs w:val="20"/>
          <w:lang w:val="en-US"/>
        </w:rPr>
        <w:t xml:space="preserve">the </w:t>
      </w:r>
      <w:r w:rsidRPr="00AC57EA">
        <w:rPr>
          <w:sz w:val="20"/>
          <w:szCs w:val="20"/>
          <w:lang w:val="en-US"/>
        </w:rPr>
        <w:t xml:space="preserve">Victims’ Legal </w:t>
      </w:r>
      <w:r w:rsidR="00171E27" w:rsidRPr="00AC57EA">
        <w:rPr>
          <w:sz w:val="20"/>
          <w:szCs w:val="20"/>
          <w:lang w:val="en-US"/>
        </w:rPr>
        <w:t>Assistance Fund</w:t>
      </w:r>
      <w:r w:rsidR="009D661E" w:rsidRPr="00AC57EA">
        <w:rPr>
          <w:sz w:val="20"/>
          <w:szCs w:val="20"/>
          <w:lang w:val="en-US"/>
        </w:rPr>
        <w:t xml:space="preserve"> </w:t>
      </w:r>
      <w:r w:rsidRPr="00AC57EA">
        <w:rPr>
          <w:sz w:val="20"/>
          <w:szCs w:val="20"/>
          <w:lang w:val="en-US"/>
        </w:rPr>
        <w:t xml:space="preserve">to cover, insofar as possible, the reasonable and necessary expenses arising from that representation. In other words, </w:t>
      </w:r>
      <w:r w:rsidRPr="00AC57EA">
        <w:rPr>
          <w:rFonts w:eastAsia="MS Mincho" w:cs="Verdana"/>
          <w:snapToGrid w:val="0"/>
          <w:sz w:val="20"/>
          <w:szCs w:val="20"/>
          <w:lang w:val="en-US" w:eastAsia="es-ES" w:bidi="en-US"/>
        </w:rPr>
        <w:t xml:space="preserve">the </w:t>
      </w:r>
      <w:r w:rsidR="00474CE5" w:rsidRPr="00AC57EA">
        <w:rPr>
          <w:sz w:val="20"/>
          <w:szCs w:val="20"/>
          <w:lang w:val="en-US"/>
        </w:rPr>
        <w:t>application</w:t>
      </w:r>
      <w:r w:rsidR="009E569E" w:rsidRPr="00AC57EA">
        <w:rPr>
          <w:sz w:val="20"/>
          <w:szCs w:val="20"/>
          <w:lang w:val="en-US"/>
        </w:rPr>
        <w:t xml:space="preserve"> of the </w:t>
      </w:r>
      <w:r w:rsidR="00171E27" w:rsidRPr="00AC57EA">
        <w:rPr>
          <w:sz w:val="20"/>
          <w:szCs w:val="20"/>
          <w:lang w:val="en-US"/>
        </w:rPr>
        <w:t>Assistance Fund</w:t>
      </w:r>
      <w:r w:rsidR="009D661E" w:rsidRPr="00AC57EA">
        <w:rPr>
          <w:sz w:val="20"/>
          <w:szCs w:val="20"/>
          <w:lang w:val="en-US"/>
        </w:rPr>
        <w:t xml:space="preserve"> </w:t>
      </w:r>
      <w:r w:rsidRPr="00AC57EA">
        <w:rPr>
          <w:sz w:val="20"/>
          <w:szCs w:val="20"/>
          <w:lang w:val="en-US"/>
        </w:rPr>
        <w:t>in these situations is regulated by a</w:t>
      </w:r>
      <w:r w:rsidR="00B7258C" w:rsidRPr="00AC57EA">
        <w:rPr>
          <w:sz w:val="20"/>
          <w:szCs w:val="20"/>
          <w:lang w:val="en-US"/>
        </w:rPr>
        <w:t>rticle</w:t>
      </w:r>
      <w:r w:rsidR="009D661E" w:rsidRPr="00AC57EA">
        <w:rPr>
          <w:sz w:val="20"/>
          <w:szCs w:val="20"/>
          <w:lang w:val="en-US"/>
        </w:rPr>
        <w:t xml:space="preserve"> 4 </w:t>
      </w:r>
      <w:r w:rsidRPr="00AC57EA">
        <w:rPr>
          <w:sz w:val="20"/>
          <w:szCs w:val="20"/>
          <w:lang w:val="en-US"/>
        </w:rPr>
        <w:t>of the Memorandum of Understanding between the Inter-American Court and the Inter-American Association of Public Defenders; thus, the designated Inter-American Defender “shall submit to the Court all the necessary vouchers that authenticate the expenses incurred as a result of processing th</w:t>
      </w:r>
      <w:r w:rsidR="008D5D0C" w:rsidRPr="00AC57EA">
        <w:rPr>
          <w:sz w:val="20"/>
          <w:szCs w:val="20"/>
          <w:lang w:val="en-US"/>
        </w:rPr>
        <w:t>e</w:t>
      </w:r>
      <w:r w:rsidRPr="00AC57EA">
        <w:rPr>
          <w:sz w:val="20"/>
          <w:szCs w:val="20"/>
          <w:lang w:val="en-US"/>
        </w:rPr>
        <w:t xml:space="preserve"> case before the Court.” This was also expressly indicated when notifying the submission of this case.</w:t>
      </w:r>
    </w:p>
    <w:p w14:paraId="1B87F56F" w14:textId="77777777" w:rsidR="009D661E" w:rsidRPr="00AC57EA" w:rsidRDefault="009D661E" w:rsidP="009D661E">
      <w:pPr>
        <w:pStyle w:val="Prrafodelista"/>
        <w:spacing w:line="240" w:lineRule="auto"/>
        <w:rPr>
          <w:rFonts w:eastAsia="MS Mincho" w:cs="Verdana"/>
          <w:snapToGrid w:val="0"/>
          <w:sz w:val="20"/>
          <w:szCs w:val="20"/>
          <w:lang w:val="en-US" w:eastAsia="es-ES" w:bidi="en-US"/>
        </w:rPr>
      </w:pPr>
    </w:p>
    <w:p w14:paraId="60DA92B2" w14:textId="5A848D87" w:rsidR="00A30C8C" w:rsidRPr="00AC57EA" w:rsidRDefault="00A30C8C" w:rsidP="009D661E">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rFonts w:eastAsia="MS Mincho" w:cs="Verdana"/>
          <w:snapToGrid w:val="0"/>
          <w:sz w:val="20"/>
          <w:szCs w:val="20"/>
          <w:lang w:val="en-US" w:eastAsia="es-ES" w:bidi="en-US"/>
        </w:rPr>
        <w:t xml:space="preserve">Based on the above, considering paragraph 43 of the said order established that “financial assistance will be allocated to cover the expenses of: </w:t>
      </w:r>
      <w:r w:rsidR="004C65C5" w:rsidRPr="00AC57EA">
        <w:rPr>
          <w:rFonts w:eastAsia="MS Mincho" w:cs="Verdana"/>
          <w:snapToGrid w:val="0"/>
          <w:sz w:val="20"/>
          <w:szCs w:val="20"/>
          <w:lang w:val="en-US" w:eastAsia="es-ES" w:bidi="en-US"/>
        </w:rPr>
        <w:t>[…]</w:t>
      </w:r>
      <w:r w:rsidRPr="00AC57EA">
        <w:rPr>
          <w:rFonts w:eastAsia="MS Mincho" w:cs="Verdana"/>
          <w:snapToGrid w:val="0"/>
          <w:sz w:val="20"/>
          <w:szCs w:val="20"/>
          <w:lang w:val="en-US" w:eastAsia="es-ES" w:bidi="en-US"/>
        </w:rPr>
        <w:t xml:space="preserve"> </w:t>
      </w:r>
      <w:r w:rsidR="001F1FB1" w:rsidRPr="00AC57EA">
        <w:rPr>
          <w:rFonts w:eastAsia="MS Mincho" w:cs="Verdana"/>
          <w:snapToGrid w:val="0"/>
          <w:sz w:val="20"/>
          <w:szCs w:val="20"/>
          <w:lang w:val="en-US" w:eastAsia="es-ES" w:bidi="en-US"/>
        </w:rPr>
        <w:t xml:space="preserve">(iv) other reasonable and necessary expenses </w:t>
      </w:r>
      <w:r w:rsidR="008D5D0C" w:rsidRPr="00AC57EA">
        <w:rPr>
          <w:rFonts w:eastAsia="MS Mincho" w:cs="Verdana"/>
          <w:snapToGrid w:val="0"/>
          <w:sz w:val="20"/>
          <w:szCs w:val="20"/>
          <w:lang w:val="en-US" w:eastAsia="es-ES" w:bidi="en-US"/>
        </w:rPr>
        <w:t>that</w:t>
      </w:r>
      <w:r w:rsidR="001F1FB1" w:rsidRPr="00AC57EA">
        <w:rPr>
          <w:rFonts w:eastAsia="MS Mincho" w:cs="Verdana"/>
          <w:snapToGrid w:val="0"/>
          <w:sz w:val="20"/>
          <w:szCs w:val="20"/>
          <w:lang w:val="en-US" w:eastAsia="es-ES" w:bidi="en-US"/>
        </w:rPr>
        <w:t xml:space="preserve"> </w:t>
      </w:r>
      <w:r w:rsidR="001F1FB1" w:rsidRPr="00AC57EA">
        <w:rPr>
          <w:rFonts w:eastAsia="MS Mincho" w:cs="Verdana"/>
          <w:sz w:val="20"/>
          <w:szCs w:val="20"/>
          <w:lang w:val="en-US" w:bidi="en-US"/>
        </w:rPr>
        <w:t>the inter-American defenders have incurred or may incur, which requires that they forward the Court both the justification for such expenses and the respective vouchers.”</w:t>
      </w:r>
    </w:p>
    <w:p w14:paraId="198A5735" w14:textId="77777777" w:rsidR="009D661E" w:rsidRPr="00AC57EA" w:rsidRDefault="009D661E" w:rsidP="009D661E">
      <w:pPr>
        <w:pStyle w:val="Prrafodelista"/>
        <w:spacing w:line="240" w:lineRule="auto"/>
        <w:rPr>
          <w:rFonts w:eastAsia="MS Mincho" w:cs="Verdana"/>
          <w:snapToGrid w:val="0"/>
          <w:sz w:val="20"/>
          <w:szCs w:val="20"/>
          <w:lang w:val="en-US" w:eastAsia="es-ES" w:bidi="en-US"/>
        </w:rPr>
      </w:pPr>
    </w:p>
    <w:p w14:paraId="6B403C81" w14:textId="7DAA5ABF" w:rsidR="009D661E" w:rsidRPr="00AC57EA" w:rsidRDefault="001F1FB1" w:rsidP="009D661E">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rFonts w:eastAsia="MS Mincho" w:cs="Verdana"/>
          <w:snapToGrid w:val="0"/>
          <w:sz w:val="20"/>
          <w:szCs w:val="20"/>
          <w:lang w:val="en-US" w:eastAsia="es-ES" w:bidi="en-US"/>
        </w:rPr>
        <w:t xml:space="preserve">Therefore, the Court finds that the payment of </w:t>
      </w:r>
      <w:r w:rsidR="008D5D0C" w:rsidRPr="00AC57EA">
        <w:rPr>
          <w:rFonts w:eastAsia="MS Mincho" w:cs="Verdana"/>
          <w:snapToGrid w:val="0"/>
          <w:sz w:val="20"/>
          <w:szCs w:val="20"/>
          <w:lang w:val="en-US" w:eastAsia="es-ES" w:bidi="en-US"/>
        </w:rPr>
        <w:t xml:space="preserve">the </w:t>
      </w:r>
      <w:r w:rsidRPr="00AC57EA">
        <w:rPr>
          <w:rFonts w:eastAsia="MS Mincho" w:cs="Verdana"/>
          <w:snapToGrid w:val="0"/>
          <w:sz w:val="20"/>
          <w:szCs w:val="20"/>
          <w:lang w:val="en-US" w:eastAsia="es-ES" w:bidi="en-US"/>
        </w:rPr>
        <w:t xml:space="preserve">fees of </w:t>
      </w:r>
      <w:r w:rsidR="009935FA" w:rsidRPr="00AC57EA">
        <w:rPr>
          <w:rFonts w:eastAsia="MS Mincho" w:cs="Verdana"/>
          <w:snapToGrid w:val="0"/>
          <w:sz w:val="20"/>
          <w:szCs w:val="20"/>
          <w:lang w:val="en-US" w:eastAsia="es-ES" w:bidi="en-US"/>
        </w:rPr>
        <w:t>expert witness</w:t>
      </w:r>
      <w:r w:rsidR="009D661E" w:rsidRPr="00AC57EA">
        <w:rPr>
          <w:rFonts w:eastAsia="MS Mincho" w:cs="Verdana"/>
          <w:snapToGrid w:val="0"/>
          <w:sz w:val="20"/>
          <w:szCs w:val="20"/>
          <w:lang w:val="en-US" w:eastAsia="es-ES" w:bidi="en-US"/>
        </w:rPr>
        <w:t xml:space="preserve"> Enrique Oscar Stola </w:t>
      </w:r>
      <w:r w:rsidRPr="00AC57EA">
        <w:rPr>
          <w:rFonts w:eastAsia="MS Mincho" w:cs="Verdana"/>
          <w:snapToGrid w:val="0"/>
          <w:sz w:val="20"/>
          <w:szCs w:val="20"/>
          <w:lang w:val="en-US" w:eastAsia="es-ES" w:bidi="en-US"/>
        </w:rPr>
        <w:t xml:space="preserve">is included under the heading “other reasonable and necessary expenses incurred by the defenders,” which was duly authorized by </w:t>
      </w:r>
      <w:r w:rsidR="00B7258C" w:rsidRPr="00AC57EA">
        <w:rPr>
          <w:rFonts w:eastAsia="MS Mincho" w:cs="Verdana"/>
          <w:snapToGrid w:val="0"/>
          <w:sz w:val="20"/>
          <w:szCs w:val="20"/>
          <w:lang w:val="en-US" w:eastAsia="es-ES" w:bidi="en-US"/>
        </w:rPr>
        <w:t>the President</w:t>
      </w:r>
      <w:r w:rsidR="009D661E" w:rsidRPr="00AC57EA">
        <w:rPr>
          <w:rFonts w:eastAsia="MS Mincho" w:cs="Verdana"/>
          <w:snapToGrid w:val="0"/>
          <w:sz w:val="20"/>
          <w:szCs w:val="20"/>
          <w:lang w:val="en-US" w:eastAsia="es-ES" w:bidi="en-US"/>
        </w:rPr>
        <w:t xml:space="preserve">, </w:t>
      </w:r>
      <w:r w:rsidRPr="00AC57EA">
        <w:rPr>
          <w:rFonts w:eastAsia="MS Mincho" w:cs="Verdana"/>
          <w:snapToGrid w:val="0"/>
          <w:sz w:val="20"/>
          <w:szCs w:val="20"/>
          <w:lang w:val="en-US" w:eastAsia="es-ES" w:bidi="en-US"/>
        </w:rPr>
        <w:t>as previously indicated</w:t>
      </w:r>
      <w:r w:rsidR="009D661E" w:rsidRPr="00AC57EA">
        <w:rPr>
          <w:rFonts w:eastAsia="MS Mincho" w:cs="Verdana"/>
          <w:snapToGrid w:val="0"/>
          <w:sz w:val="20"/>
          <w:szCs w:val="20"/>
          <w:lang w:val="en-US" w:eastAsia="es-ES" w:bidi="en-US"/>
        </w:rPr>
        <w:t>.</w:t>
      </w:r>
    </w:p>
    <w:p w14:paraId="1A5E202B" w14:textId="77777777" w:rsidR="009D661E" w:rsidRPr="00AC57EA" w:rsidRDefault="009D661E" w:rsidP="009D661E">
      <w:pPr>
        <w:tabs>
          <w:tab w:val="left" w:pos="567"/>
        </w:tabs>
        <w:spacing w:line="240" w:lineRule="auto"/>
        <w:textAlignment w:val="auto"/>
        <w:rPr>
          <w:rFonts w:eastAsia="MS Mincho" w:cs="Verdana"/>
          <w:snapToGrid w:val="0"/>
          <w:sz w:val="20"/>
          <w:szCs w:val="20"/>
          <w:lang w:val="en-US" w:eastAsia="es-ES" w:bidi="en-US"/>
        </w:rPr>
      </w:pPr>
    </w:p>
    <w:p w14:paraId="2804DC7A" w14:textId="0B683F63" w:rsidR="009D661E" w:rsidRPr="00AC57EA" w:rsidRDefault="001F1FB1" w:rsidP="009D661E">
      <w:pPr>
        <w:numPr>
          <w:ilvl w:val="0"/>
          <w:numId w:val="2"/>
        </w:numPr>
        <w:tabs>
          <w:tab w:val="left" w:pos="567"/>
          <w:tab w:val="num" w:pos="5057"/>
        </w:tabs>
        <w:spacing w:line="240" w:lineRule="auto"/>
        <w:ind w:left="0" w:firstLine="0"/>
        <w:textAlignment w:val="auto"/>
        <w:rPr>
          <w:rFonts w:eastAsia="MS Mincho" w:cs="Verdana"/>
          <w:snapToGrid w:val="0"/>
          <w:sz w:val="20"/>
          <w:szCs w:val="20"/>
          <w:lang w:val="en-US" w:eastAsia="es-ES" w:bidi="en-US"/>
        </w:rPr>
      </w:pPr>
      <w:r w:rsidRPr="00AC57EA">
        <w:rPr>
          <w:rFonts w:eastAsia="MS Mincho" w:cs="Verdana"/>
          <w:snapToGrid w:val="0"/>
          <w:sz w:val="20"/>
          <w:szCs w:val="20"/>
          <w:lang w:val="en-US" w:eastAsia="es-ES" w:bidi="en-US"/>
        </w:rPr>
        <w:t xml:space="preserve">Consequently, owing to the violations declared in this judgment and that the requirements were met for access to the Fund, the Court orders the State to reimburse the said Fund the sum of </w:t>
      </w:r>
      <w:r w:rsidR="00116D6D" w:rsidRPr="00AC57EA">
        <w:rPr>
          <w:rFonts w:eastAsia="MS Mincho" w:cs="Verdana"/>
          <w:snapToGrid w:val="0"/>
          <w:sz w:val="20"/>
          <w:szCs w:val="20"/>
          <w:lang w:val="en-US" w:eastAsia="es-ES" w:bidi="en-US"/>
        </w:rPr>
        <w:t>US$13</w:t>
      </w:r>
      <w:r w:rsidRPr="00AC57EA">
        <w:rPr>
          <w:rFonts w:eastAsia="MS Mincho" w:cs="Verdana"/>
          <w:snapToGrid w:val="0"/>
          <w:sz w:val="20"/>
          <w:szCs w:val="20"/>
          <w:lang w:val="en-US" w:eastAsia="es-ES" w:bidi="en-US"/>
        </w:rPr>
        <w:t>,</w:t>
      </w:r>
      <w:r w:rsidR="00116D6D" w:rsidRPr="00AC57EA">
        <w:rPr>
          <w:rFonts w:eastAsia="MS Mincho" w:cs="Verdana"/>
          <w:snapToGrid w:val="0"/>
          <w:sz w:val="20"/>
          <w:szCs w:val="20"/>
          <w:lang w:val="en-US" w:eastAsia="es-ES" w:bidi="en-US"/>
        </w:rPr>
        <w:t>862</w:t>
      </w:r>
      <w:r w:rsidRPr="00AC57EA">
        <w:rPr>
          <w:rFonts w:eastAsia="MS Mincho" w:cs="Verdana"/>
          <w:snapToGrid w:val="0"/>
          <w:sz w:val="20"/>
          <w:szCs w:val="20"/>
          <w:lang w:val="en-US" w:eastAsia="es-ES" w:bidi="en-US"/>
        </w:rPr>
        <w:t>.</w:t>
      </w:r>
      <w:r w:rsidR="00116D6D" w:rsidRPr="00AC57EA">
        <w:rPr>
          <w:rFonts w:eastAsia="MS Mincho" w:cs="Verdana"/>
          <w:snapToGrid w:val="0"/>
          <w:sz w:val="20"/>
          <w:szCs w:val="20"/>
          <w:lang w:val="en-US" w:eastAsia="es-ES" w:bidi="en-US"/>
        </w:rPr>
        <w:t>51 (</w:t>
      </w:r>
      <w:r w:rsidRPr="00AC57EA">
        <w:rPr>
          <w:rFonts w:eastAsia="MS Mincho" w:cs="Verdana"/>
          <w:snapToGrid w:val="0"/>
          <w:sz w:val="20"/>
          <w:szCs w:val="20"/>
          <w:lang w:val="en-US" w:eastAsia="es-ES" w:bidi="en-US"/>
        </w:rPr>
        <w:t xml:space="preserve">thirteen thousand eight hundred and sixty-two United </w:t>
      </w:r>
      <w:r w:rsidR="00BB0638" w:rsidRPr="00AC57EA">
        <w:rPr>
          <w:rFonts w:eastAsia="MS Mincho" w:cs="Verdana"/>
          <w:snapToGrid w:val="0"/>
          <w:sz w:val="20"/>
          <w:szCs w:val="20"/>
          <w:lang w:val="en-US" w:eastAsia="es-ES" w:bidi="en-US"/>
        </w:rPr>
        <w:t>States dollars</w:t>
      </w:r>
      <w:r w:rsidRPr="00AC57EA">
        <w:rPr>
          <w:rFonts w:eastAsia="MS Mincho" w:cs="Verdana"/>
          <w:snapToGrid w:val="0"/>
          <w:sz w:val="20"/>
          <w:szCs w:val="20"/>
          <w:lang w:val="en-US" w:eastAsia="es-ES" w:bidi="en-US"/>
        </w:rPr>
        <w:t xml:space="preserve"> and fifty-one cents</w:t>
      </w:r>
      <w:r w:rsidR="00116D6D" w:rsidRPr="00AC57EA">
        <w:rPr>
          <w:rFonts w:cs="Verdana"/>
          <w:snapToGrid w:val="0"/>
          <w:sz w:val="20"/>
          <w:szCs w:val="20"/>
          <w:lang w:val="en-US" w:eastAsia="es-ES"/>
        </w:rPr>
        <w:t>)</w:t>
      </w:r>
      <w:r w:rsidR="009D661E" w:rsidRPr="00AC57EA">
        <w:rPr>
          <w:rFonts w:cs="Verdana"/>
          <w:snapToGrid w:val="0"/>
          <w:sz w:val="20"/>
          <w:szCs w:val="20"/>
          <w:lang w:val="en-US" w:eastAsia="es-ES"/>
        </w:rPr>
        <w:t>.</w:t>
      </w:r>
      <w:r w:rsidRPr="00AC57EA">
        <w:rPr>
          <w:rFonts w:cs="Verdana"/>
          <w:snapToGrid w:val="0"/>
          <w:sz w:val="20"/>
          <w:szCs w:val="20"/>
          <w:lang w:val="en-US" w:eastAsia="es-ES"/>
        </w:rPr>
        <w:t xml:space="preserve"> This amount must be reimbursed within six months of notification of this judgment.</w:t>
      </w:r>
    </w:p>
    <w:p w14:paraId="5D8AF967" w14:textId="60608AF7" w:rsidR="009D661E" w:rsidRPr="00AC57EA" w:rsidRDefault="009D661E" w:rsidP="009D661E">
      <w:pPr>
        <w:spacing w:line="240" w:lineRule="auto"/>
        <w:ind w:left="142"/>
        <w:rPr>
          <w:sz w:val="20"/>
          <w:szCs w:val="20"/>
          <w:lang w:val="en-US"/>
        </w:rPr>
      </w:pPr>
    </w:p>
    <w:p w14:paraId="378ED064" w14:textId="1486137C" w:rsidR="009D661E" w:rsidRPr="00AC57EA" w:rsidRDefault="00D2733C" w:rsidP="002C415B">
      <w:pPr>
        <w:keepNext/>
        <w:keepLines/>
        <w:numPr>
          <w:ilvl w:val="0"/>
          <w:numId w:val="11"/>
        </w:numPr>
        <w:tabs>
          <w:tab w:val="left" w:pos="567"/>
          <w:tab w:val="left" w:pos="1134"/>
        </w:tabs>
        <w:spacing w:line="240" w:lineRule="auto"/>
        <w:ind w:left="567" w:firstLine="0"/>
        <w:textAlignment w:val="auto"/>
        <w:outlineLvl w:val="1"/>
        <w:rPr>
          <w:rFonts w:eastAsia="MS Mincho"/>
          <w:b/>
          <w:bCs/>
          <w:i/>
          <w:sz w:val="20"/>
          <w:szCs w:val="20"/>
          <w:lang w:val="en-US"/>
        </w:rPr>
      </w:pPr>
      <w:r w:rsidRPr="00AC57EA">
        <w:rPr>
          <w:rFonts w:eastAsia="MS Mincho"/>
          <w:b/>
          <w:bCs/>
          <w:i/>
          <w:sz w:val="20"/>
          <w:szCs w:val="20"/>
          <w:lang w:val="en-US"/>
        </w:rPr>
        <w:t>Method of complying with the payments ordered</w:t>
      </w:r>
    </w:p>
    <w:p w14:paraId="7CDD5C59" w14:textId="77777777" w:rsidR="009D661E" w:rsidRPr="00AC57EA" w:rsidRDefault="009D661E" w:rsidP="009D661E">
      <w:pPr>
        <w:tabs>
          <w:tab w:val="left" w:pos="720"/>
          <w:tab w:val="left" w:pos="84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ind w:right="-90"/>
        <w:rPr>
          <w:bCs/>
          <w:sz w:val="20"/>
          <w:szCs w:val="20"/>
          <w:lang w:val="en-US"/>
        </w:rPr>
      </w:pPr>
    </w:p>
    <w:p w14:paraId="532CC23C" w14:textId="1A4710CB" w:rsidR="009D661E" w:rsidRPr="00AC57EA" w:rsidRDefault="0035148B" w:rsidP="001F1FB1">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The State shall</w:t>
      </w:r>
      <w:r w:rsidR="001F1FB1" w:rsidRPr="00AC57EA">
        <w:rPr>
          <w:rFonts w:eastAsia="MS Mincho"/>
          <w:sz w:val="20"/>
          <w:szCs w:val="20"/>
          <w:lang w:val="en-US" w:bidi="en-US"/>
        </w:rPr>
        <w:t xml:space="preserve"> </w:t>
      </w:r>
      <w:r w:rsidR="00322E8C" w:rsidRPr="00AC57EA">
        <w:rPr>
          <w:rFonts w:eastAsia="MS Mincho"/>
          <w:sz w:val="20"/>
          <w:szCs w:val="20"/>
          <w:lang w:val="en-US" w:bidi="en-US"/>
        </w:rPr>
        <w:t xml:space="preserve">make the </w:t>
      </w:r>
      <w:r w:rsidR="001F1FB1" w:rsidRPr="00AC57EA">
        <w:rPr>
          <w:rFonts w:eastAsia="MS Mincho"/>
          <w:sz w:val="20"/>
          <w:szCs w:val="20"/>
          <w:lang w:val="en-US" w:bidi="en-US"/>
        </w:rPr>
        <w:t>pay</w:t>
      </w:r>
      <w:r w:rsidR="00322E8C" w:rsidRPr="00AC57EA">
        <w:rPr>
          <w:rFonts w:eastAsia="MS Mincho"/>
          <w:sz w:val="20"/>
          <w:szCs w:val="20"/>
          <w:lang w:val="en-US" w:bidi="en-US"/>
        </w:rPr>
        <w:t>ment</w:t>
      </w:r>
      <w:r w:rsidR="001F1FB1" w:rsidRPr="00AC57EA">
        <w:rPr>
          <w:rFonts w:eastAsia="MS Mincho"/>
          <w:sz w:val="20"/>
          <w:szCs w:val="20"/>
          <w:lang w:val="en-US" w:bidi="en-US"/>
        </w:rPr>
        <w:t xml:space="preserve"> </w:t>
      </w:r>
      <w:r w:rsidR="00322E8C" w:rsidRPr="00AC57EA">
        <w:rPr>
          <w:rFonts w:eastAsia="MS Mincho"/>
          <w:sz w:val="20"/>
          <w:szCs w:val="20"/>
          <w:lang w:val="en-US" w:bidi="en-US"/>
        </w:rPr>
        <w:t>of the</w:t>
      </w:r>
      <w:r w:rsidR="001F1FB1" w:rsidRPr="00AC57EA">
        <w:rPr>
          <w:rFonts w:eastAsia="MS Mincho"/>
          <w:sz w:val="20"/>
          <w:szCs w:val="20"/>
          <w:lang w:val="en-US" w:bidi="en-US"/>
        </w:rPr>
        <w:t xml:space="preserve"> compensation for pecuniary and non-pecuniary damage and</w:t>
      </w:r>
      <w:r w:rsidR="00322E8C" w:rsidRPr="00AC57EA">
        <w:rPr>
          <w:rFonts w:eastAsia="MS Mincho"/>
          <w:sz w:val="20"/>
          <w:szCs w:val="20"/>
          <w:lang w:val="en-US" w:bidi="en-US"/>
        </w:rPr>
        <w:t xml:space="preserve"> to</w:t>
      </w:r>
      <w:r w:rsidR="001F1FB1" w:rsidRPr="00AC57EA">
        <w:rPr>
          <w:rFonts w:eastAsia="MS Mincho"/>
          <w:sz w:val="20"/>
          <w:szCs w:val="20"/>
          <w:lang w:val="en-US" w:bidi="en-US"/>
        </w:rPr>
        <w:t xml:space="preserve"> reimburse costs and expenses established in this judgment directly to the persons indicated herein, </w:t>
      </w:r>
      <w:r w:rsidR="007E72AE" w:rsidRPr="00AC57EA">
        <w:rPr>
          <w:rFonts w:eastAsia="MS Mincho"/>
          <w:sz w:val="20"/>
          <w:szCs w:val="20"/>
          <w:lang w:val="en-US" w:bidi="en-US"/>
        </w:rPr>
        <w:t>within one year</w:t>
      </w:r>
      <w:r w:rsidR="009D661E" w:rsidRPr="00AC57EA">
        <w:rPr>
          <w:rFonts w:eastAsia="MS Mincho"/>
          <w:sz w:val="20"/>
          <w:szCs w:val="20"/>
          <w:lang w:val="en-US" w:bidi="en-US"/>
        </w:rPr>
        <w:t xml:space="preserve">, </w:t>
      </w:r>
      <w:r w:rsidR="007E72AE" w:rsidRPr="00AC57EA">
        <w:rPr>
          <w:rFonts w:eastAsia="MS Mincho"/>
          <w:sz w:val="20"/>
          <w:szCs w:val="20"/>
          <w:lang w:val="en-US" w:bidi="en-US"/>
        </w:rPr>
        <w:t>of notification</w:t>
      </w:r>
      <w:r w:rsidR="009D661E" w:rsidRPr="00AC57EA">
        <w:rPr>
          <w:rFonts w:eastAsia="MS Mincho"/>
          <w:sz w:val="20"/>
          <w:szCs w:val="20"/>
          <w:lang w:val="en-US" w:bidi="en-US"/>
        </w:rPr>
        <w:t xml:space="preserve"> </w:t>
      </w:r>
      <w:r w:rsidR="001F1FB1" w:rsidRPr="00AC57EA">
        <w:rPr>
          <w:rFonts w:eastAsia="MS Mincho"/>
          <w:sz w:val="20"/>
          <w:szCs w:val="20"/>
          <w:lang w:val="en-US" w:bidi="en-US"/>
        </w:rPr>
        <w:t xml:space="preserve">of this judgment, without prejudice to making the complete payment previously, </w:t>
      </w:r>
      <w:r w:rsidR="00EB338E" w:rsidRPr="00AC57EA">
        <w:rPr>
          <w:sz w:val="20"/>
          <w:szCs w:val="20"/>
          <w:lang w:val="en-US"/>
        </w:rPr>
        <w:t>pursuant to</w:t>
      </w:r>
      <w:r w:rsidR="004F5ECE" w:rsidRPr="00AC57EA">
        <w:rPr>
          <w:sz w:val="20"/>
          <w:szCs w:val="20"/>
          <w:lang w:val="en-US"/>
        </w:rPr>
        <w:t xml:space="preserve"> </w:t>
      </w:r>
      <w:r w:rsidR="001F1FB1" w:rsidRPr="00AC57EA">
        <w:rPr>
          <w:sz w:val="20"/>
          <w:szCs w:val="20"/>
          <w:lang w:val="en-US"/>
        </w:rPr>
        <w:t>the following paragraphs.</w:t>
      </w:r>
    </w:p>
    <w:p w14:paraId="77245408" w14:textId="77777777" w:rsidR="009D661E" w:rsidRPr="00AC57EA" w:rsidRDefault="009D661E" w:rsidP="00B26781">
      <w:pPr>
        <w:tabs>
          <w:tab w:val="left" w:pos="720"/>
        </w:tabs>
        <w:spacing w:line="240" w:lineRule="auto"/>
        <w:ind w:right="-90"/>
        <w:contextualSpacing/>
        <w:rPr>
          <w:rFonts w:eastAsia="MS Mincho"/>
          <w:sz w:val="20"/>
          <w:szCs w:val="20"/>
          <w:lang w:val="en-US"/>
        </w:rPr>
      </w:pPr>
    </w:p>
    <w:p w14:paraId="47B8A7C0" w14:textId="6F828F8F" w:rsidR="004F5ECE" w:rsidRPr="00AC57EA" w:rsidRDefault="001F1FB1" w:rsidP="00DF3D71">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If the benefic</w:t>
      </w:r>
      <w:r w:rsidR="004C2BD8" w:rsidRPr="00AC57EA">
        <w:rPr>
          <w:rFonts w:eastAsia="MS Mincho"/>
          <w:sz w:val="20"/>
          <w:szCs w:val="20"/>
          <w:lang w:val="en-US" w:bidi="en-US"/>
        </w:rPr>
        <w:t>ia</w:t>
      </w:r>
      <w:r w:rsidRPr="00AC57EA">
        <w:rPr>
          <w:rFonts w:eastAsia="MS Mincho"/>
          <w:sz w:val="20"/>
          <w:szCs w:val="20"/>
          <w:lang w:val="en-US" w:bidi="en-US"/>
        </w:rPr>
        <w:t>ries are deceased or die before they receive the respective compensation, this shall be delivered directly to their heirs, pursuant to the applicable domestic law.</w:t>
      </w:r>
    </w:p>
    <w:p w14:paraId="12083982" w14:textId="77777777" w:rsidR="004F5ECE" w:rsidRPr="00AC57EA" w:rsidRDefault="004F5ECE" w:rsidP="00DF3D71">
      <w:pPr>
        <w:tabs>
          <w:tab w:val="left" w:pos="567"/>
        </w:tabs>
        <w:spacing w:line="240" w:lineRule="auto"/>
        <w:textAlignment w:val="auto"/>
        <w:rPr>
          <w:rFonts w:eastAsia="MS Mincho"/>
          <w:sz w:val="20"/>
          <w:szCs w:val="20"/>
          <w:lang w:val="en-US" w:bidi="en-US"/>
        </w:rPr>
      </w:pPr>
    </w:p>
    <w:p w14:paraId="6092F203" w14:textId="24DF7221" w:rsidR="004F5ECE" w:rsidRPr="00AC57EA" w:rsidRDefault="0035148B" w:rsidP="00DF3D71">
      <w:pPr>
        <w:numPr>
          <w:ilvl w:val="0"/>
          <w:numId w:val="2"/>
        </w:numPr>
        <w:tabs>
          <w:tab w:val="left" w:pos="567"/>
          <w:tab w:val="num" w:pos="5057"/>
        </w:tabs>
        <w:spacing w:line="240" w:lineRule="auto"/>
        <w:ind w:left="0" w:firstLine="0"/>
        <w:textAlignment w:val="auto"/>
        <w:rPr>
          <w:sz w:val="20"/>
          <w:szCs w:val="20"/>
          <w:lang w:val="en-US"/>
        </w:rPr>
      </w:pPr>
      <w:r w:rsidRPr="00AC57EA">
        <w:rPr>
          <w:sz w:val="20"/>
          <w:szCs w:val="20"/>
          <w:lang w:val="en-US"/>
        </w:rPr>
        <w:t>The State shall</w:t>
      </w:r>
      <w:r w:rsidR="008E169A" w:rsidRPr="00AC57EA">
        <w:rPr>
          <w:sz w:val="20"/>
          <w:szCs w:val="20"/>
          <w:lang w:val="en-US"/>
        </w:rPr>
        <w:t xml:space="preserve"> c</w:t>
      </w:r>
      <w:r w:rsidR="004C2BD8" w:rsidRPr="00AC57EA">
        <w:rPr>
          <w:sz w:val="20"/>
          <w:szCs w:val="20"/>
          <w:lang w:val="en-US"/>
        </w:rPr>
        <w:t>o</w:t>
      </w:r>
      <w:r w:rsidR="008E169A" w:rsidRPr="00AC57EA">
        <w:rPr>
          <w:sz w:val="20"/>
          <w:szCs w:val="20"/>
          <w:lang w:val="en-US"/>
        </w:rPr>
        <w:t>mpl</w:t>
      </w:r>
      <w:r w:rsidR="004C2BD8" w:rsidRPr="00AC57EA">
        <w:rPr>
          <w:sz w:val="20"/>
          <w:szCs w:val="20"/>
          <w:lang w:val="en-US"/>
        </w:rPr>
        <w:t xml:space="preserve">y with its monetary obligations by payment in </w:t>
      </w:r>
      <w:r w:rsidR="00BB0638" w:rsidRPr="00AC57EA">
        <w:rPr>
          <w:sz w:val="20"/>
          <w:szCs w:val="20"/>
          <w:lang w:val="en-US"/>
        </w:rPr>
        <w:t>United States dollars</w:t>
      </w:r>
      <w:r w:rsidR="008E169A" w:rsidRPr="00AC57EA">
        <w:rPr>
          <w:sz w:val="20"/>
          <w:szCs w:val="20"/>
          <w:lang w:val="en-US"/>
        </w:rPr>
        <w:t xml:space="preserve"> </w:t>
      </w:r>
      <w:r w:rsidR="004C2BD8" w:rsidRPr="00AC57EA">
        <w:rPr>
          <w:sz w:val="20"/>
          <w:szCs w:val="20"/>
          <w:lang w:val="en-US"/>
        </w:rPr>
        <w:t>to the</w:t>
      </w:r>
      <w:r w:rsidR="008E169A" w:rsidRPr="00AC57EA">
        <w:rPr>
          <w:sz w:val="20"/>
          <w:szCs w:val="20"/>
          <w:lang w:val="en-US"/>
        </w:rPr>
        <w:t xml:space="preserve"> beneficiari</w:t>
      </w:r>
      <w:r w:rsidR="004C2BD8" w:rsidRPr="00AC57EA">
        <w:rPr>
          <w:sz w:val="20"/>
          <w:szCs w:val="20"/>
          <w:lang w:val="en-US"/>
        </w:rPr>
        <w:t>e</w:t>
      </w:r>
      <w:r w:rsidR="008E169A" w:rsidRPr="00AC57EA">
        <w:rPr>
          <w:sz w:val="20"/>
          <w:szCs w:val="20"/>
          <w:lang w:val="en-US"/>
        </w:rPr>
        <w:t>s</w:t>
      </w:r>
      <w:r w:rsidR="004C2BD8" w:rsidRPr="00AC57EA">
        <w:rPr>
          <w:sz w:val="20"/>
          <w:szCs w:val="20"/>
          <w:lang w:val="en-US"/>
        </w:rPr>
        <w:t xml:space="preserve"> who reside in that country. In the case of the beneficiaries who reside in Nicaragua, the State shall comply with its monetary obligations by payment in </w:t>
      </w:r>
      <w:r w:rsidR="00BB0638" w:rsidRPr="00AC57EA">
        <w:rPr>
          <w:sz w:val="20"/>
          <w:szCs w:val="20"/>
          <w:lang w:val="en-US"/>
        </w:rPr>
        <w:t>United States dollars</w:t>
      </w:r>
      <w:r w:rsidR="004F5ECE" w:rsidRPr="00AC57EA">
        <w:rPr>
          <w:sz w:val="20"/>
          <w:szCs w:val="20"/>
          <w:lang w:val="en-US"/>
        </w:rPr>
        <w:t xml:space="preserve"> o</w:t>
      </w:r>
      <w:r w:rsidR="004C2BD8" w:rsidRPr="00AC57EA">
        <w:rPr>
          <w:sz w:val="20"/>
          <w:szCs w:val="20"/>
          <w:lang w:val="en-US"/>
        </w:rPr>
        <w:t xml:space="preserve">r the equivalent in national currency using the exchange rate in force on the New York Stock Exchange (United States </w:t>
      </w:r>
      <w:r w:rsidR="00496FF1" w:rsidRPr="00AC57EA">
        <w:rPr>
          <w:sz w:val="20"/>
          <w:szCs w:val="20"/>
          <w:lang w:val="en-US"/>
        </w:rPr>
        <w:t>of</w:t>
      </w:r>
      <w:r w:rsidR="004C2BD8" w:rsidRPr="00AC57EA">
        <w:rPr>
          <w:sz w:val="20"/>
          <w:szCs w:val="20"/>
          <w:lang w:val="en-US"/>
        </w:rPr>
        <w:t xml:space="preserve"> Am</w:t>
      </w:r>
      <w:r w:rsidR="00496FF1" w:rsidRPr="00AC57EA">
        <w:rPr>
          <w:sz w:val="20"/>
          <w:szCs w:val="20"/>
          <w:lang w:val="en-US"/>
        </w:rPr>
        <w:t>er</w:t>
      </w:r>
      <w:r w:rsidR="004C2BD8" w:rsidRPr="00AC57EA">
        <w:rPr>
          <w:sz w:val="20"/>
          <w:szCs w:val="20"/>
          <w:lang w:val="en-US"/>
        </w:rPr>
        <w:t>ica), the day before payment to make the respective calculation.</w:t>
      </w:r>
    </w:p>
    <w:p w14:paraId="005B495E" w14:textId="77777777" w:rsidR="009D661E" w:rsidRPr="00AC57EA" w:rsidRDefault="009D661E" w:rsidP="004F5ECE">
      <w:pPr>
        <w:tabs>
          <w:tab w:val="left" w:pos="567"/>
        </w:tabs>
        <w:spacing w:line="240" w:lineRule="auto"/>
        <w:textAlignment w:val="auto"/>
        <w:rPr>
          <w:rFonts w:eastAsia="MS Mincho"/>
          <w:sz w:val="20"/>
          <w:szCs w:val="20"/>
          <w:lang w:val="en-US" w:bidi="en-US"/>
        </w:rPr>
      </w:pPr>
    </w:p>
    <w:p w14:paraId="491A3A52" w14:textId="3C3367FC" w:rsidR="009D661E" w:rsidRPr="00AC57EA" w:rsidRDefault="004C2BD8" w:rsidP="00B26781">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If, for causes that can be attributed to the beneficiaries of the compensation or their heirs, it is not possible to pay the amounts established within the time frame indicated, the State shall deposit the said amounts in their favor in a deposit account or certificate in a solvent Nicaraguan financial institution, in </w:t>
      </w:r>
      <w:r w:rsidR="00BB0638" w:rsidRPr="00AC57EA">
        <w:rPr>
          <w:rFonts w:eastAsia="MS Mincho"/>
          <w:sz w:val="20"/>
          <w:szCs w:val="20"/>
          <w:lang w:val="en-US" w:bidi="en-US"/>
        </w:rPr>
        <w:t>United States dollars</w:t>
      </w:r>
      <w:r w:rsidRPr="00AC57EA">
        <w:rPr>
          <w:rFonts w:eastAsia="MS Mincho"/>
          <w:sz w:val="20"/>
          <w:szCs w:val="20"/>
          <w:lang w:val="en-US" w:bidi="en-US"/>
        </w:rPr>
        <w:t xml:space="preserve"> </w:t>
      </w:r>
      <w:r w:rsidR="00171E27" w:rsidRPr="00AC57EA">
        <w:rPr>
          <w:rFonts w:eastAsia="MS Mincho"/>
          <w:sz w:val="20"/>
          <w:szCs w:val="20"/>
          <w:lang w:val="en-US" w:bidi="en-US"/>
        </w:rPr>
        <w:t>and</w:t>
      </w:r>
      <w:r w:rsidRPr="00AC57EA">
        <w:rPr>
          <w:rFonts w:eastAsia="MS Mincho"/>
          <w:sz w:val="20"/>
          <w:szCs w:val="20"/>
          <w:lang w:val="en-US" w:bidi="en-US"/>
        </w:rPr>
        <w:t xml:space="preserve"> in the most favorable financial conditions permitted by banking law and practice. If the corresponding compensation is not claimed after ten years, the amounts shall be returned to the State with the interests accrued. </w:t>
      </w:r>
    </w:p>
    <w:p w14:paraId="0E3C24D9" w14:textId="77777777" w:rsidR="009D661E" w:rsidRPr="00AC57EA" w:rsidRDefault="009D661E" w:rsidP="00B26781">
      <w:pPr>
        <w:spacing w:line="240" w:lineRule="auto"/>
        <w:ind w:left="720"/>
        <w:rPr>
          <w:sz w:val="20"/>
          <w:szCs w:val="20"/>
          <w:lang w:val="en-US"/>
        </w:rPr>
      </w:pPr>
    </w:p>
    <w:p w14:paraId="345E5E84" w14:textId="714D72C8" w:rsidR="009D661E" w:rsidRPr="00AC57EA" w:rsidRDefault="004C2BD8" w:rsidP="008F6E3F">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 xml:space="preserve">The amounts allocated in this judgment as compensation and to reimburse costs </w:t>
      </w:r>
      <w:r w:rsidR="007E72AE" w:rsidRPr="00AC57EA">
        <w:rPr>
          <w:rFonts w:eastAsia="MS Mincho"/>
          <w:sz w:val="20"/>
          <w:szCs w:val="20"/>
          <w:lang w:val="en-US" w:bidi="en-US"/>
        </w:rPr>
        <w:t>and expenses</w:t>
      </w:r>
      <w:r w:rsidR="009D661E" w:rsidRPr="00AC57EA">
        <w:rPr>
          <w:rFonts w:eastAsia="MS Mincho"/>
          <w:sz w:val="20"/>
          <w:szCs w:val="20"/>
          <w:lang w:val="en-US" w:bidi="en-US"/>
        </w:rPr>
        <w:t xml:space="preserve"> </w:t>
      </w:r>
      <w:r w:rsidRPr="00AC57EA">
        <w:rPr>
          <w:rFonts w:eastAsia="MS Mincho"/>
          <w:sz w:val="20"/>
          <w:szCs w:val="20"/>
          <w:lang w:val="en-US" w:bidi="en-US"/>
        </w:rPr>
        <w:t xml:space="preserve">shall be delivered to the persons and </w:t>
      </w:r>
      <w:r w:rsidR="00322E8C" w:rsidRPr="00AC57EA">
        <w:rPr>
          <w:rFonts w:eastAsia="MS Mincho"/>
          <w:sz w:val="20"/>
          <w:szCs w:val="20"/>
          <w:lang w:val="en-US" w:bidi="en-US"/>
        </w:rPr>
        <w:t>institutions</w:t>
      </w:r>
      <w:r w:rsidRPr="00AC57EA">
        <w:rPr>
          <w:rFonts w:eastAsia="MS Mincho"/>
          <w:sz w:val="20"/>
          <w:szCs w:val="20"/>
          <w:lang w:val="en-US" w:bidi="en-US"/>
        </w:rPr>
        <w:t xml:space="preserve"> indicated in full, as established in this judgment, without</w:t>
      </w:r>
      <w:r w:rsidR="00322E8C" w:rsidRPr="00AC57EA">
        <w:rPr>
          <w:rFonts w:eastAsia="MS Mincho"/>
          <w:sz w:val="20"/>
          <w:szCs w:val="20"/>
          <w:lang w:val="en-US" w:bidi="en-US"/>
        </w:rPr>
        <w:t xml:space="preserve"> any</w:t>
      </w:r>
      <w:r w:rsidRPr="00AC57EA">
        <w:rPr>
          <w:rFonts w:eastAsia="MS Mincho"/>
          <w:sz w:val="20"/>
          <w:szCs w:val="20"/>
          <w:lang w:val="en-US" w:bidi="en-US"/>
        </w:rPr>
        <w:t xml:space="preserve"> deductions arising from possible charges or taxes.</w:t>
      </w:r>
    </w:p>
    <w:p w14:paraId="235CC4F2" w14:textId="77777777" w:rsidR="009D661E" w:rsidRPr="00AC57EA" w:rsidRDefault="009D661E" w:rsidP="009D661E">
      <w:pPr>
        <w:spacing w:line="240" w:lineRule="auto"/>
        <w:ind w:left="720"/>
        <w:rPr>
          <w:sz w:val="20"/>
          <w:szCs w:val="20"/>
          <w:lang w:val="en-US"/>
        </w:rPr>
      </w:pPr>
    </w:p>
    <w:p w14:paraId="38FC4D55" w14:textId="43396029" w:rsidR="009D661E" w:rsidRPr="00AC57EA" w:rsidRDefault="003E1FEC" w:rsidP="009D661E">
      <w:pPr>
        <w:numPr>
          <w:ilvl w:val="0"/>
          <w:numId w:val="2"/>
        </w:numPr>
        <w:tabs>
          <w:tab w:val="left" w:pos="567"/>
          <w:tab w:val="num" w:pos="5057"/>
        </w:tabs>
        <w:spacing w:line="240" w:lineRule="auto"/>
        <w:ind w:left="0" w:firstLine="0"/>
        <w:textAlignment w:val="auto"/>
        <w:rPr>
          <w:rFonts w:eastAsia="MS Mincho"/>
          <w:sz w:val="20"/>
          <w:szCs w:val="20"/>
          <w:lang w:val="en-US" w:bidi="en-US"/>
        </w:rPr>
      </w:pPr>
      <w:r w:rsidRPr="00AC57EA">
        <w:rPr>
          <w:rFonts w:eastAsia="MS Mincho"/>
          <w:sz w:val="20"/>
          <w:szCs w:val="20"/>
          <w:lang w:val="en-US" w:bidi="en-US"/>
        </w:rPr>
        <w:t>If</w:t>
      </w:r>
      <w:r w:rsidR="009D661E" w:rsidRPr="00AC57EA">
        <w:rPr>
          <w:rFonts w:eastAsia="MS Mincho"/>
          <w:sz w:val="20"/>
          <w:szCs w:val="20"/>
          <w:lang w:val="en-US" w:bidi="en-US"/>
        </w:rPr>
        <w:t xml:space="preserve"> </w:t>
      </w:r>
      <w:r w:rsidR="00EC52D7" w:rsidRPr="00AC57EA">
        <w:rPr>
          <w:rFonts w:eastAsia="MS Mincho"/>
          <w:sz w:val="20"/>
          <w:szCs w:val="20"/>
          <w:lang w:val="en-US" w:bidi="en-US"/>
        </w:rPr>
        <w:t>the State</w:t>
      </w:r>
      <w:r w:rsidRPr="00AC57EA">
        <w:rPr>
          <w:rFonts w:eastAsia="MS Mincho"/>
          <w:sz w:val="20"/>
          <w:szCs w:val="20"/>
          <w:lang w:val="en-US" w:bidi="en-US"/>
        </w:rPr>
        <w:t xml:space="preserve"> should fall into arrears, including with the reimbursement to the </w:t>
      </w:r>
      <w:r w:rsidR="007E72AE" w:rsidRPr="00AC57EA">
        <w:rPr>
          <w:rFonts w:eastAsia="MS Mincho" w:cs="Verdana"/>
          <w:sz w:val="20"/>
          <w:szCs w:val="20"/>
          <w:lang w:val="en-US" w:bidi="en-US"/>
        </w:rPr>
        <w:t>Victims’ Legal Assistance Fund</w:t>
      </w:r>
      <w:r w:rsidR="009D661E" w:rsidRPr="00AC57EA">
        <w:rPr>
          <w:rFonts w:eastAsia="MS Mincho"/>
          <w:sz w:val="20"/>
          <w:szCs w:val="20"/>
          <w:lang w:val="en-US" w:bidi="en-US"/>
        </w:rPr>
        <w:t xml:space="preserve">, </w:t>
      </w:r>
      <w:r w:rsidRPr="00AC57EA">
        <w:rPr>
          <w:rFonts w:eastAsia="MS Mincho"/>
          <w:sz w:val="20"/>
          <w:szCs w:val="20"/>
          <w:lang w:val="en-US" w:bidi="en-US"/>
        </w:rPr>
        <w:t xml:space="preserve">it shall pay interest on the amount owed corresponding to banking interest on arrears in </w:t>
      </w:r>
      <w:r w:rsidR="00EC52D7" w:rsidRPr="00AC57EA">
        <w:rPr>
          <w:rFonts w:eastAsia="MS Mincho"/>
          <w:sz w:val="20"/>
          <w:szCs w:val="20"/>
          <w:lang w:val="en-US" w:bidi="en-US"/>
        </w:rPr>
        <w:t>the Republic of</w:t>
      </w:r>
      <w:r w:rsidR="009D661E" w:rsidRPr="00AC57EA">
        <w:rPr>
          <w:rFonts w:eastAsia="MS Mincho"/>
          <w:sz w:val="20"/>
          <w:szCs w:val="20"/>
          <w:lang w:val="en-US" w:bidi="en-US"/>
        </w:rPr>
        <w:t xml:space="preserve"> Nicaragua.</w:t>
      </w:r>
    </w:p>
    <w:p w14:paraId="422F926A" w14:textId="77777777" w:rsidR="009D661E" w:rsidRPr="00AC57EA" w:rsidRDefault="009D661E" w:rsidP="009D661E">
      <w:pPr>
        <w:tabs>
          <w:tab w:val="left" w:pos="567"/>
        </w:tabs>
        <w:spacing w:line="240" w:lineRule="auto"/>
        <w:rPr>
          <w:rFonts w:eastAsia="MS Mincho"/>
          <w:sz w:val="20"/>
          <w:szCs w:val="20"/>
          <w:lang w:val="en-US" w:bidi="en-US"/>
        </w:rPr>
      </w:pPr>
    </w:p>
    <w:p w14:paraId="3610D2DC" w14:textId="7E1A6F87" w:rsidR="009D661E" w:rsidRPr="00AC57EA" w:rsidRDefault="009D661E" w:rsidP="009D661E">
      <w:pPr>
        <w:keepNext/>
        <w:keepLines/>
        <w:tabs>
          <w:tab w:val="left" w:pos="851"/>
        </w:tabs>
        <w:spacing w:line="240" w:lineRule="auto"/>
        <w:jc w:val="center"/>
        <w:outlineLvl w:val="0"/>
        <w:rPr>
          <w:rFonts w:cs="Verdana"/>
          <w:b/>
          <w:bCs/>
          <w:caps/>
          <w:snapToGrid w:val="0"/>
          <w:sz w:val="20"/>
          <w:szCs w:val="20"/>
          <w:lang w:val="en-US"/>
        </w:rPr>
      </w:pPr>
      <w:bookmarkStart w:id="173" w:name="_Toc495658707"/>
      <w:bookmarkStart w:id="174" w:name="_Toc470180115"/>
      <w:bookmarkStart w:id="175" w:name="_Toc459158160"/>
      <w:bookmarkStart w:id="176" w:name="_Toc375517156"/>
      <w:bookmarkStart w:id="177" w:name="_Toc514172675"/>
      <w:r w:rsidRPr="00AC57EA">
        <w:rPr>
          <w:rFonts w:cs="Verdana"/>
          <w:b/>
          <w:bCs/>
          <w:caps/>
          <w:snapToGrid w:val="0"/>
          <w:sz w:val="20"/>
          <w:szCs w:val="20"/>
          <w:lang w:val="en-US"/>
        </w:rPr>
        <w:t>X</w:t>
      </w:r>
      <w:r w:rsidRPr="00AC57EA">
        <w:rPr>
          <w:rFonts w:cs="Verdana"/>
          <w:b/>
          <w:bCs/>
          <w:caps/>
          <w:snapToGrid w:val="0"/>
          <w:sz w:val="20"/>
          <w:szCs w:val="20"/>
          <w:lang w:val="en-US"/>
        </w:rPr>
        <w:br/>
      </w:r>
      <w:r w:rsidR="002A5974" w:rsidRPr="00AC57EA">
        <w:rPr>
          <w:rFonts w:cs="Verdana"/>
          <w:b/>
          <w:bCs/>
          <w:caps/>
          <w:snapToGrid w:val="0"/>
          <w:sz w:val="20"/>
          <w:szCs w:val="20"/>
          <w:lang w:val="en-US"/>
        </w:rPr>
        <w:t>OPERATIVE PARAGRAPHS</w:t>
      </w:r>
      <w:bookmarkEnd w:id="173"/>
      <w:bookmarkEnd w:id="174"/>
      <w:bookmarkEnd w:id="175"/>
      <w:bookmarkEnd w:id="176"/>
      <w:bookmarkEnd w:id="177"/>
    </w:p>
    <w:p w14:paraId="3E762068" w14:textId="77777777" w:rsidR="009D661E" w:rsidRPr="00AC57EA" w:rsidRDefault="009D661E" w:rsidP="009D661E">
      <w:pPr>
        <w:pStyle w:val="Prrafodelista"/>
        <w:widowControl/>
        <w:adjustRightInd/>
        <w:spacing w:line="240" w:lineRule="auto"/>
        <w:ind w:left="0"/>
        <w:jc w:val="left"/>
        <w:textAlignment w:val="auto"/>
        <w:rPr>
          <w:sz w:val="20"/>
          <w:szCs w:val="20"/>
          <w:lang w:val="en-US"/>
        </w:rPr>
      </w:pPr>
    </w:p>
    <w:p w14:paraId="3A9B47CB" w14:textId="4527FE47" w:rsidR="009D0B2B" w:rsidRPr="00AC57EA" w:rsidRDefault="002A5974" w:rsidP="009D0B2B">
      <w:pPr>
        <w:numPr>
          <w:ilvl w:val="0"/>
          <w:numId w:val="2"/>
        </w:numPr>
        <w:tabs>
          <w:tab w:val="left" w:pos="567"/>
          <w:tab w:val="num" w:pos="12305"/>
        </w:tabs>
        <w:spacing w:line="240" w:lineRule="auto"/>
        <w:ind w:left="0" w:firstLine="0"/>
        <w:rPr>
          <w:sz w:val="20"/>
          <w:szCs w:val="20"/>
          <w:lang w:val="en-US"/>
        </w:rPr>
      </w:pPr>
      <w:r w:rsidRPr="00AC57EA">
        <w:rPr>
          <w:sz w:val="20"/>
          <w:szCs w:val="20"/>
          <w:lang w:val="en-US"/>
        </w:rPr>
        <w:t>Therefore</w:t>
      </w:r>
      <w:r w:rsidR="00FC7260" w:rsidRPr="00AC57EA">
        <w:rPr>
          <w:sz w:val="20"/>
          <w:szCs w:val="20"/>
          <w:lang w:val="en-US"/>
        </w:rPr>
        <w:t>,</w:t>
      </w:r>
    </w:p>
    <w:p w14:paraId="721E0C89" w14:textId="77777777" w:rsidR="009D0B2B" w:rsidRPr="00AC57EA" w:rsidRDefault="009D0B2B" w:rsidP="009D0B2B">
      <w:pPr>
        <w:pStyle w:val="Prrafodelista2"/>
        <w:tabs>
          <w:tab w:val="left" w:pos="720"/>
        </w:tabs>
        <w:ind w:right="-90"/>
        <w:contextualSpacing/>
        <w:rPr>
          <w:lang w:val="en-US"/>
        </w:rPr>
      </w:pPr>
    </w:p>
    <w:p w14:paraId="05D3E327" w14:textId="2FF7ABD6" w:rsidR="009D0B2B" w:rsidRPr="00AC57EA" w:rsidRDefault="00B7258C" w:rsidP="009D0B2B">
      <w:pPr>
        <w:pStyle w:val="Prrafodelista2"/>
        <w:tabs>
          <w:tab w:val="left" w:pos="720"/>
        </w:tabs>
        <w:ind w:left="0" w:right="-90"/>
        <w:contextualSpacing/>
        <w:rPr>
          <w:lang w:val="en-US"/>
        </w:rPr>
      </w:pPr>
      <w:r w:rsidRPr="00AC57EA">
        <w:rPr>
          <w:b/>
          <w:bCs/>
          <w:lang w:val="en-US"/>
        </w:rPr>
        <w:t>THE COURT</w:t>
      </w:r>
    </w:p>
    <w:p w14:paraId="2CBDFA8E" w14:textId="77777777" w:rsidR="009D0B2B" w:rsidRPr="00AC57EA" w:rsidRDefault="009D0B2B" w:rsidP="009D0B2B">
      <w:pPr>
        <w:pStyle w:val="Prrafodelista2"/>
        <w:tabs>
          <w:tab w:val="left" w:pos="720"/>
        </w:tabs>
        <w:ind w:left="0" w:right="-90"/>
        <w:contextualSpacing/>
        <w:rPr>
          <w:lang w:val="en-US"/>
        </w:rPr>
      </w:pPr>
    </w:p>
    <w:p w14:paraId="0F41D395" w14:textId="2FFEE781" w:rsidR="009D0B2B" w:rsidRPr="00AC57EA" w:rsidRDefault="00FC7260" w:rsidP="009D0B2B">
      <w:pPr>
        <w:pStyle w:val="Prrafodelista2"/>
        <w:tabs>
          <w:tab w:val="left" w:pos="720"/>
        </w:tabs>
        <w:ind w:left="0" w:right="-90"/>
        <w:contextualSpacing/>
        <w:rPr>
          <w:b/>
          <w:lang w:val="en-US"/>
        </w:rPr>
      </w:pPr>
      <w:r w:rsidRPr="00AC57EA">
        <w:rPr>
          <w:b/>
          <w:lang w:val="en-US"/>
        </w:rPr>
        <w:t>DECIDE</w:t>
      </w:r>
      <w:r w:rsidR="002A5974" w:rsidRPr="00AC57EA">
        <w:rPr>
          <w:b/>
          <w:lang w:val="en-US"/>
        </w:rPr>
        <w:t>S</w:t>
      </w:r>
      <w:r w:rsidRPr="00AC57EA">
        <w:rPr>
          <w:b/>
          <w:lang w:val="en-US"/>
        </w:rPr>
        <w:t>,</w:t>
      </w:r>
    </w:p>
    <w:p w14:paraId="6B5EC53B" w14:textId="77777777" w:rsidR="009D0B2B" w:rsidRPr="00AC57EA" w:rsidRDefault="009D0B2B" w:rsidP="009D0B2B">
      <w:pPr>
        <w:pStyle w:val="Prrafodelista2"/>
        <w:tabs>
          <w:tab w:val="left" w:pos="720"/>
        </w:tabs>
        <w:ind w:left="0" w:right="-90"/>
        <w:contextualSpacing/>
        <w:rPr>
          <w:lang w:val="en-US"/>
        </w:rPr>
      </w:pPr>
    </w:p>
    <w:p w14:paraId="2DC15AED" w14:textId="6465C9E3" w:rsidR="009D0B2B" w:rsidRPr="00AC57EA" w:rsidRDefault="002A5974" w:rsidP="009D0B2B">
      <w:pPr>
        <w:pStyle w:val="Prrafodelista2"/>
        <w:tabs>
          <w:tab w:val="left" w:pos="720"/>
        </w:tabs>
        <w:ind w:left="0" w:right="-90"/>
        <w:contextualSpacing/>
        <w:rPr>
          <w:lang w:val="en-US"/>
        </w:rPr>
      </w:pPr>
      <w:r w:rsidRPr="00AC57EA">
        <w:rPr>
          <w:lang w:val="en-US"/>
        </w:rPr>
        <w:t>Unanimously</w:t>
      </w:r>
      <w:r w:rsidR="00FC7260" w:rsidRPr="00AC57EA">
        <w:rPr>
          <w:lang w:val="en-US"/>
        </w:rPr>
        <w:t>,</w:t>
      </w:r>
    </w:p>
    <w:p w14:paraId="6DC9FE8D" w14:textId="77777777" w:rsidR="009D0B2B" w:rsidRPr="00AC57EA" w:rsidRDefault="009D0B2B" w:rsidP="009D0B2B">
      <w:pPr>
        <w:pStyle w:val="Prrafodelista2"/>
        <w:tabs>
          <w:tab w:val="left" w:pos="720"/>
        </w:tabs>
        <w:ind w:left="0" w:right="-90"/>
        <w:contextualSpacing/>
        <w:rPr>
          <w:lang w:val="en-US"/>
        </w:rPr>
      </w:pPr>
    </w:p>
    <w:p w14:paraId="3D3A5C52" w14:textId="65A588F4" w:rsidR="009D0B2B" w:rsidRPr="00AC57EA" w:rsidRDefault="002A5974" w:rsidP="009D0B2B">
      <w:pPr>
        <w:widowControl/>
        <w:numPr>
          <w:ilvl w:val="0"/>
          <w:numId w:val="21"/>
        </w:numPr>
        <w:tabs>
          <w:tab w:val="left" w:pos="720"/>
        </w:tabs>
        <w:adjustRightInd/>
        <w:spacing w:line="240" w:lineRule="auto"/>
        <w:ind w:right="-90"/>
        <w:contextualSpacing/>
        <w:textAlignment w:val="auto"/>
        <w:rPr>
          <w:sz w:val="20"/>
          <w:szCs w:val="20"/>
          <w:lang w:val="en-US"/>
        </w:rPr>
      </w:pPr>
      <w:r w:rsidRPr="00AC57EA">
        <w:rPr>
          <w:rFonts w:eastAsia="MS Mincho"/>
          <w:sz w:val="20"/>
          <w:szCs w:val="20"/>
          <w:lang w:val="en-US"/>
        </w:rPr>
        <w:t>To reject the</w:t>
      </w:r>
      <w:r w:rsidR="009D0B2B" w:rsidRPr="00AC57EA">
        <w:rPr>
          <w:sz w:val="20"/>
          <w:szCs w:val="20"/>
          <w:lang w:val="en-US"/>
        </w:rPr>
        <w:t xml:space="preserve"> </w:t>
      </w:r>
      <w:r w:rsidR="00DF2B30" w:rsidRPr="00AC57EA">
        <w:rPr>
          <w:sz w:val="20"/>
          <w:szCs w:val="20"/>
          <w:lang w:val="en-US"/>
        </w:rPr>
        <w:t>preliminary objection</w:t>
      </w:r>
      <w:r w:rsidR="009D0B2B" w:rsidRPr="00AC57EA">
        <w:rPr>
          <w:sz w:val="20"/>
          <w:szCs w:val="20"/>
          <w:lang w:val="en-US"/>
        </w:rPr>
        <w:t xml:space="preserve"> </w:t>
      </w:r>
      <w:r w:rsidRPr="00AC57EA">
        <w:rPr>
          <w:sz w:val="20"/>
          <w:szCs w:val="20"/>
          <w:lang w:val="en-US"/>
        </w:rPr>
        <w:t>filed by</w:t>
      </w:r>
      <w:r w:rsidR="009D0B2B" w:rsidRPr="00AC57EA">
        <w:rPr>
          <w:sz w:val="20"/>
          <w:szCs w:val="20"/>
          <w:lang w:val="en-US"/>
        </w:rPr>
        <w:t xml:space="preserve"> </w:t>
      </w:r>
      <w:r w:rsidR="00EC52D7" w:rsidRPr="00AC57EA">
        <w:rPr>
          <w:sz w:val="20"/>
          <w:szCs w:val="20"/>
          <w:lang w:val="en-US"/>
        </w:rPr>
        <w:t>the State</w:t>
      </w:r>
      <w:r w:rsidR="009D0B2B" w:rsidRPr="00AC57EA">
        <w:rPr>
          <w:sz w:val="20"/>
          <w:szCs w:val="20"/>
          <w:lang w:val="en-US"/>
        </w:rPr>
        <w:t xml:space="preserve"> </w:t>
      </w:r>
      <w:r w:rsidRPr="00AC57EA">
        <w:rPr>
          <w:sz w:val="20"/>
          <w:szCs w:val="20"/>
          <w:lang w:val="en-US"/>
        </w:rPr>
        <w:t>on the</w:t>
      </w:r>
      <w:r w:rsidR="009E569E" w:rsidRPr="00AC57EA">
        <w:rPr>
          <w:sz w:val="20"/>
          <w:szCs w:val="20"/>
          <w:lang w:val="en-US"/>
        </w:rPr>
        <w:t xml:space="preserve"> alleged failure to exhaust domestic remedies</w:t>
      </w:r>
      <w:r w:rsidR="009D0B2B" w:rsidRPr="00AC57EA">
        <w:rPr>
          <w:sz w:val="20"/>
          <w:szCs w:val="20"/>
          <w:lang w:val="en-US"/>
        </w:rPr>
        <w:t xml:space="preserve">, </w:t>
      </w:r>
      <w:r w:rsidR="00EB338E" w:rsidRPr="00AC57EA">
        <w:rPr>
          <w:sz w:val="20"/>
          <w:szCs w:val="20"/>
          <w:lang w:val="en-US"/>
        </w:rPr>
        <w:t>pursuant to</w:t>
      </w:r>
      <w:r w:rsidR="009D0B2B" w:rsidRPr="00AC57EA">
        <w:rPr>
          <w:sz w:val="20"/>
          <w:szCs w:val="20"/>
          <w:lang w:val="en-US"/>
        </w:rPr>
        <w:t xml:space="preserve"> </w:t>
      </w:r>
      <w:r w:rsidR="005A2722" w:rsidRPr="00AC57EA">
        <w:rPr>
          <w:sz w:val="20"/>
          <w:szCs w:val="20"/>
          <w:lang w:val="en-US"/>
        </w:rPr>
        <w:t>paragraphs</w:t>
      </w:r>
      <w:r w:rsidR="009D0B2B" w:rsidRPr="00AC57EA">
        <w:rPr>
          <w:sz w:val="20"/>
          <w:szCs w:val="20"/>
          <w:lang w:val="en-US"/>
        </w:rPr>
        <w:t xml:space="preserve"> </w:t>
      </w:r>
      <w:r w:rsidR="00182DC6" w:rsidRPr="00AC57EA">
        <w:rPr>
          <w:sz w:val="20"/>
          <w:szCs w:val="20"/>
          <w:lang w:val="en-US"/>
        </w:rPr>
        <w:t>21</w:t>
      </w:r>
      <w:r w:rsidR="009D0B2B" w:rsidRPr="00AC57EA">
        <w:rPr>
          <w:sz w:val="20"/>
          <w:szCs w:val="20"/>
          <w:lang w:val="en-US"/>
        </w:rPr>
        <w:t xml:space="preserve"> </w:t>
      </w:r>
      <w:r w:rsidRPr="00AC57EA">
        <w:rPr>
          <w:sz w:val="20"/>
          <w:szCs w:val="20"/>
          <w:lang w:val="en-US"/>
        </w:rPr>
        <w:t>to</w:t>
      </w:r>
      <w:r w:rsidR="009D0B2B" w:rsidRPr="00AC57EA">
        <w:rPr>
          <w:sz w:val="20"/>
          <w:szCs w:val="20"/>
          <w:lang w:val="en-US"/>
        </w:rPr>
        <w:t xml:space="preserve"> </w:t>
      </w:r>
      <w:r w:rsidR="00182DC6" w:rsidRPr="00AC57EA">
        <w:rPr>
          <w:sz w:val="20"/>
          <w:szCs w:val="20"/>
          <w:lang w:val="en-US"/>
        </w:rPr>
        <w:t>29</w:t>
      </w:r>
      <w:r w:rsidR="009D0B2B" w:rsidRPr="00AC57EA">
        <w:rPr>
          <w:sz w:val="20"/>
          <w:szCs w:val="20"/>
          <w:lang w:val="en-US"/>
        </w:rPr>
        <w:t xml:space="preserve"> </w:t>
      </w:r>
      <w:r w:rsidR="00171E27" w:rsidRPr="00AC57EA">
        <w:rPr>
          <w:sz w:val="20"/>
          <w:szCs w:val="20"/>
          <w:lang w:val="en-US"/>
        </w:rPr>
        <w:t>of this judgment</w:t>
      </w:r>
      <w:r w:rsidR="009D0B2B" w:rsidRPr="00AC57EA">
        <w:rPr>
          <w:sz w:val="20"/>
          <w:szCs w:val="20"/>
          <w:lang w:val="en-US"/>
        </w:rPr>
        <w:t>.</w:t>
      </w:r>
      <w:r w:rsidR="009D0B2B" w:rsidRPr="00AC57EA">
        <w:rPr>
          <w:sz w:val="20"/>
          <w:szCs w:val="20"/>
          <w:lang w:val="en-US"/>
        </w:rPr>
        <w:cr/>
      </w:r>
    </w:p>
    <w:p w14:paraId="1DB2EBFA" w14:textId="315624ED" w:rsidR="009334DB" w:rsidRPr="00AC57EA" w:rsidRDefault="002A5974" w:rsidP="009334DB">
      <w:pPr>
        <w:widowControl/>
        <w:numPr>
          <w:ilvl w:val="0"/>
          <w:numId w:val="21"/>
        </w:numPr>
        <w:tabs>
          <w:tab w:val="left" w:pos="720"/>
        </w:tabs>
        <w:adjustRightInd/>
        <w:spacing w:line="240" w:lineRule="auto"/>
        <w:ind w:right="-90"/>
        <w:contextualSpacing/>
        <w:textAlignment w:val="auto"/>
        <w:rPr>
          <w:lang w:val="en-US"/>
        </w:rPr>
      </w:pPr>
      <w:r w:rsidRPr="00AC57EA">
        <w:rPr>
          <w:rFonts w:eastAsia="MS Mincho"/>
          <w:sz w:val="20"/>
          <w:szCs w:val="20"/>
          <w:lang w:val="en-US"/>
        </w:rPr>
        <w:t>To reject the</w:t>
      </w:r>
      <w:r w:rsidRPr="00AC57EA">
        <w:rPr>
          <w:sz w:val="20"/>
          <w:szCs w:val="20"/>
          <w:lang w:val="en-US"/>
        </w:rPr>
        <w:t xml:space="preserve"> </w:t>
      </w:r>
      <w:r w:rsidR="00DF2B30" w:rsidRPr="00AC57EA">
        <w:rPr>
          <w:sz w:val="20"/>
          <w:szCs w:val="20"/>
          <w:lang w:val="en-US"/>
        </w:rPr>
        <w:t>preliminary objection</w:t>
      </w:r>
      <w:r w:rsidR="009334DB" w:rsidRPr="00AC57EA">
        <w:rPr>
          <w:sz w:val="20"/>
          <w:szCs w:val="20"/>
          <w:lang w:val="en-US"/>
        </w:rPr>
        <w:t xml:space="preserve"> </w:t>
      </w:r>
      <w:r w:rsidRPr="00AC57EA">
        <w:rPr>
          <w:sz w:val="20"/>
          <w:szCs w:val="20"/>
          <w:lang w:val="en-US"/>
        </w:rPr>
        <w:t>filed by</w:t>
      </w:r>
      <w:r w:rsidR="009334DB" w:rsidRPr="00AC57EA">
        <w:rPr>
          <w:sz w:val="20"/>
          <w:szCs w:val="20"/>
          <w:lang w:val="en-US"/>
        </w:rPr>
        <w:t xml:space="preserve"> </w:t>
      </w:r>
      <w:r w:rsidR="00EC52D7" w:rsidRPr="00AC57EA">
        <w:rPr>
          <w:sz w:val="20"/>
          <w:szCs w:val="20"/>
          <w:lang w:val="en-US"/>
        </w:rPr>
        <w:t>the State</w:t>
      </w:r>
      <w:r w:rsidR="009334DB" w:rsidRPr="00AC57EA">
        <w:rPr>
          <w:sz w:val="20"/>
          <w:szCs w:val="20"/>
          <w:lang w:val="en-US"/>
        </w:rPr>
        <w:t xml:space="preserve"> </w:t>
      </w:r>
      <w:r w:rsidRPr="00AC57EA">
        <w:rPr>
          <w:sz w:val="20"/>
          <w:szCs w:val="20"/>
          <w:lang w:val="en-US"/>
        </w:rPr>
        <w:t>on the alleged lack of jurisdiction</w:t>
      </w:r>
      <w:r w:rsidR="009334DB" w:rsidRPr="00AC57EA">
        <w:rPr>
          <w:sz w:val="20"/>
          <w:szCs w:val="20"/>
          <w:lang w:val="en-US"/>
        </w:rPr>
        <w:t xml:space="preserve"> </w:t>
      </w:r>
      <w:r w:rsidR="009334DB" w:rsidRPr="00AC57EA">
        <w:rPr>
          <w:i/>
          <w:sz w:val="20"/>
          <w:szCs w:val="20"/>
          <w:lang w:val="en-US"/>
        </w:rPr>
        <w:t xml:space="preserve">ratione </w:t>
      </w:r>
      <w:r w:rsidR="00985CDE" w:rsidRPr="00AC57EA">
        <w:rPr>
          <w:i/>
          <w:sz w:val="20"/>
          <w:szCs w:val="20"/>
          <w:lang w:val="en-US"/>
        </w:rPr>
        <w:t xml:space="preserve">temporis </w:t>
      </w:r>
      <w:r w:rsidR="00985CDE" w:rsidRPr="00AC57EA">
        <w:rPr>
          <w:iCs/>
          <w:sz w:val="20"/>
          <w:szCs w:val="20"/>
          <w:lang w:val="en-US"/>
        </w:rPr>
        <w:t>of the Inter-American Commission</w:t>
      </w:r>
      <w:r w:rsidRPr="00AC57EA">
        <w:rPr>
          <w:iCs/>
          <w:sz w:val="20"/>
          <w:szCs w:val="20"/>
          <w:lang w:val="en-US"/>
        </w:rPr>
        <w:t xml:space="preserve"> on Human Rights</w:t>
      </w:r>
      <w:r w:rsidR="00985CDE" w:rsidRPr="00AC57EA">
        <w:rPr>
          <w:iCs/>
          <w:sz w:val="20"/>
          <w:szCs w:val="20"/>
          <w:lang w:val="en-US"/>
        </w:rPr>
        <w:t xml:space="preserve"> and the</w:t>
      </w:r>
      <w:r w:rsidR="00B7258C" w:rsidRPr="00AC57EA">
        <w:rPr>
          <w:sz w:val="20"/>
          <w:szCs w:val="20"/>
          <w:lang w:val="en-US"/>
        </w:rPr>
        <w:t xml:space="preserve"> </w:t>
      </w:r>
      <w:r w:rsidRPr="00AC57EA">
        <w:rPr>
          <w:sz w:val="20"/>
          <w:szCs w:val="20"/>
          <w:lang w:val="en-US"/>
        </w:rPr>
        <w:t xml:space="preserve">Inter-American </w:t>
      </w:r>
      <w:r w:rsidR="00B7258C" w:rsidRPr="00AC57EA">
        <w:rPr>
          <w:sz w:val="20"/>
          <w:szCs w:val="20"/>
          <w:lang w:val="en-US"/>
        </w:rPr>
        <w:t>Court of Human Rights</w:t>
      </w:r>
      <w:r w:rsidR="009334DB" w:rsidRPr="00AC57EA">
        <w:rPr>
          <w:sz w:val="20"/>
          <w:szCs w:val="20"/>
          <w:lang w:val="en-US"/>
        </w:rPr>
        <w:t xml:space="preserve">, </w:t>
      </w:r>
      <w:r w:rsidR="00EB338E" w:rsidRPr="00AC57EA">
        <w:rPr>
          <w:sz w:val="20"/>
          <w:szCs w:val="20"/>
          <w:lang w:val="en-US"/>
        </w:rPr>
        <w:t>pursuant to</w:t>
      </w:r>
      <w:r w:rsidR="009334DB" w:rsidRPr="00AC57EA">
        <w:rPr>
          <w:sz w:val="20"/>
          <w:szCs w:val="20"/>
          <w:lang w:val="en-US"/>
        </w:rPr>
        <w:t xml:space="preserve"> </w:t>
      </w:r>
      <w:r w:rsidR="005A2722" w:rsidRPr="00AC57EA">
        <w:rPr>
          <w:sz w:val="20"/>
          <w:szCs w:val="20"/>
          <w:lang w:val="en-US"/>
        </w:rPr>
        <w:t>paragraphs</w:t>
      </w:r>
      <w:r w:rsidR="009334DB" w:rsidRPr="00AC57EA">
        <w:rPr>
          <w:sz w:val="20"/>
          <w:szCs w:val="20"/>
          <w:lang w:val="en-US"/>
        </w:rPr>
        <w:t xml:space="preserve"> </w:t>
      </w:r>
      <w:r w:rsidR="00182DC6" w:rsidRPr="00AC57EA">
        <w:rPr>
          <w:sz w:val="20"/>
          <w:szCs w:val="20"/>
          <w:lang w:val="en-US"/>
        </w:rPr>
        <w:t>33</w:t>
      </w:r>
      <w:r w:rsidR="009334DB" w:rsidRPr="00AC57EA">
        <w:rPr>
          <w:sz w:val="20"/>
          <w:szCs w:val="20"/>
          <w:lang w:val="en-US"/>
        </w:rPr>
        <w:t xml:space="preserve"> </w:t>
      </w:r>
      <w:r w:rsidRPr="00AC57EA">
        <w:rPr>
          <w:sz w:val="20"/>
          <w:szCs w:val="20"/>
          <w:lang w:val="en-US"/>
        </w:rPr>
        <w:t>to</w:t>
      </w:r>
      <w:r w:rsidR="009334DB" w:rsidRPr="00AC57EA">
        <w:rPr>
          <w:sz w:val="20"/>
          <w:szCs w:val="20"/>
          <w:lang w:val="en-US"/>
        </w:rPr>
        <w:t xml:space="preserve"> </w:t>
      </w:r>
      <w:r w:rsidR="00182DC6" w:rsidRPr="00AC57EA">
        <w:rPr>
          <w:sz w:val="20"/>
          <w:szCs w:val="20"/>
          <w:lang w:val="en-US"/>
        </w:rPr>
        <w:t>36</w:t>
      </w:r>
      <w:r w:rsidR="009334DB" w:rsidRPr="00AC57EA">
        <w:rPr>
          <w:sz w:val="20"/>
          <w:szCs w:val="20"/>
          <w:lang w:val="en-US"/>
        </w:rPr>
        <w:t xml:space="preserve"> </w:t>
      </w:r>
      <w:r w:rsidR="00171E27" w:rsidRPr="00AC57EA">
        <w:rPr>
          <w:sz w:val="20"/>
          <w:szCs w:val="20"/>
          <w:lang w:val="en-US"/>
        </w:rPr>
        <w:t>of this judgment</w:t>
      </w:r>
      <w:r w:rsidR="009334DB" w:rsidRPr="00AC57EA">
        <w:rPr>
          <w:sz w:val="20"/>
          <w:szCs w:val="20"/>
          <w:lang w:val="en-US"/>
        </w:rPr>
        <w:t>.</w:t>
      </w:r>
    </w:p>
    <w:p w14:paraId="2CE99F1C" w14:textId="77777777" w:rsidR="009334DB" w:rsidRPr="00AC57EA" w:rsidRDefault="009334DB" w:rsidP="009334DB">
      <w:pPr>
        <w:widowControl/>
        <w:tabs>
          <w:tab w:val="left" w:pos="720"/>
        </w:tabs>
        <w:adjustRightInd/>
        <w:spacing w:line="240" w:lineRule="auto"/>
        <w:ind w:right="-90"/>
        <w:contextualSpacing/>
        <w:textAlignment w:val="auto"/>
        <w:rPr>
          <w:sz w:val="20"/>
          <w:szCs w:val="20"/>
          <w:lang w:val="en-US"/>
        </w:rPr>
      </w:pPr>
    </w:p>
    <w:p w14:paraId="55C2738F" w14:textId="087483A5" w:rsidR="009334DB" w:rsidRPr="00AC57EA" w:rsidRDefault="002A5974" w:rsidP="009334DB">
      <w:pPr>
        <w:widowControl/>
        <w:numPr>
          <w:ilvl w:val="0"/>
          <w:numId w:val="21"/>
        </w:numPr>
        <w:tabs>
          <w:tab w:val="left" w:pos="720"/>
        </w:tabs>
        <w:adjustRightInd/>
        <w:spacing w:line="240" w:lineRule="auto"/>
        <w:ind w:right="-90"/>
        <w:contextualSpacing/>
        <w:textAlignment w:val="auto"/>
        <w:rPr>
          <w:sz w:val="20"/>
          <w:szCs w:val="20"/>
          <w:lang w:val="en-US"/>
        </w:rPr>
      </w:pPr>
      <w:r w:rsidRPr="00AC57EA">
        <w:rPr>
          <w:rFonts w:eastAsia="MS Mincho"/>
          <w:sz w:val="20"/>
          <w:szCs w:val="20"/>
          <w:lang w:val="en-US"/>
        </w:rPr>
        <w:t>To reject the</w:t>
      </w:r>
      <w:r w:rsidRPr="00AC57EA">
        <w:rPr>
          <w:sz w:val="20"/>
          <w:szCs w:val="20"/>
          <w:lang w:val="en-US"/>
        </w:rPr>
        <w:t xml:space="preserve"> </w:t>
      </w:r>
      <w:r w:rsidR="00DF2B30" w:rsidRPr="00AC57EA">
        <w:rPr>
          <w:sz w:val="20"/>
          <w:szCs w:val="20"/>
          <w:lang w:val="en-US"/>
        </w:rPr>
        <w:t>preliminary objection</w:t>
      </w:r>
      <w:r w:rsidR="009334DB" w:rsidRPr="00AC57EA">
        <w:rPr>
          <w:sz w:val="20"/>
          <w:szCs w:val="20"/>
          <w:lang w:val="en-US"/>
        </w:rPr>
        <w:t xml:space="preserve"> </w:t>
      </w:r>
      <w:r w:rsidRPr="00AC57EA">
        <w:rPr>
          <w:sz w:val="20"/>
          <w:szCs w:val="20"/>
          <w:lang w:val="en-US"/>
        </w:rPr>
        <w:t xml:space="preserve">filed by </w:t>
      </w:r>
      <w:r w:rsidR="00EC52D7" w:rsidRPr="00AC57EA">
        <w:rPr>
          <w:sz w:val="20"/>
          <w:szCs w:val="20"/>
          <w:lang w:val="en-US"/>
        </w:rPr>
        <w:t>the State</w:t>
      </w:r>
      <w:r w:rsidR="009334DB" w:rsidRPr="00AC57EA">
        <w:rPr>
          <w:sz w:val="20"/>
          <w:szCs w:val="20"/>
          <w:lang w:val="en-US"/>
        </w:rPr>
        <w:t xml:space="preserve"> </w:t>
      </w:r>
      <w:r w:rsidRPr="00AC57EA">
        <w:rPr>
          <w:sz w:val="20"/>
          <w:szCs w:val="20"/>
          <w:lang w:val="en-US"/>
        </w:rPr>
        <w:t>on the alleged lack of jurisdiction</w:t>
      </w:r>
      <w:r w:rsidR="009334DB" w:rsidRPr="00AC57EA">
        <w:rPr>
          <w:sz w:val="20"/>
          <w:szCs w:val="20"/>
          <w:lang w:val="en-US"/>
        </w:rPr>
        <w:t xml:space="preserve"> </w:t>
      </w:r>
      <w:r w:rsidR="009334DB" w:rsidRPr="00AC57EA">
        <w:rPr>
          <w:i/>
          <w:sz w:val="20"/>
          <w:szCs w:val="20"/>
          <w:lang w:val="en-US"/>
        </w:rPr>
        <w:t>ratione materiae</w:t>
      </w:r>
      <w:r w:rsidR="00B7258C" w:rsidRPr="00AC57EA">
        <w:rPr>
          <w:i/>
          <w:sz w:val="20"/>
          <w:szCs w:val="20"/>
          <w:lang w:val="en-US"/>
        </w:rPr>
        <w:t xml:space="preserve"> </w:t>
      </w:r>
      <w:r w:rsidR="00B7258C" w:rsidRPr="00AC57EA">
        <w:rPr>
          <w:iCs/>
          <w:sz w:val="20"/>
          <w:szCs w:val="20"/>
          <w:lang w:val="en-US"/>
        </w:rPr>
        <w:t>of the</w:t>
      </w:r>
      <w:r w:rsidR="00B7258C" w:rsidRPr="00AC57EA">
        <w:rPr>
          <w:i/>
          <w:sz w:val="20"/>
          <w:szCs w:val="20"/>
          <w:lang w:val="en-US"/>
        </w:rPr>
        <w:t xml:space="preserve"> </w:t>
      </w:r>
      <w:r w:rsidR="00B7258C" w:rsidRPr="00AC57EA">
        <w:rPr>
          <w:sz w:val="20"/>
          <w:szCs w:val="20"/>
          <w:lang w:val="en-US"/>
        </w:rPr>
        <w:t>Court</w:t>
      </w:r>
      <w:r w:rsidR="009334DB" w:rsidRPr="00AC57EA">
        <w:rPr>
          <w:sz w:val="20"/>
          <w:szCs w:val="20"/>
          <w:lang w:val="en-US"/>
        </w:rPr>
        <w:t xml:space="preserve"> </w:t>
      </w:r>
      <w:r w:rsidR="007F03A0" w:rsidRPr="00AC57EA">
        <w:rPr>
          <w:sz w:val="20"/>
          <w:szCs w:val="20"/>
          <w:lang w:val="en-US"/>
        </w:rPr>
        <w:t>in relation to the presumed violation of articles</w:t>
      </w:r>
      <w:r w:rsidR="00B7258C" w:rsidRPr="00AC57EA">
        <w:rPr>
          <w:sz w:val="20"/>
          <w:szCs w:val="20"/>
          <w:lang w:val="en-US"/>
        </w:rPr>
        <w:t xml:space="preserve"> of the </w:t>
      </w:r>
      <w:r w:rsidR="00171E27" w:rsidRPr="00AC57EA">
        <w:rPr>
          <w:sz w:val="20"/>
          <w:szCs w:val="20"/>
          <w:lang w:val="en-US"/>
        </w:rPr>
        <w:t>Convention on the Rights of the Child</w:t>
      </w:r>
      <w:r w:rsidR="009334DB" w:rsidRPr="00AC57EA">
        <w:rPr>
          <w:sz w:val="20"/>
          <w:szCs w:val="20"/>
          <w:lang w:val="en-US"/>
        </w:rPr>
        <w:t xml:space="preserve">, </w:t>
      </w:r>
      <w:r w:rsidR="00EB338E" w:rsidRPr="00AC57EA">
        <w:rPr>
          <w:sz w:val="20"/>
          <w:szCs w:val="20"/>
          <w:lang w:val="en-US"/>
        </w:rPr>
        <w:t>pursuant to</w:t>
      </w:r>
      <w:r w:rsidR="009334DB" w:rsidRPr="00AC57EA">
        <w:rPr>
          <w:sz w:val="20"/>
          <w:szCs w:val="20"/>
          <w:lang w:val="en-US"/>
        </w:rPr>
        <w:t xml:space="preserve"> </w:t>
      </w:r>
      <w:r w:rsidR="005A2722" w:rsidRPr="00AC57EA">
        <w:rPr>
          <w:sz w:val="20"/>
          <w:szCs w:val="20"/>
          <w:lang w:val="en-US"/>
        </w:rPr>
        <w:t>paragraphs</w:t>
      </w:r>
      <w:r w:rsidR="009334DB" w:rsidRPr="00AC57EA">
        <w:rPr>
          <w:sz w:val="20"/>
          <w:szCs w:val="20"/>
          <w:lang w:val="en-US"/>
        </w:rPr>
        <w:t xml:space="preserve"> </w:t>
      </w:r>
      <w:r w:rsidR="00182DC6" w:rsidRPr="00AC57EA">
        <w:rPr>
          <w:sz w:val="20"/>
          <w:szCs w:val="20"/>
          <w:lang w:val="en-US"/>
        </w:rPr>
        <w:t>40</w:t>
      </w:r>
      <w:r w:rsidR="009334DB" w:rsidRPr="00AC57EA">
        <w:rPr>
          <w:sz w:val="20"/>
          <w:szCs w:val="20"/>
          <w:lang w:val="en-US"/>
        </w:rPr>
        <w:t xml:space="preserve"> </w:t>
      </w:r>
      <w:r w:rsidRPr="00AC57EA">
        <w:rPr>
          <w:sz w:val="20"/>
          <w:szCs w:val="20"/>
          <w:lang w:val="en-US"/>
        </w:rPr>
        <w:t>to</w:t>
      </w:r>
      <w:r w:rsidR="009334DB" w:rsidRPr="00AC57EA">
        <w:rPr>
          <w:sz w:val="20"/>
          <w:szCs w:val="20"/>
          <w:lang w:val="en-US"/>
        </w:rPr>
        <w:t xml:space="preserve"> </w:t>
      </w:r>
      <w:r w:rsidR="00182DC6" w:rsidRPr="00AC57EA">
        <w:rPr>
          <w:sz w:val="20"/>
          <w:szCs w:val="20"/>
          <w:lang w:val="en-US"/>
        </w:rPr>
        <w:t>42</w:t>
      </w:r>
      <w:r w:rsidR="009334DB" w:rsidRPr="00AC57EA">
        <w:rPr>
          <w:sz w:val="20"/>
          <w:szCs w:val="20"/>
          <w:lang w:val="en-US"/>
        </w:rPr>
        <w:t xml:space="preserve"> </w:t>
      </w:r>
      <w:r w:rsidR="00171E27" w:rsidRPr="00AC57EA">
        <w:rPr>
          <w:sz w:val="20"/>
          <w:szCs w:val="20"/>
          <w:lang w:val="en-US"/>
        </w:rPr>
        <w:t>of this judgment</w:t>
      </w:r>
      <w:r w:rsidR="009334DB" w:rsidRPr="00AC57EA">
        <w:rPr>
          <w:sz w:val="20"/>
          <w:szCs w:val="20"/>
          <w:lang w:val="en-US"/>
        </w:rPr>
        <w:t>.</w:t>
      </w:r>
    </w:p>
    <w:p w14:paraId="234590CE" w14:textId="77777777" w:rsidR="009334DB" w:rsidRPr="00AC57EA" w:rsidRDefault="009334DB" w:rsidP="009334DB">
      <w:pPr>
        <w:widowControl/>
        <w:tabs>
          <w:tab w:val="left" w:pos="720"/>
        </w:tabs>
        <w:adjustRightInd/>
        <w:spacing w:line="240" w:lineRule="auto"/>
        <w:ind w:right="-90"/>
        <w:contextualSpacing/>
        <w:textAlignment w:val="auto"/>
        <w:rPr>
          <w:sz w:val="20"/>
          <w:szCs w:val="20"/>
          <w:lang w:val="en-US"/>
        </w:rPr>
      </w:pPr>
    </w:p>
    <w:p w14:paraId="02F493E7" w14:textId="2EE153F3" w:rsidR="009D0B2B" w:rsidRPr="00AC57EA" w:rsidRDefault="00182DC6" w:rsidP="009D0B2B">
      <w:pPr>
        <w:pStyle w:val="Prrafodelista2"/>
        <w:tabs>
          <w:tab w:val="left" w:pos="720"/>
        </w:tabs>
        <w:ind w:left="0" w:right="-90"/>
        <w:contextualSpacing/>
        <w:rPr>
          <w:lang w:val="en-US"/>
        </w:rPr>
      </w:pPr>
      <w:r w:rsidRPr="00AC57EA">
        <w:rPr>
          <w:b/>
          <w:bCs/>
          <w:lang w:val="en-US"/>
        </w:rPr>
        <w:t>DECLAR</w:t>
      </w:r>
      <w:r w:rsidR="002A5974" w:rsidRPr="00AC57EA">
        <w:rPr>
          <w:b/>
          <w:bCs/>
          <w:lang w:val="en-US"/>
        </w:rPr>
        <w:t>ES</w:t>
      </w:r>
      <w:r w:rsidRPr="00AC57EA">
        <w:rPr>
          <w:b/>
          <w:bCs/>
          <w:lang w:val="en-US"/>
        </w:rPr>
        <w:t>:</w:t>
      </w:r>
    </w:p>
    <w:p w14:paraId="7BDABDC9" w14:textId="77777777" w:rsidR="009D0B2B" w:rsidRPr="00AC57EA" w:rsidRDefault="009D0B2B" w:rsidP="009D0B2B">
      <w:pPr>
        <w:pStyle w:val="Prrafodelista2"/>
        <w:tabs>
          <w:tab w:val="left" w:pos="720"/>
        </w:tabs>
        <w:ind w:left="0" w:right="-90"/>
        <w:contextualSpacing/>
        <w:rPr>
          <w:lang w:val="en-US"/>
        </w:rPr>
      </w:pPr>
    </w:p>
    <w:p w14:paraId="11AFC30F" w14:textId="6931A35D" w:rsidR="009D0B2B" w:rsidRPr="00AC57EA" w:rsidRDefault="002A5974" w:rsidP="009D0B2B">
      <w:pPr>
        <w:pStyle w:val="Prrafodelista2"/>
        <w:ind w:left="0" w:right="-90"/>
        <w:contextualSpacing/>
        <w:rPr>
          <w:lang w:val="en-US"/>
        </w:rPr>
      </w:pPr>
      <w:r w:rsidRPr="00AC57EA">
        <w:rPr>
          <w:lang w:val="en-US"/>
        </w:rPr>
        <w:t>Unanimously, that</w:t>
      </w:r>
      <w:r w:rsidR="009D0B2B" w:rsidRPr="00AC57EA">
        <w:rPr>
          <w:lang w:val="en-US"/>
        </w:rPr>
        <w:t>:</w:t>
      </w:r>
    </w:p>
    <w:p w14:paraId="1EDAC43C" w14:textId="77777777" w:rsidR="009D0B2B" w:rsidRPr="00AC57EA" w:rsidRDefault="009D0B2B" w:rsidP="009D0B2B">
      <w:pPr>
        <w:pStyle w:val="Prrafodelista2"/>
        <w:ind w:left="0" w:right="-90"/>
        <w:contextualSpacing/>
        <w:rPr>
          <w:lang w:val="en-US"/>
        </w:rPr>
      </w:pPr>
    </w:p>
    <w:p w14:paraId="49A6E499" w14:textId="0B2AE854" w:rsidR="009D0B2B" w:rsidRPr="00AC57EA" w:rsidRDefault="00EC52D7" w:rsidP="009D0B2B">
      <w:pPr>
        <w:widowControl/>
        <w:numPr>
          <w:ilvl w:val="0"/>
          <w:numId w:val="21"/>
        </w:numPr>
        <w:tabs>
          <w:tab w:val="left" w:pos="720"/>
        </w:tabs>
        <w:adjustRightInd/>
        <w:spacing w:line="240" w:lineRule="auto"/>
        <w:ind w:right="-90"/>
        <w:contextualSpacing/>
        <w:textAlignment w:val="auto"/>
        <w:rPr>
          <w:sz w:val="20"/>
          <w:szCs w:val="20"/>
          <w:lang w:val="en-US"/>
        </w:rPr>
      </w:pPr>
      <w:r w:rsidRPr="00AC57EA">
        <w:rPr>
          <w:kern w:val="2"/>
          <w:sz w:val="20"/>
          <w:szCs w:val="20"/>
          <w:lang w:val="en-US" w:eastAsia="en-US"/>
        </w:rPr>
        <w:t>The State</w:t>
      </w:r>
      <w:r w:rsidR="0031341D" w:rsidRPr="00AC57EA">
        <w:rPr>
          <w:kern w:val="2"/>
          <w:sz w:val="20"/>
          <w:szCs w:val="20"/>
          <w:lang w:val="en-US" w:eastAsia="en-US"/>
        </w:rPr>
        <w:t xml:space="preserve"> </w:t>
      </w:r>
      <w:r w:rsidR="002A5974" w:rsidRPr="00AC57EA">
        <w:rPr>
          <w:kern w:val="2"/>
          <w:sz w:val="20"/>
          <w:szCs w:val="20"/>
          <w:lang w:val="en-US" w:eastAsia="en-US"/>
        </w:rPr>
        <w:t>is responsible for the violation of</w:t>
      </w:r>
      <w:r w:rsidR="00D526EE" w:rsidRPr="00AC57EA">
        <w:rPr>
          <w:kern w:val="2"/>
          <w:sz w:val="20"/>
          <w:szCs w:val="20"/>
          <w:lang w:val="en-US" w:eastAsia="en-US"/>
        </w:rPr>
        <w:t xml:space="preserve"> </w:t>
      </w:r>
      <w:r w:rsidR="002A5974" w:rsidRPr="00AC57EA">
        <w:rPr>
          <w:kern w:val="2"/>
          <w:sz w:val="20"/>
          <w:szCs w:val="20"/>
          <w:lang w:val="en-US" w:eastAsia="en-US"/>
        </w:rPr>
        <w:t>the</w:t>
      </w:r>
      <w:r w:rsidR="00D526EE" w:rsidRPr="00AC57EA">
        <w:rPr>
          <w:kern w:val="2"/>
          <w:sz w:val="20"/>
          <w:szCs w:val="20"/>
          <w:lang w:val="en-US" w:eastAsia="en-US"/>
        </w:rPr>
        <w:t xml:space="preserve"> </w:t>
      </w:r>
      <w:r w:rsidR="002A5974" w:rsidRPr="00AC57EA">
        <w:rPr>
          <w:kern w:val="2"/>
          <w:sz w:val="20"/>
          <w:szCs w:val="20"/>
          <w:lang w:val="en-US" w:eastAsia="en-US"/>
        </w:rPr>
        <w:t>rights to personal integrity, judicial guarantees, private and family life</w:t>
      </w:r>
      <w:r w:rsidR="00B65C64" w:rsidRPr="00AC57EA">
        <w:rPr>
          <w:kern w:val="2"/>
          <w:sz w:val="20"/>
          <w:szCs w:val="20"/>
          <w:lang w:val="en-US" w:eastAsia="en-US"/>
        </w:rPr>
        <w:t>,</w:t>
      </w:r>
      <w:r w:rsidR="00171E27" w:rsidRPr="00AC57EA">
        <w:rPr>
          <w:kern w:val="2"/>
          <w:sz w:val="20"/>
          <w:szCs w:val="20"/>
          <w:lang w:val="en-US" w:eastAsia="en-US"/>
        </w:rPr>
        <w:t xml:space="preserve"> and </w:t>
      </w:r>
      <w:r w:rsidR="002A5974" w:rsidRPr="00AC57EA">
        <w:rPr>
          <w:kern w:val="2"/>
          <w:sz w:val="20"/>
          <w:szCs w:val="20"/>
          <w:lang w:val="en-US" w:eastAsia="en-US"/>
        </w:rPr>
        <w:t xml:space="preserve">judicial protection, by both act and omission, </w:t>
      </w:r>
      <w:r w:rsidR="00EB338E" w:rsidRPr="00AC57EA">
        <w:rPr>
          <w:kern w:val="2"/>
          <w:sz w:val="20"/>
          <w:szCs w:val="20"/>
          <w:lang w:val="en-US" w:eastAsia="en-US"/>
        </w:rPr>
        <w:t>pursuant to</w:t>
      </w:r>
      <w:r w:rsidR="00D526EE" w:rsidRPr="00AC57EA">
        <w:rPr>
          <w:kern w:val="2"/>
          <w:sz w:val="20"/>
          <w:szCs w:val="20"/>
          <w:lang w:val="en-US" w:eastAsia="en-US"/>
        </w:rPr>
        <w:t xml:space="preserve"> </w:t>
      </w:r>
      <w:r w:rsidR="00B7258C" w:rsidRPr="00AC57EA">
        <w:rPr>
          <w:kern w:val="2"/>
          <w:sz w:val="20"/>
          <w:szCs w:val="20"/>
          <w:lang w:val="en-US" w:eastAsia="en-US"/>
        </w:rPr>
        <w:t>Articles</w:t>
      </w:r>
      <w:r w:rsidR="00D526EE" w:rsidRPr="00AC57EA">
        <w:rPr>
          <w:kern w:val="2"/>
          <w:sz w:val="20"/>
          <w:szCs w:val="20"/>
          <w:lang w:val="en-US" w:eastAsia="en-US"/>
        </w:rPr>
        <w:t xml:space="preserve"> </w:t>
      </w:r>
      <w:r w:rsidR="00171E27" w:rsidRPr="00AC57EA">
        <w:rPr>
          <w:kern w:val="2"/>
          <w:sz w:val="20"/>
          <w:szCs w:val="20"/>
          <w:lang w:val="en-US" w:eastAsia="en-US"/>
        </w:rPr>
        <w:t>5(1)</w:t>
      </w:r>
      <w:r w:rsidR="00D526EE" w:rsidRPr="00AC57EA">
        <w:rPr>
          <w:kern w:val="2"/>
          <w:sz w:val="20"/>
          <w:szCs w:val="20"/>
          <w:lang w:val="en-US" w:eastAsia="en-US"/>
        </w:rPr>
        <w:t xml:space="preserve">, </w:t>
      </w:r>
      <w:r w:rsidR="00171E27" w:rsidRPr="00AC57EA">
        <w:rPr>
          <w:kern w:val="2"/>
          <w:sz w:val="20"/>
          <w:szCs w:val="20"/>
          <w:lang w:val="en-US" w:eastAsia="en-US"/>
        </w:rPr>
        <w:t>8(1)</w:t>
      </w:r>
      <w:r w:rsidR="00D526EE" w:rsidRPr="00AC57EA">
        <w:rPr>
          <w:kern w:val="2"/>
          <w:sz w:val="20"/>
          <w:szCs w:val="20"/>
          <w:lang w:val="en-US" w:eastAsia="en-US"/>
        </w:rPr>
        <w:t xml:space="preserve">, </w:t>
      </w:r>
      <w:r w:rsidR="004151E3" w:rsidRPr="00AC57EA">
        <w:rPr>
          <w:kern w:val="2"/>
          <w:sz w:val="20"/>
          <w:szCs w:val="20"/>
          <w:lang w:val="en-US" w:eastAsia="en-US"/>
        </w:rPr>
        <w:t>11(2)</w:t>
      </w:r>
      <w:r w:rsidR="00171E27" w:rsidRPr="00AC57EA">
        <w:rPr>
          <w:kern w:val="2"/>
          <w:sz w:val="20"/>
          <w:szCs w:val="20"/>
          <w:lang w:val="en-US" w:eastAsia="en-US"/>
        </w:rPr>
        <w:t xml:space="preserve"> and </w:t>
      </w:r>
      <w:r w:rsidR="0031341D" w:rsidRPr="00AC57EA">
        <w:rPr>
          <w:kern w:val="2"/>
          <w:sz w:val="20"/>
          <w:szCs w:val="20"/>
          <w:lang w:val="en-US" w:eastAsia="en-US"/>
        </w:rPr>
        <w:t>2</w:t>
      </w:r>
      <w:r w:rsidR="00171E27" w:rsidRPr="00AC57EA">
        <w:rPr>
          <w:kern w:val="2"/>
          <w:sz w:val="20"/>
          <w:szCs w:val="20"/>
          <w:lang w:val="en-US" w:eastAsia="en-US"/>
        </w:rPr>
        <w:t>5(1)</w:t>
      </w:r>
      <w:r w:rsidR="00B7258C" w:rsidRPr="00AC57EA">
        <w:rPr>
          <w:kern w:val="2"/>
          <w:sz w:val="20"/>
          <w:szCs w:val="20"/>
          <w:lang w:val="en-US" w:eastAsia="en-US"/>
        </w:rPr>
        <w:t xml:space="preserve"> of the American Convention on Human Rights</w:t>
      </w:r>
      <w:r w:rsidR="0031341D" w:rsidRPr="00AC57EA">
        <w:rPr>
          <w:kern w:val="2"/>
          <w:sz w:val="20"/>
          <w:szCs w:val="20"/>
          <w:lang w:val="en-US" w:eastAsia="en-US"/>
        </w:rPr>
        <w:t xml:space="preserve">, </w:t>
      </w:r>
      <w:r w:rsidR="00171E27" w:rsidRPr="00AC57EA">
        <w:rPr>
          <w:kern w:val="2"/>
          <w:sz w:val="20"/>
          <w:szCs w:val="20"/>
          <w:lang w:val="en-US" w:eastAsia="en-US"/>
        </w:rPr>
        <w:t xml:space="preserve">in relation to Articles 1(1) and </w:t>
      </w:r>
      <w:r w:rsidR="00D526EE" w:rsidRPr="00AC57EA">
        <w:rPr>
          <w:kern w:val="2"/>
          <w:sz w:val="20"/>
          <w:szCs w:val="20"/>
          <w:lang w:val="en-US" w:eastAsia="en-US"/>
        </w:rPr>
        <w:t xml:space="preserve">19 </w:t>
      </w:r>
      <w:r w:rsidR="002A5974" w:rsidRPr="00AC57EA">
        <w:rPr>
          <w:kern w:val="2"/>
          <w:sz w:val="20"/>
          <w:szCs w:val="20"/>
          <w:lang w:val="en-US" w:eastAsia="en-US"/>
        </w:rPr>
        <w:t>of this instrument</w:t>
      </w:r>
      <w:r w:rsidR="0031341D" w:rsidRPr="00AC57EA">
        <w:rPr>
          <w:kern w:val="2"/>
          <w:sz w:val="20"/>
          <w:szCs w:val="20"/>
          <w:lang w:val="en-US" w:eastAsia="en-US"/>
        </w:rPr>
        <w:t>, as</w:t>
      </w:r>
      <w:r w:rsidR="002A5974" w:rsidRPr="00AC57EA">
        <w:rPr>
          <w:kern w:val="2"/>
          <w:sz w:val="20"/>
          <w:szCs w:val="20"/>
          <w:lang w:val="en-US" w:eastAsia="en-US"/>
        </w:rPr>
        <w:t xml:space="preserve"> well as for failure to comply with the obligations derived from A</w:t>
      </w:r>
      <w:r w:rsidR="00171E27" w:rsidRPr="00AC57EA">
        <w:rPr>
          <w:kern w:val="2"/>
          <w:sz w:val="20"/>
          <w:szCs w:val="20"/>
          <w:lang w:val="en-US" w:eastAsia="en-US"/>
        </w:rPr>
        <w:t>rticle</w:t>
      </w:r>
      <w:r w:rsidR="0031341D" w:rsidRPr="00AC57EA">
        <w:rPr>
          <w:kern w:val="2"/>
          <w:sz w:val="20"/>
          <w:szCs w:val="20"/>
          <w:lang w:val="en-US" w:eastAsia="en-US"/>
        </w:rPr>
        <w:t xml:space="preserve"> </w:t>
      </w:r>
      <w:r w:rsidR="007D5AA2" w:rsidRPr="00AC57EA">
        <w:rPr>
          <w:kern w:val="2"/>
          <w:sz w:val="20"/>
          <w:szCs w:val="20"/>
          <w:lang w:val="en-US" w:eastAsia="en-US"/>
        </w:rPr>
        <w:t>7(b)</w:t>
      </w:r>
      <w:r w:rsidR="00B7258C" w:rsidRPr="00AC57EA">
        <w:rPr>
          <w:kern w:val="2"/>
          <w:sz w:val="20"/>
          <w:szCs w:val="20"/>
          <w:lang w:val="en-US" w:eastAsia="en-US"/>
        </w:rPr>
        <w:t xml:space="preserve"> of the </w:t>
      </w:r>
      <w:r w:rsidR="00171E27" w:rsidRPr="00AC57EA">
        <w:rPr>
          <w:kern w:val="2"/>
          <w:sz w:val="20"/>
          <w:szCs w:val="20"/>
          <w:lang w:val="en-US" w:eastAsia="en-US"/>
        </w:rPr>
        <w:t>Convention of Belém</w:t>
      </w:r>
      <w:r w:rsidR="0031341D" w:rsidRPr="00AC57EA">
        <w:rPr>
          <w:kern w:val="2"/>
          <w:sz w:val="20"/>
          <w:szCs w:val="20"/>
          <w:lang w:val="en-US" w:eastAsia="en-US"/>
        </w:rPr>
        <w:t xml:space="preserve"> do Pará, </w:t>
      </w:r>
      <w:r w:rsidR="002F084B" w:rsidRPr="00AC57EA">
        <w:rPr>
          <w:kern w:val="2"/>
          <w:sz w:val="20"/>
          <w:szCs w:val="20"/>
          <w:lang w:val="en-US" w:eastAsia="en-US"/>
        </w:rPr>
        <w:t>to the detriment of</w:t>
      </w:r>
      <w:r w:rsidR="0031341D" w:rsidRPr="00AC57EA">
        <w:rPr>
          <w:kern w:val="2"/>
          <w:sz w:val="20"/>
          <w:szCs w:val="20"/>
          <w:lang w:val="en-US" w:eastAsia="en-US"/>
        </w:rPr>
        <w:t xml:space="preserve"> V.R.P.</w:t>
      </w:r>
      <w:r w:rsidR="00171E27" w:rsidRPr="00AC57EA">
        <w:rPr>
          <w:kern w:val="2"/>
          <w:sz w:val="20"/>
          <w:szCs w:val="20"/>
          <w:lang w:val="en-US" w:eastAsia="en-US"/>
        </w:rPr>
        <w:t xml:space="preserve"> and </w:t>
      </w:r>
      <w:r w:rsidR="0031341D" w:rsidRPr="00AC57EA">
        <w:rPr>
          <w:kern w:val="2"/>
          <w:sz w:val="20"/>
          <w:szCs w:val="20"/>
          <w:lang w:val="en-US" w:eastAsia="en-US"/>
        </w:rPr>
        <w:t>V.P.C.</w:t>
      </w:r>
      <w:r w:rsidR="009D0B2B" w:rsidRPr="00AC57EA">
        <w:rPr>
          <w:sz w:val="20"/>
          <w:szCs w:val="20"/>
          <w:lang w:val="en-US"/>
        </w:rPr>
        <w:t xml:space="preserve">, </w:t>
      </w:r>
      <w:r w:rsidR="00EB338E" w:rsidRPr="00AC57EA">
        <w:rPr>
          <w:sz w:val="20"/>
          <w:szCs w:val="20"/>
          <w:lang w:val="en-US"/>
        </w:rPr>
        <w:t>pursuant to</w:t>
      </w:r>
      <w:r w:rsidR="009D0B2B" w:rsidRPr="00AC57EA">
        <w:rPr>
          <w:sz w:val="20"/>
          <w:szCs w:val="20"/>
          <w:lang w:val="en-US"/>
        </w:rPr>
        <w:t xml:space="preserve"> </w:t>
      </w:r>
      <w:r w:rsidR="005A2722" w:rsidRPr="00AC57EA">
        <w:rPr>
          <w:sz w:val="20"/>
          <w:szCs w:val="20"/>
          <w:lang w:val="en-US"/>
        </w:rPr>
        <w:t>paragraphs</w:t>
      </w:r>
      <w:r w:rsidR="009D0B2B" w:rsidRPr="00AC57EA">
        <w:rPr>
          <w:sz w:val="20"/>
          <w:szCs w:val="20"/>
          <w:lang w:val="en-US"/>
        </w:rPr>
        <w:t xml:space="preserve"> </w:t>
      </w:r>
      <w:r w:rsidR="007E37DD" w:rsidRPr="00AC57EA">
        <w:rPr>
          <w:sz w:val="20"/>
          <w:szCs w:val="20"/>
          <w:lang w:val="en-US"/>
        </w:rPr>
        <w:t>150</w:t>
      </w:r>
      <w:r w:rsidR="009D0B2B" w:rsidRPr="00AC57EA">
        <w:rPr>
          <w:sz w:val="20"/>
          <w:szCs w:val="20"/>
          <w:lang w:val="en-US"/>
        </w:rPr>
        <w:t xml:space="preserve"> </w:t>
      </w:r>
      <w:r w:rsidR="002A5974" w:rsidRPr="00AC57EA">
        <w:rPr>
          <w:sz w:val="20"/>
          <w:szCs w:val="20"/>
          <w:lang w:val="en-US"/>
        </w:rPr>
        <w:t>to</w:t>
      </w:r>
      <w:r w:rsidR="009D0B2B" w:rsidRPr="00AC57EA">
        <w:rPr>
          <w:sz w:val="20"/>
          <w:szCs w:val="20"/>
          <w:lang w:val="en-US"/>
        </w:rPr>
        <w:t xml:space="preserve"> </w:t>
      </w:r>
      <w:r w:rsidR="00847606" w:rsidRPr="00AC57EA">
        <w:rPr>
          <w:sz w:val="20"/>
          <w:szCs w:val="20"/>
          <w:lang w:val="en-US"/>
        </w:rPr>
        <w:t>203</w:t>
      </w:r>
      <w:r w:rsidR="00171E27" w:rsidRPr="00AC57EA">
        <w:rPr>
          <w:sz w:val="20"/>
          <w:szCs w:val="20"/>
          <w:lang w:val="en-US"/>
        </w:rPr>
        <w:t xml:space="preserve"> and </w:t>
      </w:r>
      <w:r w:rsidR="0048718C" w:rsidRPr="00AC57EA">
        <w:rPr>
          <w:sz w:val="20"/>
          <w:szCs w:val="20"/>
          <w:lang w:val="en-US"/>
        </w:rPr>
        <w:t xml:space="preserve">304 </w:t>
      </w:r>
      <w:r w:rsidR="00171E27" w:rsidRPr="00AC57EA">
        <w:rPr>
          <w:sz w:val="20"/>
          <w:szCs w:val="20"/>
          <w:lang w:val="en-US"/>
        </w:rPr>
        <w:t>of this judgment</w:t>
      </w:r>
      <w:r w:rsidR="00D526EE" w:rsidRPr="00AC57EA">
        <w:rPr>
          <w:sz w:val="20"/>
          <w:szCs w:val="20"/>
          <w:lang w:val="en-US"/>
        </w:rPr>
        <w:t>.</w:t>
      </w:r>
    </w:p>
    <w:p w14:paraId="229CA145" w14:textId="77777777" w:rsidR="009D0B2B" w:rsidRPr="00AC57EA" w:rsidRDefault="009D0B2B" w:rsidP="009D0B2B">
      <w:pPr>
        <w:pStyle w:val="Prrafodelista2"/>
        <w:ind w:left="0" w:right="-90"/>
        <w:contextualSpacing/>
        <w:jc w:val="both"/>
        <w:rPr>
          <w:lang w:val="en-US"/>
        </w:rPr>
      </w:pPr>
    </w:p>
    <w:p w14:paraId="72B9E199" w14:textId="34775844" w:rsidR="0031341D" w:rsidRPr="00AC57EA" w:rsidRDefault="00EC52D7" w:rsidP="0031341D">
      <w:pPr>
        <w:widowControl/>
        <w:numPr>
          <w:ilvl w:val="0"/>
          <w:numId w:val="21"/>
        </w:numPr>
        <w:tabs>
          <w:tab w:val="left" w:pos="720"/>
        </w:tabs>
        <w:adjustRightInd/>
        <w:spacing w:line="240" w:lineRule="auto"/>
        <w:ind w:right="-90"/>
        <w:contextualSpacing/>
        <w:textAlignment w:val="auto"/>
        <w:rPr>
          <w:sz w:val="20"/>
          <w:szCs w:val="20"/>
          <w:lang w:val="en-US"/>
        </w:rPr>
      </w:pPr>
      <w:r w:rsidRPr="00AC57EA">
        <w:rPr>
          <w:sz w:val="20"/>
          <w:szCs w:val="20"/>
          <w:lang w:val="en-US"/>
        </w:rPr>
        <w:t>The State</w:t>
      </w:r>
      <w:r w:rsidR="0031341D" w:rsidRPr="00AC57EA">
        <w:rPr>
          <w:sz w:val="20"/>
          <w:szCs w:val="20"/>
          <w:lang w:val="en-US"/>
        </w:rPr>
        <w:t xml:space="preserve"> </w:t>
      </w:r>
      <w:r w:rsidR="002A5974" w:rsidRPr="00AC57EA">
        <w:rPr>
          <w:sz w:val="20"/>
          <w:szCs w:val="20"/>
          <w:lang w:val="en-US"/>
        </w:rPr>
        <w:t>is responsible for the violation of</w:t>
      </w:r>
      <w:r w:rsidR="0031341D" w:rsidRPr="00AC57EA">
        <w:rPr>
          <w:sz w:val="20"/>
          <w:szCs w:val="20"/>
          <w:lang w:val="en-US" w:eastAsia="en-US"/>
        </w:rPr>
        <w:t xml:space="preserve"> </w:t>
      </w:r>
      <w:r w:rsidR="002A5974" w:rsidRPr="00AC57EA">
        <w:rPr>
          <w:sz w:val="20"/>
          <w:szCs w:val="20"/>
          <w:lang w:val="en-US" w:eastAsia="en-US"/>
        </w:rPr>
        <w:t xml:space="preserve">the guarantees of due process </w:t>
      </w:r>
      <w:r w:rsidR="00322E8C" w:rsidRPr="00AC57EA">
        <w:rPr>
          <w:sz w:val="20"/>
          <w:szCs w:val="20"/>
          <w:lang w:val="en-US" w:eastAsia="en-US"/>
        </w:rPr>
        <w:t>that relate</w:t>
      </w:r>
      <w:r w:rsidR="002A5974" w:rsidRPr="00AC57EA">
        <w:rPr>
          <w:sz w:val="20"/>
          <w:szCs w:val="20"/>
          <w:lang w:val="en-US" w:eastAsia="en-US"/>
        </w:rPr>
        <w:t xml:space="preserve"> to objective impartiality and the prohibition of arbitrariness, recognized in</w:t>
      </w:r>
      <w:r w:rsidR="0031341D" w:rsidRPr="00AC57EA">
        <w:rPr>
          <w:sz w:val="20"/>
          <w:szCs w:val="20"/>
          <w:lang w:val="en-US" w:eastAsia="en-US"/>
        </w:rPr>
        <w:t xml:space="preserve"> </w:t>
      </w:r>
      <w:r w:rsidR="00B7258C" w:rsidRPr="00AC57EA">
        <w:rPr>
          <w:sz w:val="20"/>
          <w:szCs w:val="20"/>
          <w:lang w:val="en-US" w:eastAsia="en-US"/>
        </w:rPr>
        <w:t>Article</w:t>
      </w:r>
      <w:r w:rsidR="0031341D" w:rsidRPr="00AC57EA">
        <w:rPr>
          <w:sz w:val="20"/>
          <w:szCs w:val="20"/>
          <w:lang w:val="en-US" w:eastAsia="en-US"/>
        </w:rPr>
        <w:t xml:space="preserve"> </w:t>
      </w:r>
      <w:r w:rsidR="00171E27" w:rsidRPr="00AC57EA">
        <w:rPr>
          <w:sz w:val="20"/>
          <w:szCs w:val="20"/>
          <w:lang w:val="en-US" w:eastAsia="en-US"/>
        </w:rPr>
        <w:t>8(1)</w:t>
      </w:r>
      <w:r w:rsidR="00B7258C" w:rsidRPr="00AC57EA">
        <w:rPr>
          <w:sz w:val="20"/>
          <w:szCs w:val="20"/>
          <w:lang w:val="en-US" w:eastAsia="en-US"/>
        </w:rPr>
        <w:t xml:space="preserve"> of the American Convention on Human Rights</w:t>
      </w:r>
      <w:r w:rsidR="0031341D" w:rsidRPr="00AC57EA">
        <w:rPr>
          <w:sz w:val="20"/>
          <w:szCs w:val="20"/>
          <w:lang w:val="en-US" w:eastAsia="en-US"/>
        </w:rPr>
        <w:t xml:space="preserve">, </w:t>
      </w:r>
      <w:r w:rsidR="00171E27" w:rsidRPr="00AC57EA">
        <w:rPr>
          <w:sz w:val="20"/>
          <w:szCs w:val="20"/>
          <w:lang w:val="en-US" w:eastAsia="en-US"/>
        </w:rPr>
        <w:t>in relation to Article 1(1)</w:t>
      </w:r>
      <w:r w:rsidR="0031341D" w:rsidRPr="00AC57EA">
        <w:rPr>
          <w:sz w:val="20"/>
          <w:szCs w:val="20"/>
          <w:lang w:val="en-US" w:eastAsia="en-US"/>
        </w:rPr>
        <w:t xml:space="preserve"> </w:t>
      </w:r>
      <w:r w:rsidR="002A5974" w:rsidRPr="00AC57EA">
        <w:rPr>
          <w:sz w:val="20"/>
          <w:szCs w:val="20"/>
          <w:lang w:val="en-US" w:eastAsia="en-US"/>
        </w:rPr>
        <w:t>of this instrument</w:t>
      </w:r>
      <w:r w:rsidR="00171E27" w:rsidRPr="00AC57EA">
        <w:rPr>
          <w:sz w:val="20"/>
          <w:szCs w:val="20"/>
          <w:lang w:val="en-US" w:eastAsia="en-US"/>
        </w:rPr>
        <w:t xml:space="preserve"> and </w:t>
      </w:r>
      <w:r w:rsidR="00B7258C" w:rsidRPr="00AC57EA">
        <w:rPr>
          <w:rFonts w:eastAsia="Batang" w:cs="Arial"/>
          <w:sz w:val="20"/>
          <w:szCs w:val="20"/>
          <w:lang w:val="en-US" w:eastAsia="es-MX"/>
        </w:rPr>
        <w:t>Article</w:t>
      </w:r>
      <w:r w:rsidR="0031341D" w:rsidRPr="00AC57EA">
        <w:rPr>
          <w:rFonts w:eastAsia="Batang" w:cs="Arial"/>
          <w:sz w:val="20"/>
          <w:szCs w:val="20"/>
          <w:lang w:val="en-US" w:eastAsia="es-MX"/>
        </w:rPr>
        <w:t xml:space="preserve"> </w:t>
      </w:r>
      <w:r w:rsidR="007D5AA2" w:rsidRPr="00AC57EA">
        <w:rPr>
          <w:rFonts w:eastAsia="Batang" w:cs="Arial"/>
          <w:sz w:val="20"/>
          <w:szCs w:val="20"/>
          <w:lang w:val="en-US" w:eastAsia="es-MX"/>
        </w:rPr>
        <w:t>7(b)</w:t>
      </w:r>
      <w:r w:rsidR="00B7258C" w:rsidRPr="00AC57EA">
        <w:rPr>
          <w:rFonts w:eastAsia="Batang" w:cs="Arial"/>
          <w:sz w:val="20"/>
          <w:szCs w:val="20"/>
          <w:lang w:val="en-US" w:eastAsia="es-MX"/>
        </w:rPr>
        <w:t xml:space="preserve"> of the </w:t>
      </w:r>
      <w:r w:rsidR="00171E27" w:rsidRPr="00AC57EA">
        <w:rPr>
          <w:rFonts w:eastAsia="Batang"/>
          <w:sz w:val="20"/>
          <w:szCs w:val="20"/>
          <w:lang w:val="en-US" w:eastAsia="es-MX"/>
        </w:rPr>
        <w:t>Convention of Belém</w:t>
      </w:r>
      <w:r w:rsidR="0031341D" w:rsidRPr="00AC57EA">
        <w:rPr>
          <w:rFonts w:eastAsia="Batang"/>
          <w:sz w:val="20"/>
          <w:szCs w:val="20"/>
          <w:lang w:val="en-US" w:eastAsia="es-MX"/>
        </w:rPr>
        <w:t xml:space="preserve"> do Pará</w:t>
      </w:r>
      <w:r w:rsidR="0031341D" w:rsidRPr="00AC57EA">
        <w:rPr>
          <w:sz w:val="20"/>
          <w:szCs w:val="20"/>
          <w:lang w:val="en-US" w:eastAsia="en-US"/>
        </w:rPr>
        <w:t xml:space="preserve">, </w:t>
      </w:r>
      <w:r w:rsidR="002F084B" w:rsidRPr="00AC57EA">
        <w:rPr>
          <w:sz w:val="20"/>
          <w:szCs w:val="20"/>
          <w:lang w:val="en-US" w:eastAsia="en-US"/>
        </w:rPr>
        <w:t>to the detriment of</w:t>
      </w:r>
      <w:r w:rsidR="0031341D" w:rsidRPr="00AC57EA">
        <w:rPr>
          <w:sz w:val="20"/>
          <w:szCs w:val="20"/>
          <w:lang w:val="en-US" w:eastAsia="en-US"/>
        </w:rPr>
        <w:t xml:space="preserve"> V.R.P.</w:t>
      </w:r>
      <w:r w:rsidR="00171E27" w:rsidRPr="00AC57EA">
        <w:rPr>
          <w:sz w:val="20"/>
          <w:szCs w:val="20"/>
          <w:lang w:val="en-US" w:eastAsia="en-US"/>
        </w:rPr>
        <w:t xml:space="preserve"> and </w:t>
      </w:r>
      <w:r w:rsidR="0031341D" w:rsidRPr="00AC57EA">
        <w:rPr>
          <w:sz w:val="20"/>
          <w:szCs w:val="20"/>
          <w:lang w:val="en-US" w:eastAsia="en-US"/>
        </w:rPr>
        <w:t>V.P.C.</w:t>
      </w:r>
      <w:r w:rsidR="0031341D" w:rsidRPr="00AC57EA">
        <w:rPr>
          <w:sz w:val="20"/>
          <w:szCs w:val="20"/>
          <w:lang w:val="en-US"/>
        </w:rPr>
        <w:t xml:space="preserve">, </w:t>
      </w:r>
      <w:r w:rsidR="00EB338E" w:rsidRPr="00AC57EA">
        <w:rPr>
          <w:rFonts w:eastAsia="Batang"/>
          <w:sz w:val="20"/>
          <w:szCs w:val="20"/>
          <w:lang w:val="en-US"/>
        </w:rPr>
        <w:t>pursuant to</w:t>
      </w:r>
      <w:r w:rsidR="0031341D" w:rsidRPr="00AC57EA">
        <w:rPr>
          <w:rFonts w:eastAsia="Batang"/>
          <w:sz w:val="20"/>
          <w:szCs w:val="20"/>
          <w:lang w:val="en-US"/>
        </w:rPr>
        <w:t xml:space="preserve"> </w:t>
      </w:r>
      <w:r w:rsidR="005A2722" w:rsidRPr="00AC57EA">
        <w:rPr>
          <w:rFonts w:eastAsia="Batang"/>
          <w:sz w:val="20"/>
          <w:szCs w:val="20"/>
          <w:lang w:val="en-US"/>
        </w:rPr>
        <w:t>paragraphs</w:t>
      </w:r>
      <w:r w:rsidR="0031341D" w:rsidRPr="00AC57EA">
        <w:rPr>
          <w:rFonts w:eastAsia="Batang"/>
          <w:sz w:val="20"/>
          <w:szCs w:val="20"/>
          <w:lang w:val="en-US"/>
        </w:rPr>
        <w:t xml:space="preserve"> </w:t>
      </w:r>
      <w:r w:rsidR="00847606" w:rsidRPr="00AC57EA">
        <w:rPr>
          <w:sz w:val="20"/>
          <w:szCs w:val="20"/>
          <w:lang w:val="en-US"/>
        </w:rPr>
        <w:t>216</w:t>
      </w:r>
      <w:r w:rsidR="0031341D" w:rsidRPr="00AC57EA">
        <w:rPr>
          <w:sz w:val="20"/>
          <w:szCs w:val="20"/>
          <w:lang w:val="en-US"/>
        </w:rPr>
        <w:t xml:space="preserve"> </w:t>
      </w:r>
      <w:r w:rsidR="002A5974" w:rsidRPr="00AC57EA">
        <w:rPr>
          <w:sz w:val="20"/>
          <w:szCs w:val="20"/>
          <w:lang w:val="en-US"/>
        </w:rPr>
        <w:t>to</w:t>
      </w:r>
      <w:r w:rsidR="0031341D" w:rsidRPr="00AC57EA">
        <w:rPr>
          <w:sz w:val="20"/>
          <w:szCs w:val="20"/>
          <w:lang w:val="en-US"/>
        </w:rPr>
        <w:t xml:space="preserve"> </w:t>
      </w:r>
      <w:r w:rsidR="00847606" w:rsidRPr="00AC57EA">
        <w:rPr>
          <w:sz w:val="20"/>
          <w:szCs w:val="20"/>
          <w:lang w:val="en-US"/>
        </w:rPr>
        <w:t>271</w:t>
      </w:r>
      <w:r w:rsidR="00171E27" w:rsidRPr="00AC57EA">
        <w:rPr>
          <w:sz w:val="20"/>
          <w:szCs w:val="20"/>
          <w:lang w:val="en-US"/>
        </w:rPr>
        <w:t xml:space="preserve"> and </w:t>
      </w:r>
      <w:r w:rsidR="0048718C" w:rsidRPr="00AC57EA">
        <w:rPr>
          <w:sz w:val="20"/>
          <w:szCs w:val="20"/>
          <w:lang w:val="en-US"/>
        </w:rPr>
        <w:t>304</w:t>
      </w:r>
      <w:r w:rsidR="0031341D" w:rsidRPr="00AC57EA">
        <w:rPr>
          <w:sz w:val="20"/>
          <w:szCs w:val="20"/>
          <w:lang w:val="en-US"/>
        </w:rPr>
        <w:t xml:space="preserve"> </w:t>
      </w:r>
      <w:r w:rsidR="00171E27" w:rsidRPr="00AC57EA">
        <w:rPr>
          <w:sz w:val="20"/>
          <w:szCs w:val="20"/>
          <w:lang w:val="en-US"/>
        </w:rPr>
        <w:t>of this judgment</w:t>
      </w:r>
      <w:r w:rsidR="0031341D" w:rsidRPr="00AC57EA">
        <w:rPr>
          <w:sz w:val="20"/>
          <w:szCs w:val="20"/>
          <w:lang w:val="en-US"/>
        </w:rPr>
        <w:t>.</w:t>
      </w:r>
    </w:p>
    <w:p w14:paraId="4F9CD2F1" w14:textId="77777777" w:rsidR="0031341D" w:rsidRPr="00AC57EA" w:rsidRDefault="0031341D" w:rsidP="0031341D">
      <w:pPr>
        <w:widowControl/>
        <w:tabs>
          <w:tab w:val="left" w:pos="720"/>
        </w:tabs>
        <w:adjustRightInd/>
        <w:spacing w:line="240" w:lineRule="auto"/>
        <w:ind w:right="-90"/>
        <w:contextualSpacing/>
        <w:textAlignment w:val="auto"/>
        <w:rPr>
          <w:sz w:val="20"/>
          <w:szCs w:val="20"/>
          <w:lang w:val="en-US"/>
        </w:rPr>
      </w:pPr>
    </w:p>
    <w:p w14:paraId="6B9D2330" w14:textId="5DA674F8" w:rsidR="00416AA0" w:rsidRPr="00AC57EA" w:rsidRDefault="00EC52D7" w:rsidP="00416AA0">
      <w:pPr>
        <w:widowControl/>
        <w:numPr>
          <w:ilvl w:val="0"/>
          <w:numId w:val="21"/>
        </w:numPr>
        <w:tabs>
          <w:tab w:val="left" w:pos="720"/>
        </w:tabs>
        <w:adjustRightInd/>
        <w:spacing w:line="240" w:lineRule="auto"/>
        <w:ind w:right="-90"/>
        <w:contextualSpacing/>
        <w:textAlignment w:val="auto"/>
        <w:rPr>
          <w:sz w:val="20"/>
          <w:szCs w:val="20"/>
          <w:lang w:val="en-US"/>
        </w:rPr>
      </w:pPr>
      <w:r w:rsidRPr="00AC57EA">
        <w:rPr>
          <w:sz w:val="20"/>
          <w:szCs w:val="20"/>
          <w:lang w:val="en-US"/>
        </w:rPr>
        <w:t>The State</w:t>
      </w:r>
      <w:r w:rsidR="00416AA0" w:rsidRPr="00AC57EA">
        <w:rPr>
          <w:sz w:val="20"/>
          <w:szCs w:val="20"/>
          <w:lang w:val="en-US"/>
        </w:rPr>
        <w:t xml:space="preserve"> </w:t>
      </w:r>
      <w:r w:rsidR="002A5974" w:rsidRPr="00AC57EA">
        <w:rPr>
          <w:sz w:val="20"/>
          <w:szCs w:val="20"/>
          <w:lang w:val="en-US"/>
        </w:rPr>
        <w:t xml:space="preserve">is responsible for the violation of the guarantee of a reasonable time of the proceedings, recognized in </w:t>
      </w:r>
      <w:r w:rsidR="00B7258C" w:rsidRPr="00AC57EA">
        <w:rPr>
          <w:sz w:val="20"/>
          <w:szCs w:val="20"/>
          <w:lang w:val="en-US" w:eastAsia="en-US"/>
        </w:rPr>
        <w:t>Article</w:t>
      </w:r>
      <w:r w:rsidR="00416AA0" w:rsidRPr="00AC57EA">
        <w:rPr>
          <w:sz w:val="20"/>
          <w:szCs w:val="20"/>
          <w:lang w:val="en-US" w:eastAsia="en-US"/>
        </w:rPr>
        <w:t xml:space="preserve"> </w:t>
      </w:r>
      <w:r w:rsidR="00171E27" w:rsidRPr="00AC57EA">
        <w:rPr>
          <w:sz w:val="20"/>
          <w:szCs w:val="20"/>
          <w:lang w:val="en-US" w:eastAsia="en-US"/>
        </w:rPr>
        <w:t>8(1)</w:t>
      </w:r>
      <w:r w:rsidR="00B7258C" w:rsidRPr="00AC57EA">
        <w:rPr>
          <w:sz w:val="20"/>
          <w:szCs w:val="20"/>
          <w:lang w:val="en-US" w:eastAsia="en-US"/>
        </w:rPr>
        <w:t xml:space="preserve"> of the American Convention on Human Rights</w:t>
      </w:r>
      <w:r w:rsidR="00416AA0" w:rsidRPr="00AC57EA">
        <w:rPr>
          <w:sz w:val="20"/>
          <w:szCs w:val="20"/>
          <w:lang w:val="en-US" w:eastAsia="en-US"/>
        </w:rPr>
        <w:t xml:space="preserve">, </w:t>
      </w:r>
      <w:r w:rsidR="00171E27" w:rsidRPr="00AC57EA">
        <w:rPr>
          <w:sz w:val="20"/>
          <w:szCs w:val="20"/>
          <w:lang w:val="en-US" w:eastAsia="en-US"/>
        </w:rPr>
        <w:t xml:space="preserve">in relation to Articles 1(1) and </w:t>
      </w:r>
      <w:r w:rsidR="00416AA0" w:rsidRPr="00AC57EA">
        <w:rPr>
          <w:sz w:val="20"/>
          <w:szCs w:val="20"/>
          <w:lang w:val="en-US" w:eastAsia="en-US"/>
        </w:rPr>
        <w:t xml:space="preserve">19 </w:t>
      </w:r>
      <w:r w:rsidR="002A5974" w:rsidRPr="00AC57EA">
        <w:rPr>
          <w:sz w:val="20"/>
          <w:szCs w:val="20"/>
          <w:lang w:val="en-US" w:eastAsia="en-US"/>
        </w:rPr>
        <w:t>of this instrument</w:t>
      </w:r>
      <w:r w:rsidR="00171E27" w:rsidRPr="00AC57EA">
        <w:rPr>
          <w:sz w:val="20"/>
          <w:szCs w:val="20"/>
          <w:lang w:val="en-US" w:eastAsia="en-US"/>
        </w:rPr>
        <w:t xml:space="preserve"> and </w:t>
      </w:r>
      <w:r w:rsidR="00B7258C" w:rsidRPr="00AC57EA">
        <w:rPr>
          <w:rFonts w:eastAsia="Batang" w:cs="Arial"/>
          <w:sz w:val="20"/>
          <w:szCs w:val="20"/>
          <w:lang w:val="en-US" w:eastAsia="es-MX"/>
        </w:rPr>
        <w:t>Article</w:t>
      </w:r>
      <w:r w:rsidR="00416AA0" w:rsidRPr="00AC57EA">
        <w:rPr>
          <w:rFonts w:eastAsia="Batang" w:cs="Arial"/>
          <w:sz w:val="20"/>
          <w:szCs w:val="20"/>
          <w:lang w:val="en-US" w:eastAsia="es-MX"/>
        </w:rPr>
        <w:t xml:space="preserve"> </w:t>
      </w:r>
      <w:r w:rsidR="007D5AA2" w:rsidRPr="00AC57EA">
        <w:rPr>
          <w:rFonts w:eastAsia="Batang" w:cs="Arial"/>
          <w:sz w:val="20"/>
          <w:szCs w:val="20"/>
          <w:lang w:val="en-US" w:eastAsia="es-MX"/>
        </w:rPr>
        <w:t>7(b)</w:t>
      </w:r>
      <w:r w:rsidR="00B7258C" w:rsidRPr="00AC57EA">
        <w:rPr>
          <w:rFonts w:eastAsia="Batang" w:cs="Arial"/>
          <w:sz w:val="20"/>
          <w:szCs w:val="20"/>
          <w:lang w:val="en-US" w:eastAsia="es-MX"/>
        </w:rPr>
        <w:t xml:space="preserve"> of the </w:t>
      </w:r>
      <w:r w:rsidR="00171E27" w:rsidRPr="00AC57EA">
        <w:rPr>
          <w:rFonts w:eastAsia="Batang"/>
          <w:sz w:val="20"/>
          <w:szCs w:val="20"/>
          <w:lang w:val="en-US" w:eastAsia="es-MX"/>
        </w:rPr>
        <w:t>Convention of Belém</w:t>
      </w:r>
      <w:r w:rsidR="00416AA0" w:rsidRPr="00AC57EA">
        <w:rPr>
          <w:rFonts w:eastAsia="Batang"/>
          <w:sz w:val="20"/>
          <w:szCs w:val="20"/>
          <w:lang w:val="en-US" w:eastAsia="es-MX"/>
        </w:rPr>
        <w:t xml:space="preserve"> do Pará</w:t>
      </w:r>
      <w:r w:rsidR="00416AA0" w:rsidRPr="00AC57EA">
        <w:rPr>
          <w:sz w:val="20"/>
          <w:szCs w:val="20"/>
          <w:lang w:val="en-US" w:eastAsia="en-US"/>
        </w:rPr>
        <w:t xml:space="preserve">, </w:t>
      </w:r>
      <w:r w:rsidR="002F084B" w:rsidRPr="00AC57EA">
        <w:rPr>
          <w:sz w:val="20"/>
          <w:szCs w:val="20"/>
          <w:lang w:val="en-US" w:eastAsia="en-US"/>
        </w:rPr>
        <w:t>to the detriment of</w:t>
      </w:r>
      <w:r w:rsidR="00416AA0" w:rsidRPr="00AC57EA">
        <w:rPr>
          <w:sz w:val="20"/>
          <w:szCs w:val="20"/>
          <w:lang w:val="en-US" w:eastAsia="en-US"/>
        </w:rPr>
        <w:t xml:space="preserve"> V.R.P.</w:t>
      </w:r>
      <w:r w:rsidR="00171E27" w:rsidRPr="00AC57EA">
        <w:rPr>
          <w:sz w:val="20"/>
          <w:szCs w:val="20"/>
          <w:lang w:val="en-US" w:eastAsia="en-US"/>
        </w:rPr>
        <w:t xml:space="preserve"> and </w:t>
      </w:r>
      <w:r w:rsidR="00416AA0" w:rsidRPr="00AC57EA">
        <w:rPr>
          <w:sz w:val="20"/>
          <w:szCs w:val="20"/>
          <w:lang w:val="en-US" w:eastAsia="en-US"/>
        </w:rPr>
        <w:t>V.P.C.</w:t>
      </w:r>
      <w:r w:rsidR="00416AA0" w:rsidRPr="00AC57EA">
        <w:rPr>
          <w:sz w:val="20"/>
          <w:szCs w:val="20"/>
          <w:lang w:val="en-US"/>
        </w:rPr>
        <w:t xml:space="preserve">, </w:t>
      </w:r>
      <w:r w:rsidR="00EB338E" w:rsidRPr="00AC57EA">
        <w:rPr>
          <w:rFonts w:eastAsia="Batang"/>
          <w:sz w:val="20"/>
          <w:szCs w:val="20"/>
          <w:lang w:val="en-US"/>
        </w:rPr>
        <w:t>pursuant to</w:t>
      </w:r>
      <w:r w:rsidR="00416AA0" w:rsidRPr="00AC57EA">
        <w:rPr>
          <w:rFonts w:eastAsia="Batang"/>
          <w:sz w:val="20"/>
          <w:szCs w:val="20"/>
          <w:lang w:val="en-US"/>
        </w:rPr>
        <w:t xml:space="preserve"> </w:t>
      </w:r>
      <w:r w:rsidR="005A2722" w:rsidRPr="00AC57EA">
        <w:rPr>
          <w:rFonts w:eastAsia="Batang"/>
          <w:sz w:val="20"/>
          <w:szCs w:val="20"/>
          <w:lang w:val="en-US"/>
        </w:rPr>
        <w:t>paragraphs</w:t>
      </w:r>
      <w:r w:rsidR="00416AA0" w:rsidRPr="00AC57EA">
        <w:rPr>
          <w:rFonts w:eastAsia="Batang"/>
          <w:sz w:val="20"/>
          <w:szCs w:val="20"/>
          <w:lang w:val="en-US"/>
        </w:rPr>
        <w:t xml:space="preserve"> </w:t>
      </w:r>
      <w:r w:rsidR="00454D8E" w:rsidRPr="00AC57EA">
        <w:rPr>
          <w:sz w:val="20"/>
          <w:szCs w:val="20"/>
          <w:lang w:val="en-US"/>
        </w:rPr>
        <w:t>275</w:t>
      </w:r>
      <w:r w:rsidR="00416AA0" w:rsidRPr="00AC57EA">
        <w:rPr>
          <w:sz w:val="20"/>
          <w:szCs w:val="20"/>
          <w:lang w:val="en-US"/>
        </w:rPr>
        <w:t xml:space="preserve"> </w:t>
      </w:r>
      <w:r w:rsidR="002A5974" w:rsidRPr="00AC57EA">
        <w:rPr>
          <w:sz w:val="20"/>
          <w:szCs w:val="20"/>
          <w:lang w:val="en-US"/>
        </w:rPr>
        <w:t>to</w:t>
      </w:r>
      <w:r w:rsidR="00416AA0" w:rsidRPr="00AC57EA">
        <w:rPr>
          <w:sz w:val="20"/>
          <w:szCs w:val="20"/>
          <w:lang w:val="en-US"/>
        </w:rPr>
        <w:t xml:space="preserve"> </w:t>
      </w:r>
      <w:r w:rsidR="00454D8E" w:rsidRPr="00AC57EA">
        <w:rPr>
          <w:sz w:val="20"/>
          <w:szCs w:val="20"/>
          <w:lang w:val="en-US"/>
        </w:rPr>
        <w:t>285</w:t>
      </w:r>
      <w:r w:rsidR="00171E27" w:rsidRPr="00AC57EA">
        <w:rPr>
          <w:sz w:val="20"/>
          <w:szCs w:val="20"/>
          <w:lang w:val="en-US"/>
        </w:rPr>
        <w:t xml:space="preserve"> and </w:t>
      </w:r>
      <w:r w:rsidR="0048718C" w:rsidRPr="00AC57EA">
        <w:rPr>
          <w:sz w:val="20"/>
          <w:szCs w:val="20"/>
          <w:lang w:val="en-US"/>
        </w:rPr>
        <w:t xml:space="preserve">304 </w:t>
      </w:r>
      <w:r w:rsidR="00171E27" w:rsidRPr="00AC57EA">
        <w:rPr>
          <w:sz w:val="20"/>
          <w:szCs w:val="20"/>
          <w:lang w:val="en-US"/>
        </w:rPr>
        <w:t>of this judgment</w:t>
      </w:r>
      <w:r w:rsidR="00416AA0" w:rsidRPr="00AC57EA">
        <w:rPr>
          <w:sz w:val="20"/>
          <w:szCs w:val="20"/>
          <w:lang w:val="en-US"/>
        </w:rPr>
        <w:t>.</w:t>
      </w:r>
    </w:p>
    <w:p w14:paraId="16E324CD" w14:textId="77777777" w:rsidR="00416AA0" w:rsidRPr="00AC57EA" w:rsidRDefault="00416AA0" w:rsidP="0031341D">
      <w:pPr>
        <w:widowControl/>
        <w:tabs>
          <w:tab w:val="left" w:pos="720"/>
        </w:tabs>
        <w:adjustRightInd/>
        <w:spacing w:line="240" w:lineRule="auto"/>
        <w:ind w:right="-90"/>
        <w:contextualSpacing/>
        <w:textAlignment w:val="auto"/>
        <w:rPr>
          <w:sz w:val="20"/>
          <w:szCs w:val="20"/>
          <w:lang w:val="en-US"/>
        </w:rPr>
      </w:pPr>
    </w:p>
    <w:p w14:paraId="6EDF1B2F" w14:textId="5C830F0C" w:rsidR="00214C9A" w:rsidRPr="00AC57EA" w:rsidRDefault="00EC52D7" w:rsidP="00F20A5E">
      <w:pPr>
        <w:widowControl/>
        <w:numPr>
          <w:ilvl w:val="0"/>
          <w:numId w:val="21"/>
        </w:numPr>
        <w:tabs>
          <w:tab w:val="left" w:pos="720"/>
        </w:tabs>
        <w:adjustRightInd/>
        <w:spacing w:line="240" w:lineRule="auto"/>
        <w:ind w:right="-90"/>
        <w:contextualSpacing/>
        <w:textAlignment w:val="auto"/>
        <w:rPr>
          <w:sz w:val="20"/>
          <w:szCs w:val="20"/>
          <w:lang w:val="en-US"/>
        </w:rPr>
      </w:pPr>
      <w:r w:rsidRPr="00AC57EA">
        <w:rPr>
          <w:sz w:val="20"/>
          <w:szCs w:val="20"/>
          <w:lang w:val="en-US"/>
        </w:rPr>
        <w:t>The State</w:t>
      </w:r>
      <w:r w:rsidR="00214C9A" w:rsidRPr="00AC57EA">
        <w:rPr>
          <w:sz w:val="20"/>
          <w:szCs w:val="20"/>
          <w:lang w:val="en-US"/>
        </w:rPr>
        <w:t xml:space="preserve"> </w:t>
      </w:r>
      <w:r w:rsidR="002A5974" w:rsidRPr="00AC57EA">
        <w:rPr>
          <w:rFonts w:eastAsia="Times"/>
          <w:sz w:val="20"/>
          <w:szCs w:val="20"/>
          <w:lang w:val="en-US"/>
        </w:rPr>
        <w:t xml:space="preserve">is responsible for failing to comply with its obligation to ensure, without discrimination for reasons of sex and gender, </w:t>
      </w:r>
      <w:r w:rsidR="00322E8C" w:rsidRPr="00AC57EA">
        <w:rPr>
          <w:rFonts w:eastAsia="Times"/>
          <w:sz w:val="20"/>
          <w:szCs w:val="20"/>
          <w:lang w:val="en-US"/>
        </w:rPr>
        <w:t>and</w:t>
      </w:r>
      <w:r w:rsidR="002A5974" w:rsidRPr="00AC57EA">
        <w:rPr>
          <w:rFonts w:eastAsia="Times"/>
          <w:sz w:val="20"/>
          <w:szCs w:val="20"/>
          <w:lang w:val="en-US"/>
        </w:rPr>
        <w:t xml:space="preserve"> for the victim’s condition as a person in development</w:t>
      </w:r>
      <w:r w:rsidR="00214C9A" w:rsidRPr="00AC57EA">
        <w:rPr>
          <w:sz w:val="20"/>
          <w:szCs w:val="20"/>
          <w:lang w:val="en-US"/>
        </w:rPr>
        <w:t xml:space="preserve">, </w:t>
      </w:r>
      <w:r w:rsidR="002A5974" w:rsidRPr="00AC57EA">
        <w:rPr>
          <w:sz w:val="20"/>
          <w:szCs w:val="20"/>
          <w:lang w:val="en-US"/>
        </w:rPr>
        <w:t>the right of</w:t>
      </w:r>
      <w:r w:rsidR="00214C9A" w:rsidRPr="00AC57EA">
        <w:rPr>
          <w:sz w:val="20"/>
          <w:szCs w:val="20"/>
          <w:lang w:val="en-US"/>
        </w:rPr>
        <w:t xml:space="preserve"> </w:t>
      </w:r>
      <w:r w:rsidR="002A5974" w:rsidRPr="00AC57EA">
        <w:rPr>
          <w:sz w:val="20"/>
          <w:szCs w:val="20"/>
          <w:lang w:val="en-US"/>
        </w:rPr>
        <w:t>access to justice</w:t>
      </w:r>
      <w:r w:rsidR="00214C9A" w:rsidRPr="00AC57EA">
        <w:rPr>
          <w:sz w:val="20"/>
          <w:szCs w:val="20"/>
          <w:lang w:val="en-US"/>
        </w:rPr>
        <w:t xml:space="preserve"> </w:t>
      </w:r>
      <w:r w:rsidR="00EB338E" w:rsidRPr="00AC57EA">
        <w:rPr>
          <w:sz w:val="20"/>
          <w:szCs w:val="20"/>
          <w:lang w:val="en-US"/>
        </w:rPr>
        <w:t>pursuant to</w:t>
      </w:r>
      <w:r w:rsidR="00214C9A" w:rsidRPr="00AC57EA">
        <w:rPr>
          <w:sz w:val="20"/>
          <w:szCs w:val="20"/>
          <w:lang w:val="en-US"/>
        </w:rPr>
        <w:t xml:space="preserve"> </w:t>
      </w:r>
      <w:r w:rsidR="00B7258C" w:rsidRPr="00AC57EA">
        <w:rPr>
          <w:sz w:val="20"/>
          <w:szCs w:val="20"/>
          <w:lang w:val="en-US"/>
        </w:rPr>
        <w:t>Articles</w:t>
      </w:r>
      <w:r w:rsidR="00214C9A" w:rsidRPr="00AC57EA">
        <w:rPr>
          <w:sz w:val="20"/>
          <w:szCs w:val="20"/>
          <w:lang w:val="en-US"/>
        </w:rPr>
        <w:t xml:space="preserve"> </w:t>
      </w:r>
      <w:r w:rsidR="00171E27" w:rsidRPr="00AC57EA">
        <w:rPr>
          <w:sz w:val="20"/>
          <w:szCs w:val="20"/>
          <w:lang w:val="en-US"/>
        </w:rPr>
        <w:t xml:space="preserve">8(1) and </w:t>
      </w:r>
      <w:r w:rsidR="00214C9A" w:rsidRPr="00AC57EA">
        <w:rPr>
          <w:sz w:val="20"/>
          <w:szCs w:val="20"/>
          <w:lang w:val="en-US"/>
        </w:rPr>
        <w:t>2</w:t>
      </w:r>
      <w:r w:rsidR="00171E27" w:rsidRPr="00AC57EA">
        <w:rPr>
          <w:sz w:val="20"/>
          <w:szCs w:val="20"/>
          <w:lang w:val="en-US"/>
        </w:rPr>
        <w:t>5(1)</w:t>
      </w:r>
      <w:r w:rsidR="00B7258C" w:rsidRPr="00AC57EA">
        <w:rPr>
          <w:sz w:val="20"/>
          <w:szCs w:val="20"/>
          <w:lang w:val="en-US"/>
        </w:rPr>
        <w:t xml:space="preserve"> of the American Convention on Human Rights</w:t>
      </w:r>
      <w:r w:rsidR="00214C9A" w:rsidRPr="00AC57EA">
        <w:rPr>
          <w:sz w:val="20"/>
          <w:szCs w:val="20"/>
          <w:lang w:val="en-US"/>
        </w:rPr>
        <w:t xml:space="preserve">, </w:t>
      </w:r>
      <w:r w:rsidR="00171E27" w:rsidRPr="00AC57EA">
        <w:rPr>
          <w:sz w:val="20"/>
          <w:szCs w:val="20"/>
          <w:lang w:val="en-US"/>
        </w:rPr>
        <w:t>in relation to Articles 1(1)</w:t>
      </w:r>
      <w:r w:rsidR="00D4268B" w:rsidRPr="00AC57EA">
        <w:rPr>
          <w:sz w:val="20"/>
          <w:szCs w:val="20"/>
          <w:lang w:val="en-US"/>
        </w:rPr>
        <w:t>,</w:t>
      </w:r>
      <w:r w:rsidR="000D7883" w:rsidRPr="00AC57EA">
        <w:rPr>
          <w:sz w:val="20"/>
          <w:szCs w:val="20"/>
          <w:lang w:val="en-US"/>
        </w:rPr>
        <w:t xml:space="preserve"> 19</w:t>
      </w:r>
      <w:r w:rsidR="00171E27" w:rsidRPr="00AC57EA">
        <w:rPr>
          <w:sz w:val="20"/>
          <w:szCs w:val="20"/>
          <w:lang w:val="en-US"/>
        </w:rPr>
        <w:t xml:space="preserve"> and </w:t>
      </w:r>
      <w:r w:rsidR="00D4268B" w:rsidRPr="00AC57EA">
        <w:rPr>
          <w:sz w:val="20"/>
          <w:szCs w:val="20"/>
          <w:lang w:val="en-US"/>
        </w:rPr>
        <w:t>24</w:t>
      </w:r>
      <w:r w:rsidR="000D7883" w:rsidRPr="00AC57EA">
        <w:rPr>
          <w:sz w:val="20"/>
          <w:szCs w:val="20"/>
          <w:lang w:val="en-US"/>
        </w:rPr>
        <w:t xml:space="preserve"> </w:t>
      </w:r>
      <w:r w:rsidR="002A5974" w:rsidRPr="00AC57EA">
        <w:rPr>
          <w:sz w:val="20"/>
          <w:szCs w:val="20"/>
          <w:lang w:val="en-US"/>
        </w:rPr>
        <w:t>of this instrument</w:t>
      </w:r>
      <w:r w:rsidR="00171E27" w:rsidRPr="00AC57EA">
        <w:rPr>
          <w:sz w:val="20"/>
          <w:szCs w:val="20"/>
          <w:lang w:val="en-US" w:eastAsia="en-US"/>
        </w:rPr>
        <w:t xml:space="preserve"> and </w:t>
      </w:r>
      <w:r w:rsidR="00B7258C" w:rsidRPr="00AC57EA">
        <w:rPr>
          <w:rFonts w:eastAsia="Batang" w:cs="Arial"/>
          <w:sz w:val="20"/>
          <w:szCs w:val="20"/>
          <w:lang w:val="en-US" w:eastAsia="es-MX"/>
        </w:rPr>
        <w:t>Article</w:t>
      </w:r>
      <w:r w:rsidR="00501708" w:rsidRPr="00AC57EA">
        <w:rPr>
          <w:rFonts w:eastAsia="Batang" w:cs="Arial"/>
          <w:sz w:val="20"/>
          <w:szCs w:val="20"/>
          <w:lang w:val="en-US" w:eastAsia="es-MX"/>
        </w:rPr>
        <w:t xml:space="preserve"> </w:t>
      </w:r>
      <w:r w:rsidR="007D5AA2" w:rsidRPr="00AC57EA">
        <w:rPr>
          <w:rFonts w:eastAsia="Batang" w:cs="Arial"/>
          <w:sz w:val="20"/>
          <w:szCs w:val="20"/>
          <w:lang w:val="en-US" w:eastAsia="es-MX"/>
        </w:rPr>
        <w:t>7(b)</w:t>
      </w:r>
      <w:r w:rsidR="00B7258C" w:rsidRPr="00AC57EA">
        <w:rPr>
          <w:rFonts w:eastAsia="Batang" w:cs="Arial"/>
          <w:sz w:val="20"/>
          <w:szCs w:val="20"/>
          <w:lang w:val="en-US" w:eastAsia="es-MX"/>
        </w:rPr>
        <w:t xml:space="preserve"> of the </w:t>
      </w:r>
      <w:r w:rsidR="00171E27" w:rsidRPr="00AC57EA">
        <w:rPr>
          <w:rFonts w:eastAsia="Batang"/>
          <w:sz w:val="20"/>
          <w:szCs w:val="20"/>
          <w:lang w:val="en-US" w:eastAsia="es-MX"/>
        </w:rPr>
        <w:t>Convention of Belém</w:t>
      </w:r>
      <w:r w:rsidR="00501708" w:rsidRPr="00AC57EA">
        <w:rPr>
          <w:rFonts w:eastAsia="Batang"/>
          <w:sz w:val="20"/>
          <w:szCs w:val="20"/>
          <w:lang w:val="en-US" w:eastAsia="es-MX"/>
        </w:rPr>
        <w:t xml:space="preserve"> do Pará</w:t>
      </w:r>
      <w:r w:rsidR="00214C9A" w:rsidRPr="00AC57EA">
        <w:rPr>
          <w:sz w:val="20"/>
          <w:szCs w:val="20"/>
          <w:lang w:val="en-US"/>
        </w:rPr>
        <w:t xml:space="preserve">, </w:t>
      </w:r>
      <w:r w:rsidR="002F084B" w:rsidRPr="00AC57EA">
        <w:rPr>
          <w:sz w:val="20"/>
          <w:szCs w:val="20"/>
          <w:lang w:val="en-US"/>
        </w:rPr>
        <w:t>to the detriment of</w:t>
      </w:r>
      <w:r w:rsidR="00214C9A" w:rsidRPr="00AC57EA">
        <w:rPr>
          <w:sz w:val="20"/>
          <w:szCs w:val="20"/>
          <w:lang w:val="en-US"/>
        </w:rPr>
        <w:t xml:space="preserve"> V.R.P., </w:t>
      </w:r>
      <w:r w:rsidR="00EB338E" w:rsidRPr="00AC57EA">
        <w:rPr>
          <w:rFonts w:eastAsia="Batang"/>
          <w:sz w:val="20"/>
          <w:szCs w:val="20"/>
          <w:lang w:val="en-US"/>
        </w:rPr>
        <w:t>pursuant to</w:t>
      </w:r>
      <w:r w:rsidR="00214C9A" w:rsidRPr="00AC57EA">
        <w:rPr>
          <w:rFonts w:eastAsia="Batang"/>
          <w:sz w:val="20"/>
          <w:szCs w:val="20"/>
          <w:lang w:val="en-US"/>
        </w:rPr>
        <w:t xml:space="preserve"> </w:t>
      </w:r>
      <w:r w:rsidR="005A2722" w:rsidRPr="00AC57EA">
        <w:rPr>
          <w:rFonts w:eastAsia="Batang"/>
          <w:sz w:val="20"/>
          <w:szCs w:val="20"/>
          <w:lang w:val="en-US"/>
        </w:rPr>
        <w:t>paragraphs</w:t>
      </w:r>
      <w:r w:rsidR="00214C9A" w:rsidRPr="00AC57EA">
        <w:rPr>
          <w:rFonts w:eastAsia="Batang"/>
          <w:sz w:val="20"/>
          <w:szCs w:val="20"/>
          <w:lang w:val="en-US"/>
        </w:rPr>
        <w:t xml:space="preserve"> </w:t>
      </w:r>
      <w:r w:rsidR="00134608" w:rsidRPr="00AC57EA">
        <w:rPr>
          <w:sz w:val="20"/>
          <w:szCs w:val="20"/>
          <w:lang w:val="en-US"/>
        </w:rPr>
        <w:t>289</w:t>
      </w:r>
      <w:r w:rsidR="00214C9A" w:rsidRPr="00AC57EA">
        <w:rPr>
          <w:sz w:val="20"/>
          <w:szCs w:val="20"/>
          <w:lang w:val="en-US"/>
        </w:rPr>
        <w:t xml:space="preserve"> </w:t>
      </w:r>
      <w:r w:rsidR="00322E8C" w:rsidRPr="00AC57EA">
        <w:rPr>
          <w:sz w:val="20"/>
          <w:szCs w:val="20"/>
          <w:lang w:val="en-US"/>
        </w:rPr>
        <w:t>to</w:t>
      </w:r>
      <w:r w:rsidR="00214C9A" w:rsidRPr="00AC57EA">
        <w:rPr>
          <w:sz w:val="20"/>
          <w:szCs w:val="20"/>
          <w:lang w:val="en-US"/>
        </w:rPr>
        <w:t xml:space="preserve"> </w:t>
      </w:r>
      <w:r w:rsidR="00134608" w:rsidRPr="00AC57EA">
        <w:rPr>
          <w:sz w:val="20"/>
          <w:szCs w:val="20"/>
          <w:lang w:val="en-US"/>
        </w:rPr>
        <w:t>296</w:t>
      </w:r>
      <w:r w:rsidR="00171E27" w:rsidRPr="00AC57EA">
        <w:rPr>
          <w:sz w:val="20"/>
          <w:szCs w:val="20"/>
          <w:lang w:val="en-US"/>
        </w:rPr>
        <w:t xml:space="preserve"> and </w:t>
      </w:r>
      <w:r w:rsidR="0048718C" w:rsidRPr="00AC57EA">
        <w:rPr>
          <w:sz w:val="20"/>
          <w:szCs w:val="20"/>
          <w:lang w:val="en-US"/>
        </w:rPr>
        <w:t>304</w:t>
      </w:r>
      <w:r w:rsidR="00214C9A" w:rsidRPr="00AC57EA">
        <w:rPr>
          <w:sz w:val="20"/>
          <w:szCs w:val="20"/>
          <w:lang w:val="en-US"/>
        </w:rPr>
        <w:t xml:space="preserve"> </w:t>
      </w:r>
      <w:r w:rsidR="00171E27" w:rsidRPr="00AC57EA">
        <w:rPr>
          <w:sz w:val="20"/>
          <w:szCs w:val="20"/>
          <w:lang w:val="en-US"/>
        </w:rPr>
        <w:t>of this judgment</w:t>
      </w:r>
      <w:r w:rsidR="00214C9A" w:rsidRPr="00AC57EA">
        <w:rPr>
          <w:sz w:val="20"/>
          <w:szCs w:val="20"/>
          <w:lang w:val="en-US"/>
        </w:rPr>
        <w:t>.</w:t>
      </w:r>
    </w:p>
    <w:p w14:paraId="123C552E" w14:textId="77777777" w:rsidR="00214C9A" w:rsidRPr="00AC57EA" w:rsidRDefault="00214C9A" w:rsidP="00214C9A">
      <w:pPr>
        <w:widowControl/>
        <w:tabs>
          <w:tab w:val="left" w:pos="720"/>
        </w:tabs>
        <w:adjustRightInd/>
        <w:spacing w:line="240" w:lineRule="auto"/>
        <w:ind w:right="-90"/>
        <w:contextualSpacing/>
        <w:textAlignment w:val="auto"/>
        <w:rPr>
          <w:sz w:val="20"/>
          <w:szCs w:val="20"/>
          <w:lang w:val="en-US"/>
        </w:rPr>
      </w:pPr>
    </w:p>
    <w:p w14:paraId="0E4ECA60" w14:textId="0CE0181D" w:rsidR="00214C9A" w:rsidRPr="00AC57EA" w:rsidRDefault="00EC52D7" w:rsidP="00214C9A">
      <w:pPr>
        <w:widowControl/>
        <w:numPr>
          <w:ilvl w:val="0"/>
          <w:numId w:val="21"/>
        </w:numPr>
        <w:tabs>
          <w:tab w:val="left" w:pos="720"/>
        </w:tabs>
        <w:adjustRightInd/>
        <w:spacing w:line="240" w:lineRule="auto"/>
        <w:ind w:right="-90"/>
        <w:contextualSpacing/>
        <w:textAlignment w:val="auto"/>
        <w:rPr>
          <w:sz w:val="20"/>
          <w:szCs w:val="20"/>
          <w:lang w:val="en-US"/>
        </w:rPr>
      </w:pPr>
      <w:r w:rsidRPr="00AC57EA">
        <w:rPr>
          <w:rFonts w:eastAsia="Times"/>
          <w:sz w:val="20"/>
          <w:szCs w:val="20"/>
          <w:lang w:val="en-US"/>
        </w:rPr>
        <w:t>The State</w:t>
      </w:r>
      <w:r w:rsidR="00214C9A" w:rsidRPr="00AC57EA">
        <w:rPr>
          <w:rFonts w:eastAsia="Times"/>
          <w:sz w:val="20"/>
          <w:szCs w:val="20"/>
          <w:lang w:val="en-US"/>
        </w:rPr>
        <w:t xml:space="preserve"> </w:t>
      </w:r>
      <w:r w:rsidR="002A5974" w:rsidRPr="00AC57EA">
        <w:rPr>
          <w:rFonts w:eastAsia="Times"/>
          <w:sz w:val="20"/>
          <w:szCs w:val="20"/>
          <w:lang w:val="en-US"/>
        </w:rPr>
        <w:t>is responsible for the violation of</w:t>
      </w:r>
      <w:r w:rsidR="00214C9A" w:rsidRPr="00AC57EA">
        <w:rPr>
          <w:rFonts w:eastAsia="Times"/>
          <w:sz w:val="20"/>
          <w:szCs w:val="20"/>
          <w:lang w:val="en-US"/>
        </w:rPr>
        <w:t xml:space="preserve"> </w:t>
      </w:r>
      <w:r w:rsidR="002A5974" w:rsidRPr="00AC57EA">
        <w:rPr>
          <w:rFonts w:eastAsia="Times"/>
          <w:sz w:val="20"/>
          <w:szCs w:val="20"/>
          <w:lang w:val="en-US"/>
        </w:rPr>
        <w:t>the prohibition of</w:t>
      </w:r>
      <w:r w:rsidR="00214C9A" w:rsidRPr="00AC57EA">
        <w:rPr>
          <w:rFonts w:eastAsia="Times"/>
          <w:sz w:val="20"/>
          <w:szCs w:val="20"/>
          <w:lang w:val="en-US"/>
        </w:rPr>
        <w:t xml:space="preserve"> </w:t>
      </w:r>
      <w:r w:rsidR="002A5974" w:rsidRPr="00AC57EA">
        <w:rPr>
          <w:rFonts w:eastAsia="Times"/>
          <w:sz w:val="20"/>
          <w:szCs w:val="20"/>
          <w:lang w:val="en-US"/>
        </w:rPr>
        <w:t>cruel, inhuman or degrading treatment</w:t>
      </w:r>
      <w:r w:rsidR="00214C9A" w:rsidRPr="00AC57EA">
        <w:rPr>
          <w:rFonts w:eastAsia="Times"/>
          <w:sz w:val="20"/>
          <w:szCs w:val="20"/>
          <w:lang w:val="en-US"/>
        </w:rPr>
        <w:t xml:space="preserve">, </w:t>
      </w:r>
      <w:r w:rsidR="002A5974" w:rsidRPr="00AC57EA">
        <w:rPr>
          <w:rFonts w:eastAsia="Times"/>
          <w:sz w:val="20"/>
          <w:szCs w:val="20"/>
          <w:lang w:val="en-US"/>
        </w:rPr>
        <w:t>established in</w:t>
      </w:r>
      <w:r w:rsidR="00214C9A" w:rsidRPr="00AC57EA">
        <w:rPr>
          <w:rFonts w:eastAsia="Times"/>
          <w:sz w:val="20"/>
          <w:szCs w:val="20"/>
          <w:lang w:val="en-US"/>
        </w:rPr>
        <w:t xml:space="preserve"> </w:t>
      </w:r>
      <w:r w:rsidR="00B7258C" w:rsidRPr="00AC57EA">
        <w:rPr>
          <w:rFonts w:eastAsia="Times"/>
          <w:sz w:val="20"/>
          <w:szCs w:val="20"/>
          <w:lang w:val="en-US"/>
        </w:rPr>
        <w:t>Article</w:t>
      </w:r>
      <w:r w:rsidR="00214C9A" w:rsidRPr="00AC57EA">
        <w:rPr>
          <w:rFonts w:eastAsia="Times"/>
          <w:sz w:val="20"/>
          <w:szCs w:val="20"/>
          <w:lang w:val="en-US"/>
        </w:rPr>
        <w:t xml:space="preserve"> </w:t>
      </w:r>
      <w:r w:rsidR="004151E3" w:rsidRPr="00AC57EA">
        <w:rPr>
          <w:rFonts w:eastAsia="Times"/>
          <w:sz w:val="20"/>
          <w:szCs w:val="20"/>
          <w:lang w:val="en-US"/>
        </w:rPr>
        <w:t>5(2)</w:t>
      </w:r>
      <w:r w:rsidR="00B7258C" w:rsidRPr="00AC57EA">
        <w:rPr>
          <w:rFonts w:eastAsia="Times"/>
          <w:sz w:val="20"/>
          <w:szCs w:val="20"/>
          <w:lang w:val="en-US"/>
        </w:rPr>
        <w:t xml:space="preserve"> of the American Convention on Human Rights</w:t>
      </w:r>
      <w:r w:rsidR="00214C9A" w:rsidRPr="00AC57EA">
        <w:rPr>
          <w:rFonts w:eastAsia="Times"/>
          <w:sz w:val="20"/>
          <w:szCs w:val="20"/>
          <w:lang w:val="en-US"/>
        </w:rPr>
        <w:t xml:space="preserve">, </w:t>
      </w:r>
      <w:r w:rsidR="00171E27" w:rsidRPr="00AC57EA">
        <w:rPr>
          <w:rFonts w:eastAsia="Times"/>
          <w:sz w:val="20"/>
          <w:szCs w:val="20"/>
          <w:lang w:val="en-US"/>
        </w:rPr>
        <w:t>in relation to Article 1(1)</w:t>
      </w:r>
      <w:r w:rsidR="00214C9A" w:rsidRPr="00AC57EA">
        <w:rPr>
          <w:rFonts w:eastAsia="Times"/>
          <w:sz w:val="20"/>
          <w:szCs w:val="20"/>
          <w:lang w:val="en-US"/>
        </w:rPr>
        <w:t xml:space="preserve"> </w:t>
      </w:r>
      <w:r w:rsidR="002A5974" w:rsidRPr="00AC57EA">
        <w:rPr>
          <w:rFonts w:eastAsia="Times"/>
          <w:sz w:val="20"/>
          <w:szCs w:val="20"/>
          <w:lang w:val="en-US"/>
        </w:rPr>
        <w:t>of this instrument</w:t>
      </w:r>
      <w:r w:rsidR="00214C9A" w:rsidRPr="00AC57EA">
        <w:rPr>
          <w:rFonts w:eastAsia="Times"/>
          <w:sz w:val="20"/>
          <w:szCs w:val="20"/>
          <w:lang w:val="en-US"/>
        </w:rPr>
        <w:t xml:space="preserve">, </w:t>
      </w:r>
      <w:r w:rsidR="002F084B" w:rsidRPr="00AC57EA">
        <w:rPr>
          <w:rFonts w:eastAsia="Times"/>
          <w:sz w:val="20"/>
          <w:szCs w:val="20"/>
          <w:lang w:val="en-US"/>
        </w:rPr>
        <w:t>to the detriment of</w:t>
      </w:r>
      <w:r w:rsidR="00214C9A" w:rsidRPr="00AC57EA">
        <w:rPr>
          <w:rFonts w:eastAsia="Batang" w:cs="Times"/>
          <w:sz w:val="20"/>
          <w:szCs w:val="20"/>
          <w:lang w:val="en-US"/>
        </w:rPr>
        <w:t xml:space="preserve"> V.R.P.,</w:t>
      </w:r>
      <w:r w:rsidR="00214C9A" w:rsidRPr="00AC57EA">
        <w:rPr>
          <w:sz w:val="20"/>
          <w:szCs w:val="20"/>
          <w:lang w:val="en-US"/>
        </w:rPr>
        <w:t xml:space="preserve"> </w:t>
      </w:r>
      <w:r w:rsidR="00EB338E" w:rsidRPr="00AC57EA">
        <w:rPr>
          <w:rFonts w:eastAsia="Batang"/>
          <w:sz w:val="20"/>
          <w:szCs w:val="20"/>
          <w:lang w:val="en-US"/>
        </w:rPr>
        <w:t>pursuant to</w:t>
      </w:r>
      <w:r w:rsidR="00214C9A" w:rsidRPr="00AC57EA">
        <w:rPr>
          <w:rFonts w:eastAsia="Batang"/>
          <w:sz w:val="20"/>
          <w:szCs w:val="20"/>
          <w:lang w:val="en-US"/>
        </w:rPr>
        <w:t xml:space="preserve"> </w:t>
      </w:r>
      <w:r w:rsidR="005A2722" w:rsidRPr="00AC57EA">
        <w:rPr>
          <w:rFonts w:eastAsia="Batang"/>
          <w:sz w:val="20"/>
          <w:szCs w:val="20"/>
          <w:lang w:val="en-US"/>
        </w:rPr>
        <w:t>paragraphs</w:t>
      </w:r>
      <w:r w:rsidR="00214C9A" w:rsidRPr="00AC57EA">
        <w:rPr>
          <w:rFonts w:eastAsia="Batang"/>
          <w:sz w:val="20"/>
          <w:szCs w:val="20"/>
          <w:lang w:val="en-US"/>
        </w:rPr>
        <w:t xml:space="preserve"> </w:t>
      </w:r>
      <w:r w:rsidR="00134608" w:rsidRPr="00AC57EA">
        <w:rPr>
          <w:sz w:val="20"/>
          <w:szCs w:val="20"/>
          <w:lang w:val="en-US"/>
        </w:rPr>
        <w:t>297</w:t>
      </w:r>
      <w:r w:rsidR="00214C9A" w:rsidRPr="00AC57EA">
        <w:rPr>
          <w:sz w:val="20"/>
          <w:szCs w:val="20"/>
          <w:lang w:val="en-US"/>
        </w:rPr>
        <w:t xml:space="preserve"> </w:t>
      </w:r>
      <w:r w:rsidR="002A5974" w:rsidRPr="00AC57EA">
        <w:rPr>
          <w:sz w:val="20"/>
          <w:szCs w:val="20"/>
          <w:lang w:val="en-US"/>
        </w:rPr>
        <w:t>to</w:t>
      </w:r>
      <w:r w:rsidR="00214C9A" w:rsidRPr="00AC57EA">
        <w:rPr>
          <w:sz w:val="20"/>
          <w:szCs w:val="20"/>
          <w:lang w:val="en-US"/>
        </w:rPr>
        <w:t xml:space="preserve"> </w:t>
      </w:r>
      <w:r w:rsidR="00134608" w:rsidRPr="00AC57EA">
        <w:rPr>
          <w:sz w:val="20"/>
          <w:szCs w:val="20"/>
          <w:lang w:val="en-US"/>
        </w:rPr>
        <w:t>299</w:t>
      </w:r>
      <w:r w:rsidR="00171E27" w:rsidRPr="00AC57EA">
        <w:rPr>
          <w:sz w:val="20"/>
          <w:szCs w:val="20"/>
          <w:lang w:val="en-US"/>
        </w:rPr>
        <w:t xml:space="preserve"> and </w:t>
      </w:r>
      <w:r w:rsidR="0048718C" w:rsidRPr="00AC57EA">
        <w:rPr>
          <w:sz w:val="20"/>
          <w:szCs w:val="20"/>
          <w:lang w:val="en-US"/>
        </w:rPr>
        <w:t xml:space="preserve">304 </w:t>
      </w:r>
      <w:r w:rsidR="00171E27" w:rsidRPr="00AC57EA">
        <w:rPr>
          <w:sz w:val="20"/>
          <w:szCs w:val="20"/>
          <w:lang w:val="en-US"/>
        </w:rPr>
        <w:t>of this judgment</w:t>
      </w:r>
      <w:r w:rsidR="00214C9A" w:rsidRPr="00AC57EA">
        <w:rPr>
          <w:rFonts w:eastAsia="Batang" w:cs="Times"/>
          <w:sz w:val="20"/>
          <w:szCs w:val="20"/>
          <w:lang w:val="en-US"/>
        </w:rPr>
        <w:t>.</w:t>
      </w:r>
    </w:p>
    <w:p w14:paraId="313ADF1A" w14:textId="77777777" w:rsidR="00214C9A" w:rsidRPr="00AC57EA" w:rsidRDefault="00214C9A" w:rsidP="00214C9A">
      <w:pPr>
        <w:widowControl/>
        <w:tabs>
          <w:tab w:val="left" w:pos="720"/>
        </w:tabs>
        <w:adjustRightInd/>
        <w:spacing w:line="240" w:lineRule="auto"/>
        <w:ind w:right="-90"/>
        <w:contextualSpacing/>
        <w:textAlignment w:val="auto"/>
        <w:rPr>
          <w:sz w:val="20"/>
          <w:szCs w:val="20"/>
          <w:lang w:val="en-US"/>
        </w:rPr>
      </w:pPr>
    </w:p>
    <w:p w14:paraId="5C3B7C34" w14:textId="7A6F8EC1" w:rsidR="00D21AD9" w:rsidRPr="00AC57EA" w:rsidRDefault="00EC52D7" w:rsidP="00BB7E7B">
      <w:pPr>
        <w:widowControl/>
        <w:numPr>
          <w:ilvl w:val="0"/>
          <w:numId w:val="21"/>
        </w:numPr>
        <w:tabs>
          <w:tab w:val="left" w:pos="720"/>
        </w:tabs>
        <w:adjustRightInd/>
        <w:spacing w:line="240" w:lineRule="auto"/>
        <w:ind w:right="-90"/>
        <w:contextualSpacing/>
        <w:textAlignment w:val="auto"/>
        <w:rPr>
          <w:sz w:val="20"/>
          <w:szCs w:val="20"/>
          <w:lang w:val="en-US"/>
        </w:rPr>
      </w:pPr>
      <w:r w:rsidRPr="00AC57EA">
        <w:rPr>
          <w:sz w:val="20"/>
          <w:szCs w:val="20"/>
          <w:lang w:val="en-US"/>
        </w:rPr>
        <w:t>The State</w:t>
      </w:r>
      <w:r w:rsidR="00D21AD9" w:rsidRPr="00AC57EA">
        <w:rPr>
          <w:sz w:val="20"/>
          <w:szCs w:val="20"/>
          <w:lang w:val="en-US"/>
        </w:rPr>
        <w:t xml:space="preserve"> </w:t>
      </w:r>
      <w:r w:rsidR="002A5974" w:rsidRPr="00AC57EA">
        <w:rPr>
          <w:sz w:val="20"/>
          <w:szCs w:val="20"/>
          <w:lang w:val="en-US"/>
        </w:rPr>
        <w:t>is responsible for the violation of</w:t>
      </w:r>
      <w:r w:rsidR="00D21AD9" w:rsidRPr="00AC57EA">
        <w:rPr>
          <w:sz w:val="20"/>
          <w:szCs w:val="20"/>
          <w:lang w:val="en-US"/>
        </w:rPr>
        <w:t xml:space="preserve"> </w:t>
      </w:r>
      <w:r w:rsidR="002A5974" w:rsidRPr="00AC57EA">
        <w:rPr>
          <w:sz w:val="20"/>
          <w:szCs w:val="20"/>
          <w:lang w:val="en-US"/>
        </w:rPr>
        <w:t xml:space="preserve">the rights </w:t>
      </w:r>
      <w:r w:rsidR="00322E8C" w:rsidRPr="00AC57EA">
        <w:rPr>
          <w:sz w:val="20"/>
          <w:szCs w:val="20"/>
          <w:lang w:val="en-US"/>
        </w:rPr>
        <w:t>to</w:t>
      </w:r>
      <w:r w:rsidR="002A5974" w:rsidRPr="00AC57EA">
        <w:rPr>
          <w:sz w:val="20"/>
          <w:szCs w:val="20"/>
          <w:lang w:val="en-US"/>
        </w:rPr>
        <w:t xml:space="preserve"> freedom of residence and protection of the family recognized in</w:t>
      </w:r>
      <w:r w:rsidR="00D21AD9" w:rsidRPr="00AC57EA">
        <w:rPr>
          <w:sz w:val="20"/>
          <w:szCs w:val="20"/>
          <w:lang w:val="en-US"/>
        </w:rPr>
        <w:t xml:space="preserve"> </w:t>
      </w:r>
      <w:r w:rsidR="00B7258C" w:rsidRPr="00AC57EA">
        <w:rPr>
          <w:sz w:val="20"/>
          <w:szCs w:val="20"/>
          <w:lang w:val="en-US"/>
        </w:rPr>
        <w:t>Articles</w:t>
      </w:r>
      <w:r w:rsidR="00D21AD9" w:rsidRPr="00AC57EA">
        <w:rPr>
          <w:sz w:val="20"/>
          <w:szCs w:val="20"/>
          <w:lang w:val="en-US"/>
        </w:rPr>
        <w:t xml:space="preserve"> 2</w:t>
      </w:r>
      <w:r w:rsidR="00171E27" w:rsidRPr="00AC57EA">
        <w:rPr>
          <w:sz w:val="20"/>
          <w:szCs w:val="20"/>
          <w:lang w:val="en-US"/>
        </w:rPr>
        <w:t>2(1) and 17(1)</w:t>
      </w:r>
      <w:r w:rsidR="00B7258C" w:rsidRPr="00AC57EA">
        <w:rPr>
          <w:sz w:val="20"/>
          <w:szCs w:val="20"/>
          <w:lang w:val="en-US"/>
        </w:rPr>
        <w:t xml:space="preserve"> of the American Convention on Human Rights</w:t>
      </w:r>
      <w:r w:rsidR="00D21AD9" w:rsidRPr="00AC57EA">
        <w:rPr>
          <w:sz w:val="20"/>
          <w:szCs w:val="20"/>
          <w:lang w:val="en-US"/>
        </w:rPr>
        <w:t xml:space="preserve">, </w:t>
      </w:r>
      <w:r w:rsidR="00171E27" w:rsidRPr="00AC57EA">
        <w:rPr>
          <w:sz w:val="20"/>
          <w:szCs w:val="20"/>
          <w:lang w:val="en-US"/>
        </w:rPr>
        <w:t xml:space="preserve">in relation to Articles 1(1) and </w:t>
      </w:r>
      <w:r w:rsidR="000D7883" w:rsidRPr="00AC57EA">
        <w:rPr>
          <w:sz w:val="20"/>
          <w:szCs w:val="20"/>
          <w:lang w:val="en-US"/>
        </w:rPr>
        <w:t xml:space="preserve">19 </w:t>
      </w:r>
      <w:r w:rsidR="002A5974" w:rsidRPr="00AC57EA">
        <w:rPr>
          <w:sz w:val="20"/>
          <w:szCs w:val="20"/>
          <w:lang w:val="en-US"/>
        </w:rPr>
        <w:t>of this instrument</w:t>
      </w:r>
      <w:r w:rsidR="00D21AD9" w:rsidRPr="00AC57EA">
        <w:rPr>
          <w:sz w:val="20"/>
          <w:szCs w:val="20"/>
          <w:lang w:val="en-US"/>
        </w:rPr>
        <w:t xml:space="preserve">, </w:t>
      </w:r>
      <w:r w:rsidR="002F084B" w:rsidRPr="00AC57EA">
        <w:rPr>
          <w:sz w:val="20"/>
          <w:szCs w:val="20"/>
          <w:lang w:val="en-US"/>
        </w:rPr>
        <w:t>to the detriment of</w:t>
      </w:r>
      <w:r w:rsidR="00D21AD9" w:rsidRPr="00AC57EA">
        <w:rPr>
          <w:sz w:val="20"/>
          <w:szCs w:val="20"/>
          <w:lang w:val="en-US"/>
        </w:rPr>
        <w:t xml:space="preserve"> V.R.P. </w:t>
      </w:r>
      <w:r w:rsidR="002A5974" w:rsidRPr="00AC57EA">
        <w:rPr>
          <w:sz w:val="20"/>
          <w:szCs w:val="20"/>
          <w:lang w:val="en-US"/>
        </w:rPr>
        <w:t>In addition</w:t>
      </w:r>
      <w:r w:rsidR="00D21AD9" w:rsidRPr="00AC57EA">
        <w:rPr>
          <w:sz w:val="20"/>
          <w:szCs w:val="20"/>
          <w:lang w:val="en-US"/>
        </w:rPr>
        <w:t xml:space="preserve">, </w:t>
      </w:r>
      <w:r w:rsidRPr="00AC57EA">
        <w:rPr>
          <w:sz w:val="20"/>
          <w:szCs w:val="20"/>
          <w:lang w:val="en-US"/>
        </w:rPr>
        <w:t>the State</w:t>
      </w:r>
      <w:r w:rsidR="00D21AD9" w:rsidRPr="00AC57EA">
        <w:rPr>
          <w:sz w:val="20"/>
          <w:szCs w:val="20"/>
          <w:lang w:val="en-US"/>
        </w:rPr>
        <w:t xml:space="preserve"> </w:t>
      </w:r>
      <w:r w:rsidR="002A5974" w:rsidRPr="00AC57EA">
        <w:rPr>
          <w:sz w:val="20"/>
          <w:szCs w:val="20"/>
          <w:lang w:val="en-US"/>
        </w:rPr>
        <w:t>is responsible for the violation of</w:t>
      </w:r>
      <w:r w:rsidR="00D21AD9" w:rsidRPr="00AC57EA">
        <w:rPr>
          <w:sz w:val="20"/>
          <w:szCs w:val="20"/>
          <w:lang w:val="en-US"/>
        </w:rPr>
        <w:t xml:space="preserve"> </w:t>
      </w:r>
      <w:r w:rsidR="002A5974" w:rsidRPr="00AC57EA">
        <w:rPr>
          <w:sz w:val="20"/>
          <w:szCs w:val="20"/>
          <w:lang w:val="en-US"/>
        </w:rPr>
        <w:t xml:space="preserve">the rights </w:t>
      </w:r>
      <w:r w:rsidR="00322E8C" w:rsidRPr="00AC57EA">
        <w:rPr>
          <w:sz w:val="20"/>
          <w:szCs w:val="20"/>
          <w:lang w:val="en-US"/>
        </w:rPr>
        <w:t>to</w:t>
      </w:r>
      <w:r w:rsidR="002A5974" w:rsidRPr="00AC57EA">
        <w:rPr>
          <w:sz w:val="20"/>
          <w:szCs w:val="20"/>
          <w:lang w:val="en-US"/>
        </w:rPr>
        <w:t xml:space="preserve"> freedom of residence and protection of the family recognized in </w:t>
      </w:r>
      <w:r w:rsidR="00B7258C" w:rsidRPr="00AC57EA">
        <w:rPr>
          <w:sz w:val="20"/>
          <w:szCs w:val="20"/>
          <w:lang w:val="en-US"/>
        </w:rPr>
        <w:t>Articles</w:t>
      </w:r>
      <w:r w:rsidR="00D21AD9" w:rsidRPr="00AC57EA">
        <w:rPr>
          <w:sz w:val="20"/>
          <w:szCs w:val="20"/>
          <w:lang w:val="en-US"/>
        </w:rPr>
        <w:t xml:space="preserve"> 2</w:t>
      </w:r>
      <w:r w:rsidR="00171E27" w:rsidRPr="00AC57EA">
        <w:rPr>
          <w:sz w:val="20"/>
          <w:szCs w:val="20"/>
          <w:lang w:val="en-US"/>
        </w:rPr>
        <w:t>2(1) and 17(1)</w:t>
      </w:r>
      <w:r w:rsidR="00B7258C" w:rsidRPr="00AC57EA">
        <w:rPr>
          <w:sz w:val="20"/>
          <w:szCs w:val="20"/>
          <w:lang w:val="en-US"/>
        </w:rPr>
        <w:t xml:space="preserve"> of the American Convention on Human Rights</w:t>
      </w:r>
      <w:r w:rsidR="00D21AD9" w:rsidRPr="00AC57EA">
        <w:rPr>
          <w:sz w:val="20"/>
          <w:szCs w:val="20"/>
          <w:lang w:val="en-US"/>
        </w:rPr>
        <w:t xml:space="preserve">, </w:t>
      </w:r>
      <w:r w:rsidR="00171E27" w:rsidRPr="00AC57EA">
        <w:rPr>
          <w:sz w:val="20"/>
          <w:szCs w:val="20"/>
          <w:lang w:val="en-US"/>
        </w:rPr>
        <w:t>in relation to Article 1(1)</w:t>
      </w:r>
      <w:r w:rsidR="00D21AD9" w:rsidRPr="00AC57EA">
        <w:rPr>
          <w:sz w:val="20"/>
          <w:szCs w:val="20"/>
          <w:lang w:val="en-US"/>
        </w:rPr>
        <w:t xml:space="preserve"> </w:t>
      </w:r>
      <w:r w:rsidR="002A5974" w:rsidRPr="00AC57EA">
        <w:rPr>
          <w:sz w:val="20"/>
          <w:szCs w:val="20"/>
          <w:lang w:val="en-US"/>
        </w:rPr>
        <w:t>of this instrument</w:t>
      </w:r>
      <w:r w:rsidR="00D21AD9" w:rsidRPr="00AC57EA">
        <w:rPr>
          <w:sz w:val="20"/>
          <w:szCs w:val="20"/>
          <w:lang w:val="en-US"/>
        </w:rPr>
        <w:t xml:space="preserve">, </w:t>
      </w:r>
      <w:r w:rsidR="002F084B" w:rsidRPr="00AC57EA">
        <w:rPr>
          <w:sz w:val="20"/>
          <w:szCs w:val="20"/>
          <w:lang w:val="en-US"/>
        </w:rPr>
        <w:t>to the detriment of</w:t>
      </w:r>
      <w:r w:rsidR="00D21AD9" w:rsidRPr="00AC57EA">
        <w:rPr>
          <w:sz w:val="20"/>
          <w:szCs w:val="20"/>
          <w:lang w:val="en-US"/>
        </w:rPr>
        <w:t xml:space="preserve"> V.P.C.</w:t>
      </w:r>
      <w:r w:rsidR="00171E27" w:rsidRPr="00AC57EA">
        <w:rPr>
          <w:sz w:val="20"/>
          <w:szCs w:val="20"/>
          <w:lang w:val="en-US"/>
        </w:rPr>
        <w:t xml:space="preserve"> and </w:t>
      </w:r>
      <w:r w:rsidR="00D21AD9" w:rsidRPr="00AC57EA">
        <w:rPr>
          <w:sz w:val="20"/>
          <w:szCs w:val="20"/>
          <w:lang w:val="en-US"/>
        </w:rPr>
        <w:t xml:space="preserve">N.R.P. </w:t>
      </w:r>
      <w:r w:rsidR="002A5974" w:rsidRPr="00AC57EA">
        <w:rPr>
          <w:sz w:val="20"/>
          <w:szCs w:val="20"/>
          <w:lang w:val="en-US"/>
        </w:rPr>
        <w:t>Similarly,</w:t>
      </w:r>
      <w:r w:rsidR="00D21AD9" w:rsidRPr="00AC57EA">
        <w:rPr>
          <w:sz w:val="20"/>
          <w:szCs w:val="20"/>
          <w:lang w:val="en-US"/>
        </w:rPr>
        <w:t xml:space="preserve"> </w:t>
      </w:r>
      <w:r w:rsidRPr="00AC57EA">
        <w:rPr>
          <w:sz w:val="20"/>
          <w:szCs w:val="20"/>
          <w:lang w:val="en-US"/>
        </w:rPr>
        <w:t>the State</w:t>
      </w:r>
      <w:r w:rsidR="00D21AD9" w:rsidRPr="00AC57EA">
        <w:rPr>
          <w:sz w:val="20"/>
          <w:szCs w:val="20"/>
          <w:lang w:val="en-US"/>
        </w:rPr>
        <w:t xml:space="preserve"> </w:t>
      </w:r>
      <w:r w:rsidR="002A5974" w:rsidRPr="00AC57EA">
        <w:rPr>
          <w:sz w:val="20"/>
          <w:szCs w:val="20"/>
          <w:lang w:val="en-US"/>
        </w:rPr>
        <w:t>is responsible for the violation of the right to protection of the family</w:t>
      </w:r>
      <w:r w:rsidR="00D21AD9" w:rsidRPr="00AC57EA">
        <w:rPr>
          <w:sz w:val="20"/>
          <w:szCs w:val="20"/>
          <w:lang w:val="en-US"/>
        </w:rPr>
        <w:t xml:space="preserve">, </w:t>
      </w:r>
      <w:r w:rsidR="002A5974" w:rsidRPr="00AC57EA">
        <w:rPr>
          <w:sz w:val="20"/>
          <w:szCs w:val="20"/>
          <w:lang w:val="en-US"/>
        </w:rPr>
        <w:t>recognized in</w:t>
      </w:r>
      <w:r w:rsidR="00D21AD9" w:rsidRPr="00AC57EA">
        <w:rPr>
          <w:sz w:val="20"/>
          <w:szCs w:val="20"/>
          <w:lang w:val="en-US"/>
        </w:rPr>
        <w:t xml:space="preserve"> </w:t>
      </w:r>
      <w:r w:rsidR="00B7258C" w:rsidRPr="00AC57EA">
        <w:rPr>
          <w:sz w:val="20"/>
          <w:szCs w:val="20"/>
          <w:lang w:val="en-US"/>
        </w:rPr>
        <w:t>Article</w:t>
      </w:r>
      <w:r w:rsidR="00D21AD9" w:rsidRPr="00AC57EA">
        <w:rPr>
          <w:sz w:val="20"/>
          <w:szCs w:val="20"/>
          <w:lang w:val="en-US"/>
        </w:rPr>
        <w:t xml:space="preserve"> </w:t>
      </w:r>
      <w:r w:rsidR="00171E27" w:rsidRPr="00AC57EA">
        <w:rPr>
          <w:sz w:val="20"/>
          <w:szCs w:val="20"/>
          <w:lang w:val="en-US"/>
        </w:rPr>
        <w:t>17(1)</w:t>
      </w:r>
      <w:r w:rsidR="00B7258C" w:rsidRPr="00AC57EA">
        <w:rPr>
          <w:sz w:val="20"/>
          <w:szCs w:val="20"/>
          <w:lang w:val="en-US"/>
        </w:rPr>
        <w:t xml:space="preserve"> of the American Convention on Human Rights</w:t>
      </w:r>
      <w:r w:rsidR="00D21AD9" w:rsidRPr="00AC57EA">
        <w:rPr>
          <w:sz w:val="20"/>
          <w:szCs w:val="20"/>
          <w:lang w:val="en-US"/>
        </w:rPr>
        <w:t xml:space="preserve">, </w:t>
      </w:r>
      <w:r w:rsidR="00171E27" w:rsidRPr="00AC57EA">
        <w:rPr>
          <w:sz w:val="20"/>
          <w:szCs w:val="20"/>
          <w:lang w:val="en-US"/>
        </w:rPr>
        <w:t>in relation to Article 1(1)</w:t>
      </w:r>
      <w:r w:rsidR="00EA3818" w:rsidRPr="00AC57EA">
        <w:rPr>
          <w:sz w:val="20"/>
          <w:szCs w:val="20"/>
          <w:lang w:val="en-US"/>
        </w:rPr>
        <w:t xml:space="preserve"> </w:t>
      </w:r>
      <w:r w:rsidR="002A5974" w:rsidRPr="00AC57EA">
        <w:rPr>
          <w:sz w:val="20"/>
          <w:szCs w:val="20"/>
          <w:lang w:val="en-US"/>
        </w:rPr>
        <w:t>of this instrument</w:t>
      </w:r>
      <w:r w:rsidR="00D21AD9" w:rsidRPr="00AC57EA">
        <w:rPr>
          <w:sz w:val="20"/>
          <w:szCs w:val="20"/>
          <w:lang w:val="en-US"/>
        </w:rPr>
        <w:t xml:space="preserve">, </w:t>
      </w:r>
      <w:r w:rsidR="002F084B" w:rsidRPr="00AC57EA">
        <w:rPr>
          <w:sz w:val="20"/>
          <w:szCs w:val="20"/>
          <w:lang w:val="en-US"/>
        </w:rPr>
        <w:t>to the detriment of</w:t>
      </w:r>
      <w:r w:rsidR="00D21AD9" w:rsidRPr="00AC57EA">
        <w:rPr>
          <w:sz w:val="20"/>
          <w:szCs w:val="20"/>
          <w:lang w:val="en-US"/>
        </w:rPr>
        <w:t xml:space="preserve"> H.J.R.P.</w:t>
      </w:r>
      <w:r w:rsidR="00171E27" w:rsidRPr="00AC57EA">
        <w:rPr>
          <w:sz w:val="20"/>
          <w:szCs w:val="20"/>
          <w:lang w:val="en-US"/>
        </w:rPr>
        <w:t xml:space="preserve"> and </w:t>
      </w:r>
      <w:r w:rsidR="00D21AD9" w:rsidRPr="00AC57EA">
        <w:rPr>
          <w:sz w:val="20"/>
          <w:szCs w:val="20"/>
          <w:lang w:val="en-US"/>
        </w:rPr>
        <w:t>V.A.R.P.</w:t>
      </w:r>
      <w:r w:rsidR="00B836E9" w:rsidRPr="00AC57EA">
        <w:rPr>
          <w:sz w:val="20"/>
          <w:szCs w:val="20"/>
          <w:lang w:val="en-US"/>
        </w:rPr>
        <w:t xml:space="preserve"> </w:t>
      </w:r>
      <w:r w:rsidR="002A5974" w:rsidRPr="00AC57EA">
        <w:rPr>
          <w:sz w:val="20"/>
          <w:szCs w:val="20"/>
          <w:lang w:val="en-US"/>
        </w:rPr>
        <w:t>All of this</w:t>
      </w:r>
      <w:r w:rsidR="00B836E9" w:rsidRPr="00AC57EA">
        <w:rPr>
          <w:sz w:val="20"/>
          <w:szCs w:val="20"/>
          <w:lang w:val="en-US"/>
        </w:rPr>
        <w:t xml:space="preserve"> </w:t>
      </w:r>
      <w:r w:rsidR="00EB338E" w:rsidRPr="00AC57EA">
        <w:rPr>
          <w:sz w:val="20"/>
          <w:szCs w:val="20"/>
          <w:lang w:val="en-US"/>
        </w:rPr>
        <w:t>pursuant to</w:t>
      </w:r>
      <w:r w:rsidR="00B836E9" w:rsidRPr="00AC57EA">
        <w:rPr>
          <w:sz w:val="20"/>
          <w:szCs w:val="20"/>
          <w:lang w:val="en-US"/>
        </w:rPr>
        <w:t xml:space="preserve"> </w:t>
      </w:r>
      <w:r w:rsidR="005A2722" w:rsidRPr="00AC57EA">
        <w:rPr>
          <w:sz w:val="20"/>
          <w:szCs w:val="20"/>
          <w:lang w:val="en-US"/>
        </w:rPr>
        <w:t>paragraphs</w:t>
      </w:r>
      <w:r w:rsidR="00B836E9" w:rsidRPr="00AC57EA">
        <w:rPr>
          <w:sz w:val="20"/>
          <w:szCs w:val="20"/>
          <w:lang w:val="en-US"/>
        </w:rPr>
        <w:t xml:space="preserve"> </w:t>
      </w:r>
      <w:r w:rsidR="0048718C" w:rsidRPr="00AC57EA">
        <w:rPr>
          <w:sz w:val="20"/>
          <w:szCs w:val="20"/>
          <w:lang w:val="en-US"/>
        </w:rPr>
        <w:t>308</w:t>
      </w:r>
      <w:r w:rsidR="00B836E9" w:rsidRPr="00AC57EA">
        <w:rPr>
          <w:sz w:val="20"/>
          <w:szCs w:val="20"/>
          <w:lang w:val="en-US"/>
        </w:rPr>
        <w:t xml:space="preserve"> </w:t>
      </w:r>
      <w:r w:rsidR="002A5974" w:rsidRPr="00AC57EA">
        <w:rPr>
          <w:sz w:val="20"/>
          <w:szCs w:val="20"/>
          <w:lang w:val="en-US"/>
        </w:rPr>
        <w:t xml:space="preserve">to </w:t>
      </w:r>
      <w:r w:rsidR="0048718C" w:rsidRPr="00AC57EA">
        <w:rPr>
          <w:sz w:val="20"/>
          <w:szCs w:val="20"/>
          <w:lang w:val="en-US"/>
        </w:rPr>
        <w:t>322</w:t>
      </w:r>
      <w:r w:rsidR="00B836E9" w:rsidRPr="00AC57EA">
        <w:rPr>
          <w:sz w:val="20"/>
          <w:szCs w:val="20"/>
          <w:lang w:val="en-US"/>
        </w:rPr>
        <w:t xml:space="preserve"> </w:t>
      </w:r>
      <w:r w:rsidR="00171E27" w:rsidRPr="00AC57EA">
        <w:rPr>
          <w:sz w:val="20"/>
          <w:szCs w:val="20"/>
          <w:lang w:val="en-US"/>
        </w:rPr>
        <w:t>of this judgment</w:t>
      </w:r>
      <w:r w:rsidR="00B836E9" w:rsidRPr="00AC57EA">
        <w:rPr>
          <w:sz w:val="20"/>
          <w:szCs w:val="20"/>
          <w:lang w:val="en-US"/>
        </w:rPr>
        <w:t>.</w:t>
      </w:r>
    </w:p>
    <w:p w14:paraId="7118B885" w14:textId="77777777" w:rsidR="00D21AD9" w:rsidRPr="00AC57EA" w:rsidRDefault="00D21AD9" w:rsidP="00D21AD9">
      <w:pPr>
        <w:tabs>
          <w:tab w:val="left" w:pos="567"/>
        </w:tabs>
        <w:spacing w:line="240" w:lineRule="auto"/>
        <w:rPr>
          <w:rFonts w:eastAsiaTheme="minorHAnsi" w:cstheme="minorBidi"/>
          <w:sz w:val="20"/>
          <w:szCs w:val="20"/>
          <w:lang w:val="en-US" w:eastAsia="en-US"/>
        </w:rPr>
      </w:pPr>
    </w:p>
    <w:p w14:paraId="6DE385D1" w14:textId="253303FE" w:rsidR="009D0B2B" w:rsidRPr="00AC57EA" w:rsidRDefault="00EC52D7" w:rsidP="00B836E9">
      <w:pPr>
        <w:widowControl/>
        <w:numPr>
          <w:ilvl w:val="0"/>
          <w:numId w:val="21"/>
        </w:numPr>
        <w:tabs>
          <w:tab w:val="left" w:pos="720"/>
        </w:tabs>
        <w:adjustRightInd/>
        <w:spacing w:line="240" w:lineRule="auto"/>
        <w:ind w:right="-90"/>
        <w:contextualSpacing/>
        <w:textAlignment w:val="auto"/>
        <w:rPr>
          <w:lang w:val="en-US"/>
        </w:rPr>
      </w:pPr>
      <w:r w:rsidRPr="00AC57EA">
        <w:rPr>
          <w:sz w:val="20"/>
          <w:szCs w:val="20"/>
          <w:lang w:val="en-US"/>
        </w:rPr>
        <w:t>The State</w:t>
      </w:r>
      <w:r w:rsidR="009D0B2B" w:rsidRPr="00AC57EA">
        <w:rPr>
          <w:sz w:val="20"/>
          <w:szCs w:val="20"/>
          <w:lang w:val="en-US"/>
        </w:rPr>
        <w:t xml:space="preserve"> </w:t>
      </w:r>
      <w:r w:rsidR="002A5974" w:rsidRPr="00AC57EA">
        <w:rPr>
          <w:sz w:val="20"/>
          <w:szCs w:val="20"/>
          <w:lang w:val="en-US"/>
        </w:rPr>
        <w:t>is responsible for the violation of the right to personal integrity</w:t>
      </w:r>
      <w:r w:rsidR="009D0B2B" w:rsidRPr="00AC57EA">
        <w:rPr>
          <w:sz w:val="20"/>
          <w:szCs w:val="20"/>
          <w:lang w:val="en-US"/>
        </w:rPr>
        <w:t xml:space="preserve"> </w:t>
      </w:r>
      <w:r w:rsidR="002A5974" w:rsidRPr="00AC57EA">
        <w:rPr>
          <w:sz w:val="20"/>
          <w:szCs w:val="20"/>
          <w:lang w:val="en-US"/>
        </w:rPr>
        <w:t>recognized in</w:t>
      </w:r>
      <w:r w:rsidR="009D0B2B" w:rsidRPr="00AC57EA">
        <w:rPr>
          <w:sz w:val="20"/>
          <w:szCs w:val="20"/>
          <w:lang w:val="en-US"/>
        </w:rPr>
        <w:t xml:space="preserve"> </w:t>
      </w:r>
      <w:r w:rsidR="00B7258C" w:rsidRPr="00AC57EA">
        <w:rPr>
          <w:sz w:val="20"/>
          <w:szCs w:val="20"/>
          <w:lang w:val="en-US"/>
        </w:rPr>
        <w:t>Article</w:t>
      </w:r>
      <w:r w:rsidR="009D0B2B" w:rsidRPr="00AC57EA">
        <w:rPr>
          <w:sz w:val="20"/>
          <w:szCs w:val="20"/>
          <w:lang w:val="en-US"/>
        </w:rPr>
        <w:t xml:space="preserve"> </w:t>
      </w:r>
      <w:r w:rsidR="00171E27" w:rsidRPr="00AC57EA">
        <w:rPr>
          <w:sz w:val="20"/>
          <w:szCs w:val="20"/>
          <w:lang w:val="en-US"/>
        </w:rPr>
        <w:t>5(1)</w:t>
      </w:r>
      <w:r w:rsidR="00B7258C" w:rsidRPr="00AC57EA">
        <w:rPr>
          <w:sz w:val="20"/>
          <w:szCs w:val="20"/>
          <w:lang w:val="en-US"/>
        </w:rPr>
        <w:t xml:space="preserve"> of the American Convention on Human Rights</w:t>
      </w:r>
      <w:r w:rsidR="009D0B2B" w:rsidRPr="00AC57EA">
        <w:rPr>
          <w:sz w:val="20"/>
          <w:szCs w:val="20"/>
          <w:lang w:val="en-US"/>
        </w:rPr>
        <w:t xml:space="preserve">, </w:t>
      </w:r>
      <w:r w:rsidR="00171E27" w:rsidRPr="00AC57EA">
        <w:rPr>
          <w:sz w:val="20"/>
          <w:szCs w:val="20"/>
          <w:lang w:val="en-US"/>
        </w:rPr>
        <w:t>in relation to Article 1(1)</w:t>
      </w:r>
      <w:r w:rsidR="009D0B2B" w:rsidRPr="00AC57EA">
        <w:rPr>
          <w:sz w:val="20"/>
          <w:szCs w:val="20"/>
          <w:lang w:val="en-US"/>
        </w:rPr>
        <w:t xml:space="preserve"> </w:t>
      </w:r>
      <w:r w:rsidR="002A5974" w:rsidRPr="00AC57EA">
        <w:rPr>
          <w:sz w:val="20"/>
          <w:szCs w:val="20"/>
          <w:lang w:val="en-US"/>
        </w:rPr>
        <w:t>of this instrument</w:t>
      </w:r>
      <w:r w:rsidR="009D0B2B" w:rsidRPr="00AC57EA">
        <w:rPr>
          <w:sz w:val="20"/>
          <w:szCs w:val="20"/>
          <w:lang w:val="en-US"/>
        </w:rPr>
        <w:t xml:space="preserve">, </w:t>
      </w:r>
      <w:r w:rsidR="002F084B" w:rsidRPr="00AC57EA">
        <w:rPr>
          <w:sz w:val="20"/>
          <w:szCs w:val="20"/>
          <w:lang w:val="en-US"/>
        </w:rPr>
        <w:t>to the detriment of</w:t>
      </w:r>
      <w:r w:rsidR="009D0B2B" w:rsidRPr="00AC57EA">
        <w:rPr>
          <w:sz w:val="20"/>
          <w:szCs w:val="20"/>
          <w:lang w:val="en-US"/>
        </w:rPr>
        <w:t xml:space="preserve"> </w:t>
      </w:r>
      <w:r w:rsidR="002A5974" w:rsidRPr="00AC57EA">
        <w:rPr>
          <w:sz w:val="20"/>
          <w:szCs w:val="20"/>
          <w:lang w:val="en-US"/>
        </w:rPr>
        <w:t>the members of</w:t>
      </w:r>
      <w:r w:rsidR="00B836E9" w:rsidRPr="00AC57EA">
        <w:rPr>
          <w:sz w:val="20"/>
          <w:szCs w:val="20"/>
          <w:lang w:val="en-US"/>
        </w:rPr>
        <w:t xml:space="preserve"> V.R.P.</w:t>
      </w:r>
      <w:r w:rsidR="002A5974" w:rsidRPr="00AC57EA">
        <w:rPr>
          <w:sz w:val="20"/>
          <w:szCs w:val="20"/>
          <w:lang w:val="en-US"/>
        </w:rPr>
        <w:t>’s family</w:t>
      </w:r>
      <w:r w:rsidR="00B836E9" w:rsidRPr="00AC57EA">
        <w:rPr>
          <w:sz w:val="20"/>
          <w:szCs w:val="20"/>
          <w:lang w:val="en-US"/>
        </w:rPr>
        <w:t xml:space="preserve">, </w:t>
      </w:r>
      <w:r w:rsidR="002A5974" w:rsidRPr="00AC57EA">
        <w:rPr>
          <w:sz w:val="20"/>
          <w:szCs w:val="20"/>
          <w:lang w:val="en-US"/>
        </w:rPr>
        <w:t>identified as</w:t>
      </w:r>
      <w:r w:rsidR="00B836E9" w:rsidRPr="00AC57EA">
        <w:rPr>
          <w:sz w:val="20"/>
          <w:szCs w:val="20"/>
          <w:lang w:val="en-US"/>
        </w:rPr>
        <w:t xml:space="preserve"> V.P.C., </w:t>
      </w:r>
      <w:r w:rsidR="00EA3818" w:rsidRPr="00AC57EA">
        <w:rPr>
          <w:sz w:val="20"/>
          <w:szCs w:val="20"/>
          <w:lang w:val="en-US"/>
        </w:rPr>
        <w:t xml:space="preserve">N.R.P., </w:t>
      </w:r>
      <w:r w:rsidR="00B836E9" w:rsidRPr="00AC57EA">
        <w:rPr>
          <w:sz w:val="20"/>
          <w:szCs w:val="20"/>
          <w:lang w:val="en-US"/>
        </w:rPr>
        <w:t>H.J.R.P.</w:t>
      </w:r>
      <w:r w:rsidR="00171E27" w:rsidRPr="00AC57EA">
        <w:rPr>
          <w:sz w:val="20"/>
          <w:szCs w:val="20"/>
          <w:lang w:val="en-US"/>
        </w:rPr>
        <w:t xml:space="preserve"> and </w:t>
      </w:r>
      <w:r w:rsidR="00B836E9" w:rsidRPr="00AC57EA">
        <w:rPr>
          <w:sz w:val="20"/>
          <w:szCs w:val="20"/>
          <w:lang w:val="en-US"/>
        </w:rPr>
        <w:t>V.A.R.P.</w:t>
      </w:r>
      <w:r w:rsidR="009D0B2B" w:rsidRPr="00AC57EA">
        <w:rPr>
          <w:sz w:val="20"/>
          <w:szCs w:val="20"/>
          <w:lang w:val="en-US"/>
        </w:rPr>
        <w:t xml:space="preserve">, </w:t>
      </w:r>
      <w:r w:rsidR="00EB338E" w:rsidRPr="00AC57EA">
        <w:rPr>
          <w:sz w:val="20"/>
          <w:szCs w:val="20"/>
          <w:lang w:val="en-US"/>
        </w:rPr>
        <w:t>pursuant to</w:t>
      </w:r>
      <w:r w:rsidR="009D0B2B" w:rsidRPr="00AC57EA">
        <w:rPr>
          <w:sz w:val="20"/>
          <w:szCs w:val="20"/>
          <w:lang w:val="en-US"/>
        </w:rPr>
        <w:t xml:space="preserve"> </w:t>
      </w:r>
      <w:r w:rsidR="005A2722" w:rsidRPr="00AC57EA">
        <w:rPr>
          <w:sz w:val="20"/>
          <w:szCs w:val="20"/>
          <w:lang w:val="en-US"/>
        </w:rPr>
        <w:t>paragraphs</w:t>
      </w:r>
      <w:r w:rsidR="009D0B2B" w:rsidRPr="00AC57EA">
        <w:rPr>
          <w:sz w:val="20"/>
          <w:szCs w:val="20"/>
          <w:lang w:val="en-US"/>
        </w:rPr>
        <w:t xml:space="preserve"> </w:t>
      </w:r>
      <w:r w:rsidR="0048718C" w:rsidRPr="00AC57EA">
        <w:rPr>
          <w:sz w:val="20"/>
          <w:szCs w:val="20"/>
          <w:lang w:val="en-US"/>
        </w:rPr>
        <w:t>327</w:t>
      </w:r>
      <w:r w:rsidR="009D0B2B" w:rsidRPr="00AC57EA">
        <w:rPr>
          <w:sz w:val="20"/>
          <w:szCs w:val="20"/>
          <w:lang w:val="en-US"/>
        </w:rPr>
        <w:t xml:space="preserve"> </w:t>
      </w:r>
      <w:r w:rsidR="002A5974" w:rsidRPr="00AC57EA">
        <w:rPr>
          <w:sz w:val="20"/>
          <w:szCs w:val="20"/>
          <w:lang w:val="en-US"/>
        </w:rPr>
        <w:t>to</w:t>
      </w:r>
      <w:r w:rsidR="009D0B2B" w:rsidRPr="00AC57EA">
        <w:rPr>
          <w:sz w:val="20"/>
          <w:szCs w:val="20"/>
          <w:lang w:val="en-US"/>
        </w:rPr>
        <w:t xml:space="preserve"> </w:t>
      </w:r>
      <w:r w:rsidR="0048718C" w:rsidRPr="00AC57EA">
        <w:rPr>
          <w:sz w:val="20"/>
          <w:szCs w:val="20"/>
          <w:lang w:val="en-US"/>
        </w:rPr>
        <w:t>334</w:t>
      </w:r>
      <w:r w:rsidR="009D0B2B" w:rsidRPr="00AC57EA">
        <w:rPr>
          <w:sz w:val="20"/>
          <w:szCs w:val="20"/>
          <w:lang w:val="en-US"/>
        </w:rPr>
        <w:t xml:space="preserve"> </w:t>
      </w:r>
      <w:r w:rsidR="00171E27" w:rsidRPr="00AC57EA">
        <w:rPr>
          <w:sz w:val="20"/>
          <w:szCs w:val="20"/>
          <w:lang w:val="en-US"/>
        </w:rPr>
        <w:t>of this judgment</w:t>
      </w:r>
      <w:r w:rsidR="009D0B2B" w:rsidRPr="00AC57EA">
        <w:rPr>
          <w:sz w:val="20"/>
          <w:szCs w:val="20"/>
          <w:lang w:val="en-US"/>
        </w:rPr>
        <w:t>.</w:t>
      </w:r>
    </w:p>
    <w:p w14:paraId="2D3C2486" w14:textId="77777777" w:rsidR="009D0B2B" w:rsidRPr="00AC57EA" w:rsidRDefault="009D0B2B" w:rsidP="009D0B2B">
      <w:pPr>
        <w:pStyle w:val="Prrafodelista2"/>
        <w:ind w:left="0" w:right="-90"/>
        <w:contextualSpacing/>
        <w:jc w:val="both"/>
        <w:rPr>
          <w:lang w:val="en-US"/>
        </w:rPr>
      </w:pPr>
    </w:p>
    <w:p w14:paraId="5A41C8C9" w14:textId="1AC09A0E" w:rsidR="00D21AD9" w:rsidRPr="00AC57EA" w:rsidRDefault="00EC52D7" w:rsidP="00BB7E7B">
      <w:pPr>
        <w:widowControl/>
        <w:numPr>
          <w:ilvl w:val="0"/>
          <w:numId w:val="21"/>
        </w:numPr>
        <w:tabs>
          <w:tab w:val="left" w:pos="720"/>
        </w:tabs>
        <w:adjustRightInd/>
        <w:spacing w:line="240" w:lineRule="auto"/>
        <w:ind w:right="-90"/>
        <w:contextualSpacing/>
        <w:textAlignment w:val="auto"/>
        <w:rPr>
          <w:rFonts w:eastAsiaTheme="minorHAnsi" w:cstheme="minorBidi"/>
          <w:sz w:val="20"/>
          <w:szCs w:val="20"/>
          <w:lang w:val="en-US" w:eastAsia="en-US"/>
        </w:rPr>
      </w:pPr>
      <w:r w:rsidRPr="00AC57EA">
        <w:rPr>
          <w:rFonts w:eastAsiaTheme="minorHAnsi" w:cstheme="minorBidi"/>
          <w:sz w:val="20"/>
          <w:szCs w:val="20"/>
          <w:lang w:val="en-US" w:eastAsia="en-US"/>
        </w:rPr>
        <w:t>The State</w:t>
      </w:r>
      <w:r w:rsidR="00D21AD9" w:rsidRPr="00AC57EA">
        <w:rPr>
          <w:rFonts w:eastAsiaTheme="minorHAnsi" w:cstheme="minorBidi"/>
          <w:sz w:val="20"/>
          <w:szCs w:val="20"/>
          <w:lang w:val="en-US" w:eastAsia="en-US"/>
        </w:rPr>
        <w:t xml:space="preserve"> </w:t>
      </w:r>
      <w:r w:rsidR="002A5974" w:rsidRPr="00AC57EA">
        <w:rPr>
          <w:rFonts w:eastAsiaTheme="minorHAnsi" w:cstheme="minorBidi"/>
          <w:sz w:val="20"/>
          <w:szCs w:val="20"/>
          <w:lang w:val="en-US" w:eastAsia="en-US"/>
        </w:rPr>
        <w:t xml:space="preserve">is not responsible for the alleged violation of the principle of non-discrimination for reasons of religion, protected in </w:t>
      </w:r>
      <w:r w:rsidR="00171E27" w:rsidRPr="00AC57EA">
        <w:rPr>
          <w:rFonts w:eastAsiaTheme="minorHAnsi" w:cstheme="minorBidi"/>
          <w:sz w:val="20"/>
          <w:szCs w:val="20"/>
          <w:lang w:val="en-US" w:eastAsia="en-US"/>
        </w:rPr>
        <w:t>Article 1(1)</w:t>
      </w:r>
      <w:r w:rsidR="00B7258C" w:rsidRPr="00AC57EA">
        <w:rPr>
          <w:rFonts w:eastAsiaTheme="minorHAnsi" w:cstheme="minorBidi"/>
          <w:sz w:val="20"/>
          <w:szCs w:val="20"/>
          <w:lang w:val="en-US" w:eastAsia="en-US"/>
        </w:rPr>
        <w:t xml:space="preserve"> of the American Convention on Human Rights</w:t>
      </w:r>
      <w:r w:rsidR="00D21AD9" w:rsidRPr="00AC57EA">
        <w:rPr>
          <w:rFonts w:eastAsiaTheme="minorHAnsi" w:cstheme="minorBidi"/>
          <w:sz w:val="20"/>
          <w:szCs w:val="20"/>
          <w:lang w:val="en-US" w:eastAsia="en-US"/>
        </w:rPr>
        <w:t xml:space="preserve">, </w:t>
      </w:r>
      <w:r w:rsidR="002A5974" w:rsidRPr="00AC57EA">
        <w:rPr>
          <w:rFonts w:eastAsiaTheme="minorHAnsi" w:cstheme="minorBidi"/>
          <w:sz w:val="20"/>
          <w:szCs w:val="20"/>
          <w:lang w:val="en-US" w:eastAsia="en-US"/>
        </w:rPr>
        <w:t xml:space="preserve">or for the alleged violation of the right to freedom of religion recognized in </w:t>
      </w:r>
      <w:r w:rsidR="00B7258C" w:rsidRPr="00AC57EA">
        <w:rPr>
          <w:rFonts w:eastAsiaTheme="minorHAnsi" w:cstheme="minorBidi"/>
          <w:sz w:val="20"/>
          <w:szCs w:val="20"/>
          <w:lang w:val="en-US" w:eastAsia="en-US"/>
        </w:rPr>
        <w:t>Article</w:t>
      </w:r>
      <w:r w:rsidR="00D21AD9" w:rsidRPr="00AC57EA">
        <w:rPr>
          <w:rFonts w:eastAsiaTheme="minorHAnsi" w:cstheme="minorBidi"/>
          <w:sz w:val="20"/>
          <w:szCs w:val="20"/>
          <w:lang w:val="en-US" w:eastAsia="en-US"/>
        </w:rPr>
        <w:t xml:space="preserve"> 1</w:t>
      </w:r>
      <w:r w:rsidR="00171E27" w:rsidRPr="00AC57EA">
        <w:rPr>
          <w:rFonts w:eastAsiaTheme="minorHAnsi" w:cstheme="minorBidi"/>
          <w:sz w:val="20"/>
          <w:szCs w:val="20"/>
          <w:lang w:val="en-US" w:eastAsia="en-US"/>
        </w:rPr>
        <w:t>2(1)</w:t>
      </w:r>
      <w:r w:rsidR="00B7258C" w:rsidRPr="00AC57EA">
        <w:rPr>
          <w:rFonts w:eastAsiaTheme="minorHAnsi" w:cstheme="minorBidi"/>
          <w:sz w:val="20"/>
          <w:szCs w:val="20"/>
          <w:lang w:val="en-US" w:eastAsia="en-US"/>
        </w:rPr>
        <w:t xml:space="preserve"> of the American Convention on Human Rights</w:t>
      </w:r>
      <w:r w:rsidR="00BB7E7B" w:rsidRPr="00AC57EA">
        <w:rPr>
          <w:sz w:val="20"/>
          <w:szCs w:val="20"/>
          <w:lang w:val="en-US"/>
        </w:rPr>
        <w:t xml:space="preserve">, </w:t>
      </w:r>
      <w:r w:rsidR="002A5974" w:rsidRPr="00AC57EA">
        <w:rPr>
          <w:sz w:val="20"/>
          <w:szCs w:val="20"/>
          <w:lang w:val="en-US"/>
        </w:rPr>
        <w:t>pursuant to</w:t>
      </w:r>
      <w:r w:rsidR="00BB7E7B" w:rsidRPr="00AC57EA">
        <w:rPr>
          <w:sz w:val="20"/>
          <w:szCs w:val="20"/>
          <w:lang w:val="en-US"/>
        </w:rPr>
        <w:t xml:space="preserve"> </w:t>
      </w:r>
      <w:r w:rsidR="0048718C" w:rsidRPr="00AC57EA">
        <w:rPr>
          <w:sz w:val="20"/>
          <w:szCs w:val="20"/>
          <w:lang w:val="en-US"/>
        </w:rPr>
        <w:t>323</w:t>
      </w:r>
      <w:r w:rsidR="00BB7E7B" w:rsidRPr="00AC57EA">
        <w:rPr>
          <w:sz w:val="20"/>
          <w:szCs w:val="20"/>
          <w:lang w:val="en-US"/>
        </w:rPr>
        <w:t xml:space="preserve"> </w:t>
      </w:r>
      <w:r w:rsidR="00171E27" w:rsidRPr="00AC57EA">
        <w:rPr>
          <w:sz w:val="20"/>
          <w:szCs w:val="20"/>
          <w:lang w:val="en-US"/>
        </w:rPr>
        <w:t>of this judgment</w:t>
      </w:r>
      <w:r w:rsidR="00BB7E7B" w:rsidRPr="00AC57EA">
        <w:rPr>
          <w:sz w:val="20"/>
          <w:szCs w:val="20"/>
          <w:lang w:val="en-US"/>
        </w:rPr>
        <w:t>.</w:t>
      </w:r>
    </w:p>
    <w:p w14:paraId="0253BCA3" w14:textId="77777777" w:rsidR="00D21AD9" w:rsidRPr="00AC57EA" w:rsidRDefault="00D21AD9" w:rsidP="009D0B2B">
      <w:pPr>
        <w:pStyle w:val="Prrafodelista2"/>
        <w:ind w:left="0" w:right="-90"/>
        <w:contextualSpacing/>
        <w:jc w:val="both"/>
        <w:rPr>
          <w:lang w:val="en-US"/>
        </w:rPr>
      </w:pPr>
    </w:p>
    <w:p w14:paraId="7751F494" w14:textId="522CA656" w:rsidR="009D0B2B" w:rsidRPr="00AC57EA" w:rsidRDefault="002A5974" w:rsidP="009D0B2B">
      <w:pPr>
        <w:widowControl/>
        <w:numPr>
          <w:ilvl w:val="0"/>
          <w:numId w:val="21"/>
        </w:numPr>
        <w:tabs>
          <w:tab w:val="left" w:pos="720"/>
        </w:tabs>
        <w:adjustRightInd/>
        <w:spacing w:line="240" w:lineRule="auto"/>
        <w:ind w:right="-90"/>
        <w:contextualSpacing/>
        <w:textAlignment w:val="auto"/>
        <w:rPr>
          <w:sz w:val="20"/>
          <w:szCs w:val="20"/>
          <w:lang w:val="en-US"/>
        </w:rPr>
      </w:pPr>
      <w:r w:rsidRPr="00AC57EA">
        <w:rPr>
          <w:sz w:val="20"/>
          <w:szCs w:val="20"/>
          <w:lang w:val="en-US"/>
        </w:rPr>
        <w:t xml:space="preserve">It is not incumbent on the Court to issue a ruling on the alleged violations </w:t>
      </w:r>
      <w:r w:rsidR="00171E27" w:rsidRPr="00AC57EA">
        <w:rPr>
          <w:sz w:val="20"/>
          <w:szCs w:val="20"/>
          <w:lang w:val="en-US"/>
        </w:rPr>
        <w:t>of Article</w:t>
      </w:r>
      <w:r w:rsidR="009D0B2B" w:rsidRPr="00AC57EA">
        <w:rPr>
          <w:sz w:val="20"/>
          <w:szCs w:val="20"/>
          <w:lang w:val="en-US"/>
        </w:rPr>
        <w:t xml:space="preserve"> 25</w:t>
      </w:r>
      <w:r w:rsidR="00B7258C" w:rsidRPr="00AC57EA">
        <w:rPr>
          <w:sz w:val="20"/>
          <w:szCs w:val="20"/>
          <w:lang w:val="en-US"/>
        </w:rPr>
        <w:t xml:space="preserve"> of the American Convention on Human Rights</w:t>
      </w:r>
      <w:r w:rsidR="009D0B2B" w:rsidRPr="00AC57EA">
        <w:rPr>
          <w:sz w:val="20"/>
          <w:szCs w:val="20"/>
          <w:lang w:val="en-US"/>
        </w:rPr>
        <w:t xml:space="preserve">, </w:t>
      </w:r>
      <w:r w:rsidRPr="00AC57EA">
        <w:rPr>
          <w:sz w:val="20"/>
          <w:szCs w:val="20"/>
          <w:lang w:val="en-US"/>
        </w:rPr>
        <w:t xml:space="preserve">or on the right to know the truth, pursuant to </w:t>
      </w:r>
      <w:r w:rsidR="005A2722" w:rsidRPr="00AC57EA">
        <w:rPr>
          <w:sz w:val="20"/>
          <w:szCs w:val="20"/>
          <w:lang w:val="en-US"/>
        </w:rPr>
        <w:t>paragraph</w:t>
      </w:r>
      <w:r w:rsidR="00D61200" w:rsidRPr="00AC57EA">
        <w:rPr>
          <w:sz w:val="20"/>
          <w:szCs w:val="20"/>
          <w:lang w:val="en-US"/>
        </w:rPr>
        <w:t xml:space="preserve"> </w:t>
      </w:r>
      <w:r w:rsidR="00150638" w:rsidRPr="00AC57EA">
        <w:rPr>
          <w:sz w:val="20"/>
          <w:szCs w:val="20"/>
          <w:lang w:val="en-US"/>
        </w:rPr>
        <w:t>303</w:t>
      </w:r>
      <w:r w:rsidR="009D0B2B" w:rsidRPr="00AC57EA">
        <w:rPr>
          <w:sz w:val="20"/>
          <w:szCs w:val="20"/>
          <w:lang w:val="en-US"/>
        </w:rPr>
        <w:t xml:space="preserve"> </w:t>
      </w:r>
      <w:r w:rsidR="00171E27" w:rsidRPr="00AC57EA">
        <w:rPr>
          <w:sz w:val="20"/>
          <w:szCs w:val="20"/>
          <w:lang w:val="en-US"/>
        </w:rPr>
        <w:t>of this judgment</w:t>
      </w:r>
      <w:r w:rsidR="009D0B2B" w:rsidRPr="00AC57EA">
        <w:rPr>
          <w:sz w:val="20"/>
          <w:szCs w:val="20"/>
          <w:lang w:val="en-US"/>
        </w:rPr>
        <w:t>.</w:t>
      </w:r>
    </w:p>
    <w:p w14:paraId="1E20D20C" w14:textId="77777777" w:rsidR="009D0B2B" w:rsidRPr="00AC57EA" w:rsidRDefault="009D0B2B" w:rsidP="009D0B2B">
      <w:pPr>
        <w:pStyle w:val="Prrafodelista2"/>
        <w:ind w:left="0" w:right="-90"/>
        <w:contextualSpacing/>
        <w:jc w:val="both"/>
        <w:rPr>
          <w:lang w:val="en-US"/>
        </w:rPr>
      </w:pPr>
    </w:p>
    <w:p w14:paraId="6C26C8A2" w14:textId="54E1811E" w:rsidR="009D0B2B" w:rsidRPr="00AC57EA" w:rsidRDefault="002A5974" w:rsidP="009D0B2B">
      <w:pPr>
        <w:pStyle w:val="Prrafodelista2"/>
        <w:tabs>
          <w:tab w:val="left" w:pos="720"/>
        </w:tabs>
        <w:ind w:left="0" w:right="-90"/>
        <w:contextualSpacing/>
        <w:jc w:val="both"/>
        <w:rPr>
          <w:b/>
          <w:bCs/>
          <w:lang w:val="en-US"/>
        </w:rPr>
      </w:pPr>
      <w:r w:rsidRPr="00AC57EA">
        <w:rPr>
          <w:b/>
          <w:bCs/>
          <w:lang w:val="en-US"/>
        </w:rPr>
        <w:t>AND ESTABLISHES</w:t>
      </w:r>
      <w:r w:rsidR="009D0B2B" w:rsidRPr="00AC57EA">
        <w:rPr>
          <w:b/>
          <w:bCs/>
          <w:lang w:val="en-US"/>
        </w:rPr>
        <w:t>:</w:t>
      </w:r>
    </w:p>
    <w:p w14:paraId="26EBEA7C" w14:textId="77777777" w:rsidR="009D0B2B" w:rsidRPr="00AC57EA" w:rsidRDefault="009D0B2B" w:rsidP="009D0B2B">
      <w:pPr>
        <w:pStyle w:val="Prrafodelista2"/>
        <w:tabs>
          <w:tab w:val="left" w:pos="720"/>
        </w:tabs>
        <w:ind w:left="0" w:right="-90"/>
        <w:contextualSpacing/>
        <w:jc w:val="both"/>
        <w:rPr>
          <w:b/>
          <w:bCs/>
          <w:lang w:val="en-US"/>
        </w:rPr>
      </w:pPr>
    </w:p>
    <w:p w14:paraId="438F65A6" w14:textId="133A5B92" w:rsidR="009D0B2B" w:rsidRPr="00AC57EA" w:rsidRDefault="002A5974" w:rsidP="009D0B2B">
      <w:pPr>
        <w:pStyle w:val="Prrafodelista2"/>
        <w:tabs>
          <w:tab w:val="left" w:pos="720"/>
        </w:tabs>
        <w:ind w:left="0" w:right="-90"/>
        <w:contextualSpacing/>
        <w:jc w:val="both"/>
        <w:rPr>
          <w:bCs/>
          <w:lang w:val="en-US"/>
        </w:rPr>
      </w:pPr>
      <w:r w:rsidRPr="00AC57EA">
        <w:rPr>
          <w:lang w:val="en-US"/>
        </w:rPr>
        <w:t>Unanimously, that</w:t>
      </w:r>
      <w:r w:rsidR="009D0B2B" w:rsidRPr="00AC57EA">
        <w:rPr>
          <w:bCs/>
          <w:lang w:val="en-US"/>
        </w:rPr>
        <w:t>:</w:t>
      </w:r>
    </w:p>
    <w:p w14:paraId="6F3B5988" w14:textId="77777777" w:rsidR="009D0B2B" w:rsidRPr="00AC57EA" w:rsidRDefault="009D0B2B" w:rsidP="009D0B2B">
      <w:pPr>
        <w:pStyle w:val="Prrafodelista2"/>
        <w:tabs>
          <w:tab w:val="left" w:pos="720"/>
        </w:tabs>
        <w:ind w:left="0" w:right="-90"/>
        <w:contextualSpacing/>
        <w:jc w:val="both"/>
        <w:rPr>
          <w:bCs/>
          <w:lang w:val="en-US"/>
        </w:rPr>
      </w:pPr>
    </w:p>
    <w:p w14:paraId="52E6BA81" w14:textId="7137D083" w:rsidR="009D0B2B" w:rsidRPr="00AC57EA" w:rsidRDefault="002A5974"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sz w:val="20"/>
          <w:szCs w:val="20"/>
          <w:lang w:val="en-US"/>
        </w:rPr>
        <w:t xml:space="preserve">This judgment constitutes, </w:t>
      </w:r>
      <w:r w:rsidRPr="00AC57EA">
        <w:rPr>
          <w:i/>
          <w:iCs/>
          <w:sz w:val="20"/>
          <w:szCs w:val="20"/>
          <w:lang w:val="en-US"/>
        </w:rPr>
        <w:t>per se,</w:t>
      </w:r>
      <w:r w:rsidRPr="00AC57EA">
        <w:rPr>
          <w:sz w:val="20"/>
          <w:szCs w:val="20"/>
          <w:lang w:val="en-US"/>
        </w:rPr>
        <w:t xml:space="preserve"> a form of reparation.</w:t>
      </w:r>
    </w:p>
    <w:p w14:paraId="788DC9B1" w14:textId="77777777" w:rsidR="009D0B2B" w:rsidRPr="00AC57EA" w:rsidRDefault="009D0B2B" w:rsidP="009D0B2B">
      <w:pPr>
        <w:spacing w:line="240" w:lineRule="auto"/>
        <w:rPr>
          <w:sz w:val="20"/>
          <w:szCs w:val="20"/>
          <w:lang w:val="en-US"/>
        </w:rPr>
      </w:pPr>
    </w:p>
    <w:p w14:paraId="2466AD96" w14:textId="30A7D728" w:rsidR="008F1161"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rFonts w:eastAsia="MS Mincho" w:cs="Verdana"/>
          <w:sz w:val="20"/>
          <w:szCs w:val="20"/>
          <w:lang w:val="en-US" w:bidi="en-US"/>
        </w:rPr>
        <w:t>The State shall</w:t>
      </w:r>
      <w:r w:rsidR="008F1161" w:rsidRPr="00AC57EA">
        <w:rPr>
          <w:rFonts w:eastAsia="MS Mincho" w:cs="Verdana"/>
          <w:sz w:val="20"/>
          <w:szCs w:val="20"/>
          <w:lang w:val="en-US" w:bidi="en-US"/>
        </w:rPr>
        <w:t xml:space="preserve">, </w:t>
      </w:r>
      <w:r w:rsidR="002A5974" w:rsidRPr="00AC57EA">
        <w:rPr>
          <w:rFonts w:eastAsia="MS Mincho" w:cs="Verdana"/>
          <w:sz w:val="20"/>
          <w:szCs w:val="20"/>
          <w:lang w:val="en-US" w:bidi="en-US"/>
        </w:rPr>
        <w:t xml:space="preserve">within a reasonable time, determine, through the competent public entities, the eventual responsibilities of the officials who contributed with their actions to the perpetration of acts of revictimization and institutional violence </w:t>
      </w:r>
      <w:r w:rsidR="002F084B" w:rsidRPr="00AC57EA">
        <w:rPr>
          <w:rFonts w:eastAsia="MS Mincho" w:cs="Verdana"/>
          <w:sz w:val="20"/>
          <w:szCs w:val="20"/>
          <w:lang w:val="en-US" w:bidi="en-US"/>
        </w:rPr>
        <w:t>to the detriment of</w:t>
      </w:r>
      <w:r w:rsidR="008F1161" w:rsidRPr="00AC57EA">
        <w:rPr>
          <w:rFonts w:eastAsia="MS Mincho" w:cs="Verdana"/>
          <w:sz w:val="20"/>
          <w:szCs w:val="20"/>
          <w:lang w:val="en-US" w:bidi="en-US"/>
        </w:rPr>
        <w:t xml:space="preserve"> V.R.P.,</w:t>
      </w:r>
      <w:r w:rsidR="00171E27" w:rsidRPr="00AC57EA">
        <w:rPr>
          <w:rFonts w:eastAsia="MS Mincho" w:cs="Verdana"/>
          <w:sz w:val="20"/>
          <w:szCs w:val="20"/>
          <w:lang w:val="en-US" w:bidi="en-US"/>
        </w:rPr>
        <w:t xml:space="preserve"> and</w:t>
      </w:r>
      <w:r w:rsidR="002A5974" w:rsidRPr="00AC57EA">
        <w:rPr>
          <w:rFonts w:eastAsia="MS Mincho" w:cs="Verdana"/>
          <w:sz w:val="20"/>
          <w:szCs w:val="20"/>
          <w:lang w:val="en-US" w:bidi="en-US"/>
        </w:rPr>
        <w:t xml:space="preserve">, as appropriate, apply the consequences established by law, </w:t>
      </w:r>
      <w:r w:rsidR="007E72AE" w:rsidRPr="00AC57EA">
        <w:rPr>
          <w:bCs/>
          <w:sz w:val="20"/>
          <w:szCs w:val="20"/>
          <w:lang w:val="en-US"/>
        </w:rPr>
        <w:t>pursuant to</w:t>
      </w:r>
      <w:r w:rsidR="008F1161" w:rsidRPr="00AC57EA">
        <w:rPr>
          <w:bCs/>
          <w:sz w:val="20"/>
          <w:szCs w:val="20"/>
          <w:lang w:val="en-US"/>
        </w:rPr>
        <w:t xml:space="preserve"> </w:t>
      </w:r>
      <w:r w:rsidR="005A2722" w:rsidRPr="00AC57EA">
        <w:rPr>
          <w:bCs/>
          <w:sz w:val="20"/>
          <w:szCs w:val="20"/>
          <w:lang w:val="en-US"/>
        </w:rPr>
        <w:t>paragraph</w:t>
      </w:r>
      <w:r w:rsidR="008F1161" w:rsidRPr="00AC57EA">
        <w:rPr>
          <w:bCs/>
          <w:sz w:val="20"/>
          <w:szCs w:val="20"/>
          <w:lang w:val="en-US"/>
        </w:rPr>
        <w:t xml:space="preserve"> </w:t>
      </w:r>
      <w:r w:rsidR="0070121D" w:rsidRPr="00AC57EA">
        <w:rPr>
          <w:bCs/>
          <w:sz w:val="20"/>
          <w:szCs w:val="20"/>
          <w:lang w:val="en-US"/>
        </w:rPr>
        <w:t>345</w:t>
      </w:r>
      <w:r w:rsidR="008F1161" w:rsidRPr="00AC57EA">
        <w:rPr>
          <w:bCs/>
          <w:sz w:val="20"/>
          <w:szCs w:val="20"/>
          <w:lang w:val="en-US"/>
        </w:rPr>
        <w:t xml:space="preserve"> </w:t>
      </w:r>
      <w:r w:rsidR="00EB338E" w:rsidRPr="00AC57EA">
        <w:rPr>
          <w:bCs/>
          <w:sz w:val="20"/>
          <w:szCs w:val="20"/>
          <w:lang w:val="en-US"/>
        </w:rPr>
        <w:t>of this judgment</w:t>
      </w:r>
      <w:r w:rsidR="008F1161" w:rsidRPr="00AC57EA">
        <w:rPr>
          <w:bCs/>
          <w:sz w:val="20"/>
          <w:szCs w:val="20"/>
          <w:lang w:val="en-US"/>
        </w:rPr>
        <w:t>.</w:t>
      </w:r>
    </w:p>
    <w:p w14:paraId="2F2943C6" w14:textId="77777777" w:rsidR="008F1161" w:rsidRPr="00AC57EA" w:rsidRDefault="008F1161" w:rsidP="008F1161">
      <w:pPr>
        <w:widowControl/>
        <w:tabs>
          <w:tab w:val="left" w:pos="720"/>
        </w:tabs>
        <w:adjustRightInd/>
        <w:spacing w:line="240" w:lineRule="auto"/>
        <w:ind w:right="-90"/>
        <w:contextualSpacing/>
        <w:textAlignment w:val="auto"/>
        <w:rPr>
          <w:bCs/>
          <w:sz w:val="20"/>
          <w:szCs w:val="20"/>
          <w:lang w:val="en-US"/>
        </w:rPr>
      </w:pPr>
    </w:p>
    <w:p w14:paraId="10A72746" w14:textId="5DC3CF9C" w:rsidR="008F1161"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bCs/>
          <w:sz w:val="20"/>
          <w:szCs w:val="20"/>
          <w:lang w:val="en-US"/>
        </w:rPr>
        <w:t>The State shall</w:t>
      </w:r>
      <w:r w:rsidR="008F1161" w:rsidRPr="00AC57EA">
        <w:rPr>
          <w:bCs/>
          <w:sz w:val="20"/>
          <w:szCs w:val="20"/>
          <w:lang w:val="en-US"/>
        </w:rPr>
        <w:t xml:space="preserve"> </w:t>
      </w:r>
      <w:r w:rsidR="002A5974" w:rsidRPr="00AC57EA">
        <w:rPr>
          <w:rFonts w:eastAsia="Times"/>
          <w:sz w:val="20"/>
          <w:szCs w:val="20"/>
          <w:lang w:val="en-US"/>
        </w:rPr>
        <w:t>pay</w:t>
      </w:r>
      <w:r w:rsidR="00A85E34" w:rsidRPr="00AC57EA">
        <w:rPr>
          <w:rFonts w:eastAsia="Times"/>
          <w:sz w:val="20"/>
          <w:szCs w:val="20"/>
          <w:lang w:val="en-US"/>
        </w:rPr>
        <w:t xml:space="preserve"> V.R.P., </w:t>
      </w:r>
      <w:r w:rsidR="00A85E34" w:rsidRPr="00AC57EA">
        <w:rPr>
          <w:sz w:val="20"/>
          <w:szCs w:val="20"/>
          <w:lang w:val="en-US"/>
        </w:rPr>
        <w:t>V.P.C.</w:t>
      </w:r>
      <w:r w:rsidR="00171E27" w:rsidRPr="00AC57EA">
        <w:rPr>
          <w:sz w:val="20"/>
          <w:szCs w:val="20"/>
          <w:lang w:val="en-US"/>
        </w:rPr>
        <w:t xml:space="preserve"> and </w:t>
      </w:r>
      <w:r w:rsidR="00A85E34" w:rsidRPr="00AC57EA">
        <w:rPr>
          <w:sz w:val="20"/>
          <w:szCs w:val="20"/>
          <w:lang w:val="en-US"/>
        </w:rPr>
        <w:t xml:space="preserve">N.R.P. </w:t>
      </w:r>
      <w:r w:rsidR="002A5974" w:rsidRPr="00AC57EA">
        <w:rPr>
          <w:sz w:val="20"/>
          <w:szCs w:val="20"/>
          <w:lang w:val="en-US"/>
        </w:rPr>
        <w:t>the sums established for the expenses of medical psychological and/</w:t>
      </w:r>
      <w:r w:rsidR="001721C7" w:rsidRPr="00AC57EA">
        <w:rPr>
          <w:sz w:val="20"/>
          <w:szCs w:val="20"/>
          <w:lang w:val="en-US"/>
        </w:rPr>
        <w:t>o</w:t>
      </w:r>
      <w:r w:rsidR="002A5974" w:rsidRPr="00AC57EA">
        <w:rPr>
          <w:sz w:val="20"/>
          <w:szCs w:val="20"/>
          <w:lang w:val="en-US"/>
        </w:rPr>
        <w:t xml:space="preserve">r psychiatric treatment, as applicable, </w:t>
      </w:r>
      <w:r w:rsidR="007E72AE" w:rsidRPr="00AC57EA">
        <w:rPr>
          <w:bCs/>
          <w:sz w:val="20"/>
          <w:szCs w:val="20"/>
          <w:lang w:val="en-US"/>
        </w:rPr>
        <w:t>pursuant to</w:t>
      </w:r>
      <w:r w:rsidR="008F1161" w:rsidRPr="00AC57EA">
        <w:rPr>
          <w:bCs/>
          <w:sz w:val="20"/>
          <w:szCs w:val="20"/>
          <w:lang w:val="en-US"/>
        </w:rPr>
        <w:t xml:space="preserve"> </w:t>
      </w:r>
      <w:r w:rsidR="005A2722" w:rsidRPr="00AC57EA">
        <w:rPr>
          <w:bCs/>
          <w:sz w:val="20"/>
          <w:szCs w:val="20"/>
          <w:lang w:val="en-US"/>
        </w:rPr>
        <w:t>paragraph</w:t>
      </w:r>
      <w:r w:rsidR="008F1161" w:rsidRPr="00AC57EA">
        <w:rPr>
          <w:bCs/>
          <w:sz w:val="20"/>
          <w:szCs w:val="20"/>
          <w:lang w:val="en-US"/>
        </w:rPr>
        <w:t xml:space="preserve"> </w:t>
      </w:r>
      <w:r w:rsidR="0070121D" w:rsidRPr="00AC57EA">
        <w:rPr>
          <w:bCs/>
          <w:sz w:val="20"/>
          <w:szCs w:val="20"/>
          <w:lang w:val="en-US"/>
        </w:rPr>
        <w:t>351</w:t>
      </w:r>
      <w:r w:rsidR="008F1161" w:rsidRPr="00AC57EA">
        <w:rPr>
          <w:bCs/>
          <w:sz w:val="20"/>
          <w:szCs w:val="20"/>
          <w:lang w:val="en-US"/>
        </w:rPr>
        <w:t xml:space="preserve"> </w:t>
      </w:r>
      <w:r w:rsidR="00EB338E" w:rsidRPr="00AC57EA">
        <w:rPr>
          <w:bCs/>
          <w:sz w:val="20"/>
          <w:szCs w:val="20"/>
          <w:lang w:val="en-US"/>
        </w:rPr>
        <w:t>of this judgment</w:t>
      </w:r>
      <w:r w:rsidR="008F1161" w:rsidRPr="00AC57EA">
        <w:rPr>
          <w:bCs/>
          <w:sz w:val="20"/>
          <w:szCs w:val="20"/>
          <w:lang w:val="en-US"/>
        </w:rPr>
        <w:t>.</w:t>
      </w:r>
    </w:p>
    <w:p w14:paraId="76928BC8" w14:textId="77777777" w:rsidR="008F1161" w:rsidRPr="00AC57EA" w:rsidRDefault="008F1161" w:rsidP="008F1161">
      <w:pPr>
        <w:widowControl/>
        <w:tabs>
          <w:tab w:val="left" w:pos="720"/>
        </w:tabs>
        <w:adjustRightInd/>
        <w:spacing w:line="240" w:lineRule="auto"/>
        <w:ind w:right="-90"/>
        <w:contextualSpacing/>
        <w:textAlignment w:val="auto"/>
        <w:rPr>
          <w:bCs/>
          <w:sz w:val="20"/>
          <w:szCs w:val="20"/>
          <w:lang w:val="en-US"/>
        </w:rPr>
      </w:pPr>
    </w:p>
    <w:p w14:paraId="727F7B8A" w14:textId="337A2ABF" w:rsidR="009D0B2B"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bCs/>
          <w:sz w:val="20"/>
          <w:szCs w:val="20"/>
          <w:lang w:val="en-US"/>
        </w:rPr>
        <w:t>The State shall</w:t>
      </w:r>
      <w:r w:rsidR="009D0B2B" w:rsidRPr="00AC57EA">
        <w:rPr>
          <w:bCs/>
          <w:sz w:val="20"/>
          <w:szCs w:val="20"/>
          <w:lang w:val="en-US"/>
        </w:rPr>
        <w:t xml:space="preserve"> </w:t>
      </w:r>
      <w:r w:rsidR="002A5974" w:rsidRPr="00AC57EA">
        <w:rPr>
          <w:bCs/>
          <w:sz w:val="20"/>
          <w:szCs w:val="20"/>
          <w:lang w:val="en-US"/>
        </w:rPr>
        <w:t>provide, free of charge</w:t>
      </w:r>
      <w:r w:rsidR="001721C7" w:rsidRPr="00AC57EA">
        <w:rPr>
          <w:bCs/>
          <w:sz w:val="20"/>
          <w:szCs w:val="20"/>
          <w:lang w:val="en-US"/>
        </w:rPr>
        <w:t xml:space="preserve"> and immediately</w:t>
      </w:r>
      <w:r w:rsidR="002A5974" w:rsidRPr="00AC57EA">
        <w:rPr>
          <w:bCs/>
          <w:sz w:val="20"/>
          <w:szCs w:val="20"/>
          <w:lang w:val="en-US"/>
        </w:rPr>
        <w:t>, through its specialized health care institutions</w:t>
      </w:r>
      <w:r w:rsidR="001721C7" w:rsidRPr="00AC57EA">
        <w:rPr>
          <w:bCs/>
          <w:sz w:val="20"/>
          <w:szCs w:val="20"/>
          <w:lang w:val="en-US"/>
        </w:rPr>
        <w:t>,</w:t>
      </w:r>
      <w:r w:rsidR="002A5974" w:rsidRPr="00AC57EA">
        <w:rPr>
          <w:bCs/>
          <w:sz w:val="20"/>
          <w:szCs w:val="20"/>
          <w:lang w:val="en-US"/>
        </w:rPr>
        <w:t xml:space="preserve"> appropriate and effective psychological and/or psychiatric treatment to</w:t>
      </w:r>
      <w:r w:rsidR="008F1161" w:rsidRPr="00AC57EA">
        <w:rPr>
          <w:sz w:val="20"/>
          <w:szCs w:val="20"/>
          <w:lang w:val="en-US"/>
        </w:rPr>
        <w:t xml:space="preserve"> H.J.R.P.</w:t>
      </w:r>
      <w:r w:rsidR="00171E27" w:rsidRPr="00AC57EA">
        <w:rPr>
          <w:sz w:val="20"/>
          <w:szCs w:val="20"/>
          <w:lang w:val="en-US"/>
        </w:rPr>
        <w:t xml:space="preserve"> and </w:t>
      </w:r>
      <w:r w:rsidR="008F1161" w:rsidRPr="00AC57EA">
        <w:rPr>
          <w:sz w:val="20"/>
          <w:szCs w:val="20"/>
          <w:lang w:val="en-US"/>
        </w:rPr>
        <w:t>V.A.R.P.</w:t>
      </w:r>
      <w:r w:rsidR="009D0B2B" w:rsidRPr="00AC57EA">
        <w:rPr>
          <w:bCs/>
          <w:sz w:val="20"/>
          <w:szCs w:val="20"/>
          <w:lang w:val="en-US"/>
        </w:rPr>
        <w:t xml:space="preserve">, </w:t>
      </w:r>
      <w:r w:rsidR="007E72AE" w:rsidRPr="00AC57EA">
        <w:rPr>
          <w:bCs/>
          <w:sz w:val="20"/>
          <w:szCs w:val="20"/>
          <w:lang w:val="en-US"/>
        </w:rPr>
        <w:t>pursuant to</w:t>
      </w:r>
      <w:r w:rsidR="009D0B2B" w:rsidRPr="00AC57EA">
        <w:rPr>
          <w:bCs/>
          <w:sz w:val="20"/>
          <w:szCs w:val="20"/>
          <w:lang w:val="en-US"/>
        </w:rPr>
        <w:t xml:space="preserve"> </w:t>
      </w:r>
      <w:r w:rsidR="005A2722" w:rsidRPr="00AC57EA">
        <w:rPr>
          <w:bCs/>
          <w:sz w:val="20"/>
          <w:szCs w:val="20"/>
          <w:lang w:val="en-US"/>
        </w:rPr>
        <w:t>paragraph</w:t>
      </w:r>
      <w:r w:rsidR="009D0B2B" w:rsidRPr="00AC57EA">
        <w:rPr>
          <w:bCs/>
          <w:sz w:val="20"/>
          <w:szCs w:val="20"/>
          <w:lang w:val="en-US"/>
        </w:rPr>
        <w:t xml:space="preserve"> </w:t>
      </w:r>
      <w:r w:rsidR="0070121D" w:rsidRPr="00AC57EA">
        <w:rPr>
          <w:bCs/>
          <w:sz w:val="20"/>
          <w:szCs w:val="20"/>
          <w:lang w:val="en-US"/>
        </w:rPr>
        <w:t>352</w:t>
      </w:r>
      <w:r w:rsidR="009D0B2B" w:rsidRPr="00AC57EA">
        <w:rPr>
          <w:bCs/>
          <w:sz w:val="20"/>
          <w:szCs w:val="20"/>
          <w:lang w:val="en-US"/>
        </w:rPr>
        <w:t xml:space="preserve"> </w:t>
      </w:r>
      <w:r w:rsidR="00EB338E" w:rsidRPr="00AC57EA">
        <w:rPr>
          <w:bCs/>
          <w:sz w:val="20"/>
          <w:szCs w:val="20"/>
          <w:lang w:val="en-US"/>
        </w:rPr>
        <w:t>of this judgment</w:t>
      </w:r>
      <w:r w:rsidR="009D0B2B" w:rsidRPr="00AC57EA">
        <w:rPr>
          <w:bCs/>
          <w:sz w:val="20"/>
          <w:szCs w:val="20"/>
          <w:lang w:val="en-US"/>
        </w:rPr>
        <w:t>.</w:t>
      </w:r>
    </w:p>
    <w:p w14:paraId="1FB36115" w14:textId="77777777" w:rsidR="009D0B2B" w:rsidRPr="00AC57EA" w:rsidRDefault="009D0B2B" w:rsidP="009D0B2B">
      <w:pPr>
        <w:pStyle w:val="Prrafodelista2"/>
        <w:ind w:left="0" w:right="-90"/>
        <w:contextualSpacing/>
        <w:rPr>
          <w:bCs/>
          <w:lang w:val="en-US"/>
        </w:rPr>
      </w:pPr>
    </w:p>
    <w:p w14:paraId="3FA03786" w14:textId="0A9E56D6" w:rsidR="009D0B2B"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bCs/>
          <w:sz w:val="20"/>
          <w:szCs w:val="20"/>
          <w:lang w:val="en-US"/>
        </w:rPr>
        <w:t>The State shall</w:t>
      </w:r>
      <w:r w:rsidR="009D0B2B" w:rsidRPr="00AC57EA">
        <w:rPr>
          <w:bCs/>
          <w:sz w:val="20"/>
          <w:szCs w:val="20"/>
          <w:lang w:val="en-US"/>
        </w:rPr>
        <w:t xml:space="preserve"> </w:t>
      </w:r>
      <w:r w:rsidR="002A5974" w:rsidRPr="00AC57EA">
        <w:rPr>
          <w:bCs/>
          <w:sz w:val="20"/>
          <w:szCs w:val="20"/>
          <w:lang w:val="en-US"/>
        </w:rPr>
        <w:t>make the publications indicated in</w:t>
      </w:r>
      <w:r w:rsidR="009D0B2B" w:rsidRPr="00AC57EA">
        <w:rPr>
          <w:bCs/>
          <w:sz w:val="20"/>
          <w:szCs w:val="20"/>
          <w:lang w:val="en-US"/>
        </w:rPr>
        <w:t xml:space="preserve"> </w:t>
      </w:r>
      <w:r w:rsidR="005A2722" w:rsidRPr="00AC57EA">
        <w:rPr>
          <w:bCs/>
          <w:sz w:val="20"/>
          <w:szCs w:val="20"/>
          <w:lang w:val="en-US"/>
        </w:rPr>
        <w:t>paragraph</w:t>
      </w:r>
      <w:r w:rsidR="009D0B2B" w:rsidRPr="00AC57EA">
        <w:rPr>
          <w:bCs/>
          <w:sz w:val="20"/>
          <w:szCs w:val="20"/>
          <w:lang w:val="en-US"/>
        </w:rPr>
        <w:t xml:space="preserve"> </w:t>
      </w:r>
      <w:r w:rsidR="0070121D" w:rsidRPr="00AC57EA">
        <w:rPr>
          <w:bCs/>
          <w:sz w:val="20"/>
          <w:szCs w:val="20"/>
          <w:lang w:val="en-US"/>
        </w:rPr>
        <w:t>355</w:t>
      </w:r>
      <w:r w:rsidR="009D0B2B" w:rsidRPr="00AC57EA">
        <w:rPr>
          <w:bCs/>
          <w:sz w:val="20"/>
          <w:szCs w:val="20"/>
          <w:lang w:val="en-US"/>
        </w:rPr>
        <w:t xml:space="preserve"> </w:t>
      </w:r>
      <w:r w:rsidR="00171E27" w:rsidRPr="00AC57EA">
        <w:rPr>
          <w:bCs/>
          <w:sz w:val="20"/>
          <w:szCs w:val="20"/>
          <w:lang w:val="en-US"/>
        </w:rPr>
        <w:t>of this judgment</w:t>
      </w:r>
      <w:r w:rsidR="005C06ED" w:rsidRPr="00AC57EA">
        <w:rPr>
          <w:bCs/>
          <w:sz w:val="20"/>
          <w:szCs w:val="20"/>
          <w:lang w:val="en-US"/>
        </w:rPr>
        <w:t xml:space="preserve">, </w:t>
      </w:r>
      <w:r w:rsidR="002A5974" w:rsidRPr="00AC57EA">
        <w:rPr>
          <w:bCs/>
          <w:sz w:val="20"/>
          <w:szCs w:val="20"/>
          <w:lang w:val="en-US"/>
        </w:rPr>
        <w:t>if</w:t>
      </w:r>
      <w:r w:rsidR="005C06ED" w:rsidRPr="00AC57EA">
        <w:rPr>
          <w:bCs/>
          <w:sz w:val="20"/>
          <w:szCs w:val="20"/>
          <w:lang w:val="en-US"/>
        </w:rPr>
        <w:t xml:space="preserve"> V.R.P. </w:t>
      </w:r>
      <w:r w:rsidR="002A5974" w:rsidRPr="00AC57EA">
        <w:rPr>
          <w:bCs/>
          <w:sz w:val="20"/>
          <w:szCs w:val="20"/>
          <w:lang w:val="en-US"/>
        </w:rPr>
        <w:t>authorizes this</w:t>
      </w:r>
      <w:r w:rsidR="009D0B2B" w:rsidRPr="00AC57EA">
        <w:rPr>
          <w:bCs/>
          <w:sz w:val="20"/>
          <w:szCs w:val="20"/>
          <w:lang w:val="en-US"/>
        </w:rPr>
        <w:t>.</w:t>
      </w:r>
    </w:p>
    <w:p w14:paraId="007EE1CE" w14:textId="77777777" w:rsidR="009D0B2B" w:rsidRPr="00AC57EA" w:rsidRDefault="009D0B2B" w:rsidP="009D0B2B">
      <w:pPr>
        <w:pStyle w:val="Prrafodelista2"/>
        <w:ind w:left="0" w:right="-90"/>
        <w:contextualSpacing/>
        <w:jc w:val="both"/>
        <w:rPr>
          <w:bCs/>
          <w:lang w:val="en-US"/>
        </w:rPr>
      </w:pPr>
    </w:p>
    <w:p w14:paraId="1EA95250" w14:textId="4C82AD98" w:rsidR="009D0B2B"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bCs/>
          <w:sz w:val="20"/>
          <w:szCs w:val="20"/>
          <w:lang w:val="en-US"/>
        </w:rPr>
        <w:t>The State shall</w:t>
      </w:r>
      <w:r w:rsidR="00A85E34" w:rsidRPr="00AC57EA">
        <w:rPr>
          <w:bCs/>
          <w:sz w:val="20"/>
          <w:szCs w:val="20"/>
          <w:lang w:val="en-US"/>
        </w:rPr>
        <w:t xml:space="preserve"> pa</w:t>
      </w:r>
      <w:r w:rsidR="002A5974" w:rsidRPr="00AC57EA">
        <w:rPr>
          <w:bCs/>
          <w:sz w:val="20"/>
          <w:szCs w:val="20"/>
          <w:lang w:val="en-US"/>
        </w:rPr>
        <w:t xml:space="preserve">y </w:t>
      </w:r>
      <w:r w:rsidR="00A85E34" w:rsidRPr="00AC57EA">
        <w:rPr>
          <w:bCs/>
          <w:sz w:val="20"/>
          <w:szCs w:val="20"/>
          <w:lang w:val="en-US"/>
        </w:rPr>
        <w:t xml:space="preserve">V.R.P. </w:t>
      </w:r>
      <w:r w:rsidR="002A5974" w:rsidRPr="00AC57EA">
        <w:rPr>
          <w:bCs/>
          <w:sz w:val="20"/>
          <w:szCs w:val="20"/>
          <w:lang w:val="en-US"/>
        </w:rPr>
        <w:t xml:space="preserve">the sum established </w:t>
      </w:r>
      <w:r w:rsidR="001721C7" w:rsidRPr="00AC57EA">
        <w:rPr>
          <w:bCs/>
          <w:sz w:val="20"/>
          <w:szCs w:val="20"/>
          <w:lang w:val="en-US"/>
        </w:rPr>
        <w:t>for</w:t>
      </w:r>
      <w:r w:rsidR="002A5974" w:rsidRPr="00AC57EA">
        <w:rPr>
          <w:bCs/>
          <w:sz w:val="20"/>
          <w:szCs w:val="20"/>
          <w:lang w:val="en-US"/>
        </w:rPr>
        <w:t xml:space="preserve"> a scholarship to cover the necessary expenses to conclude her professional training in the place where she lives</w:t>
      </w:r>
      <w:r w:rsidR="009D0B2B" w:rsidRPr="00AC57EA">
        <w:rPr>
          <w:bCs/>
          <w:sz w:val="20"/>
          <w:szCs w:val="20"/>
          <w:lang w:val="en-US"/>
        </w:rPr>
        <w:t xml:space="preserve">, </w:t>
      </w:r>
      <w:r w:rsidR="007E72AE" w:rsidRPr="00AC57EA">
        <w:rPr>
          <w:bCs/>
          <w:sz w:val="20"/>
          <w:szCs w:val="20"/>
          <w:lang w:val="en-US"/>
        </w:rPr>
        <w:t>pursuant to</w:t>
      </w:r>
      <w:r w:rsidR="009D0B2B" w:rsidRPr="00AC57EA">
        <w:rPr>
          <w:bCs/>
          <w:sz w:val="20"/>
          <w:szCs w:val="20"/>
          <w:lang w:val="en-US"/>
        </w:rPr>
        <w:t xml:space="preserve"> </w:t>
      </w:r>
      <w:r w:rsidR="005A2722" w:rsidRPr="00AC57EA">
        <w:rPr>
          <w:bCs/>
          <w:sz w:val="20"/>
          <w:szCs w:val="20"/>
          <w:lang w:val="en-US"/>
        </w:rPr>
        <w:t>paragraph</w:t>
      </w:r>
      <w:r w:rsidR="009D0B2B" w:rsidRPr="00AC57EA">
        <w:rPr>
          <w:bCs/>
          <w:sz w:val="20"/>
          <w:szCs w:val="20"/>
          <w:lang w:val="en-US"/>
        </w:rPr>
        <w:t xml:space="preserve"> </w:t>
      </w:r>
      <w:r w:rsidR="0070121D" w:rsidRPr="00AC57EA">
        <w:rPr>
          <w:bCs/>
          <w:sz w:val="20"/>
          <w:szCs w:val="20"/>
          <w:lang w:val="en-US"/>
        </w:rPr>
        <w:t>362</w:t>
      </w:r>
      <w:r w:rsidR="009D0B2B" w:rsidRPr="00AC57EA">
        <w:rPr>
          <w:bCs/>
          <w:sz w:val="20"/>
          <w:szCs w:val="20"/>
          <w:lang w:val="en-US"/>
        </w:rPr>
        <w:t xml:space="preserve"> </w:t>
      </w:r>
      <w:r w:rsidR="00171E27" w:rsidRPr="00AC57EA">
        <w:rPr>
          <w:bCs/>
          <w:sz w:val="20"/>
          <w:szCs w:val="20"/>
          <w:lang w:val="en-US"/>
        </w:rPr>
        <w:t>of this judgment</w:t>
      </w:r>
      <w:r w:rsidR="009D0B2B" w:rsidRPr="00AC57EA">
        <w:rPr>
          <w:bCs/>
          <w:sz w:val="20"/>
          <w:szCs w:val="20"/>
          <w:lang w:val="en-US"/>
        </w:rPr>
        <w:t>.</w:t>
      </w:r>
    </w:p>
    <w:p w14:paraId="48D85262" w14:textId="77777777" w:rsidR="00A85E34" w:rsidRPr="00AC57EA" w:rsidRDefault="00A85E34" w:rsidP="00A85E34">
      <w:pPr>
        <w:widowControl/>
        <w:tabs>
          <w:tab w:val="left" w:pos="720"/>
        </w:tabs>
        <w:adjustRightInd/>
        <w:spacing w:line="240" w:lineRule="auto"/>
        <w:ind w:right="-90"/>
        <w:contextualSpacing/>
        <w:textAlignment w:val="auto"/>
        <w:rPr>
          <w:bCs/>
          <w:sz w:val="20"/>
          <w:szCs w:val="20"/>
          <w:lang w:val="en-US"/>
        </w:rPr>
      </w:pPr>
    </w:p>
    <w:p w14:paraId="3B6A5ACD" w14:textId="0632DC20" w:rsidR="00A85E34"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rFonts w:cs="Arial"/>
          <w:sz w:val="20"/>
          <w:szCs w:val="20"/>
          <w:lang w:val="en-US"/>
        </w:rPr>
        <w:t>The State shall</w:t>
      </w:r>
      <w:r w:rsidR="00A85E34" w:rsidRPr="00AC57EA">
        <w:rPr>
          <w:rFonts w:cs="Arial"/>
          <w:sz w:val="20"/>
          <w:szCs w:val="20"/>
          <w:lang w:val="en-US"/>
        </w:rPr>
        <w:t xml:space="preserve"> </w:t>
      </w:r>
      <w:r w:rsidR="007E72AE" w:rsidRPr="00AC57EA">
        <w:rPr>
          <w:rFonts w:cs="Arial"/>
          <w:sz w:val="20"/>
          <w:szCs w:val="20"/>
          <w:lang w:val="en-US"/>
        </w:rPr>
        <w:t>award</w:t>
      </w:r>
      <w:r w:rsidR="00A85E34" w:rsidRPr="00AC57EA">
        <w:rPr>
          <w:rFonts w:cs="Arial"/>
          <w:sz w:val="20"/>
          <w:szCs w:val="20"/>
          <w:lang w:val="en-US"/>
        </w:rPr>
        <w:t xml:space="preserve"> V.A.R.P. </w:t>
      </w:r>
      <w:r w:rsidR="002A5974" w:rsidRPr="00AC57EA">
        <w:rPr>
          <w:rFonts w:cs="Arial"/>
          <w:sz w:val="20"/>
          <w:szCs w:val="20"/>
          <w:lang w:val="en-US"/>
        </w:rPr>
        <w:t xml:space="preserve">a scholarship </w:t>
      </w:r>
      <w:r w:rsidR="001721C7" w:rsidRPr="00AC57EA">
        <w:rPr>
          <w:rFonts w:cs="Arial"/>
          <w:sz w:val="20"/>
          <w:szCs w:val="20"/>
          <w:lang w:val="en-US"/>
        </w:rPr>
        <w:t>in</w:t>
      </w:r>
      <w:r w:rsidR="002A5974" w:rsidRPr="00AC57EA">
        <w:rPr>
          <w:rFonts w:cs="Arial"/>
          <w:sz w:val="20"/>
          <w:szCs w:val="20"/>
          <w:lang w:val="en-US"/>
        </w:rPr>
        <w:t xml:space="preserve"> a Nicaraguan public institution to be agreed b</w:t>
      </w:r>
      <w:r w:rsidR="001721C7" w:rsidRPr="00AC57EA">
        <w:rPr>
          <w:rFonts w:cs="Arial"/>
          <w:sz w:val="20"/>
          <w:szCs w:val="20"/>
          <w:lang w:val="en-US"/>
        </w:rPr>
        <w:t>etween</w:t>
      </w:r>
      <w:r w:rsidR="002A5974" w:rsidRPr="00AC57EA">
        <w:rPr>
          <w:rFonts w:cs="Arial"/>
          <w:sz w:val="20"/>
          <w:szCs w:val="20"/>
          <w:lang w:val="en-US"/>
        </w:rPr>
        <w:t xml:space="preserve"> the beneficiary and the State, </w:t>
      </w:r>
      <w:r w:rsidR="001721C7" w:rsidRPr="00AC57EA">
        <w:rPr>
          <w:rFonts w:cs="Arial"/>
          <w:sz w:val="20"/>
          <w:szCs w:val="20"/>
          <w:lang w:val="en-US"/>
        </w:rPr>
        <w:t xml:space="preserve">so that he may </w:t>
      </w:r>
      <w:r w:rsidR="002A5974" w:rsidRPr="00AC57EA">
        <w:rPr>
          <w:rFonts w:cs="Arial"/>
          <w:sz w:val="20"/>
          <w:szCs w:val="20"/>
          <w:lang w:val="en-US"/>
        </w:rPr>
        <w:t xml:space="preserve">undertake university or vocational studies, or job training, </w:t>
      </w:r>
      <w:r w:rsidR="007E72AE" w:rsidRPr="00AC57EA">
        <w:rPr>
          <w:bCs/>
          <w:sz w:val="20"/>
          <w:szCs w:val="20"/>
          <w:lang w:val="en-US"/>
        </w:rPr>
        <w:t>pursuant to</w:t>
      </w:r>
      <w:r w:rsidR="00A85E34" w:rsidRPr="00AC57EA">
        <w:rPr>
          <w:bCs/>
          <w:sz w:val="20"/>
          <w:szCs w:val="20"/>
          <w:lang w:val="en-US"/>
        </w:rPr>
        <w:t xml:space="preserve"> </w:t>
      </w:r>
      <w:r w:rsidR="005A2722" w:rsidRPr="00AC57EA">
        <w:rPr>
          <w:bCs/>
          <w:sz w:val="20"/>
          <w:szCs w:val="20"/>
          <w:lang w:val="en-US"/>
        </w:rPr>
        <w:t>paragraph</w:t>
      </w:r>
      <w:r w:rsidR="00A85E34" w:rsidRPr="00AC57EA">
        <w:rPr>
          <w:bCs/>
          <w:sz w:val="20"/>
          <w:szCs w:val="20"/>
          <w:lang w:val="en-US"/>
        </w:rPr>
        <w:t xml:space="preserve"> </w:t>
      </w:r>
      <w:r w:rsidR="0070121D" w:rsidRPr="00AC57EA">
        <w:rPr>
          <w:bCs/>
          <w:sz w:val="20"/>
          <w:szCs w:val="20"/>
          <w:lang w:val="en-US"/>
        </w:rPr>
        <w:t>363</w:t>
      </w:r>
      <w:r w:rsidR="00A85E34" w:rsidRPr="00AC57EA">
        <w:rPr>
          <w:bCs/>
          <w:sz w:val="20"/>
          <w:szCs w:val="20"/>
          <w:lang w:val="en-US"/>
        </w:rPr>
        <w:t xml:space="preserve"> </w:t>
      </w:r>
      <w:r w:rsidR="00171E27" w:rsidRPr="00AC57EA">
        <w:rPr>
          <w:bCs/>
          <w:sz w:val="20"/>
          <w:szCs w:val="20"/>
          <w:lang w:val="en-US"/>
        </w:rPr>
        <w:t>of this judgment</w:t>
      </w:r>
      <w:r w:rsidR="00A85E34" w:rsidRPr="00AC57EA">
        <w:rPr>
          <w:bCs/>
          <w:sz w:val="20"/>
          <w:szCs w:val="20"/>
          <w:lang w:val="en-US"/>
        </w:rPr>
        <w:t>.</w:t>
      </w:r>
    </w:p>
    <w:p w14:paraId="60C77C90" w14:textId="1F9F0CBF" w:rsidR="009D0B2B" w:rsidRPr="00AC57EA" w:rsidRDefault="009D0B2B" w:rsidP="009D0B2B">
      <w:pPr>
        <w:spacing w:line="240" w:lineRule="auto"/>
        <w:rPr>
          <w:sz w:val="20"/>
          <w:szCs w:val="20"/>
          <w:lang w:val="en-US"/>
        </w:rPr>
      </w:pPr>
    </w:p>
    <w:p w14:paraId="600279D0" w14:textId="47C5F5A2" w:rsidR="009D0B2B" w:rsidRPr="00AC57EA" w:rsidRDefault="0035148B" w:rsidP="007E72AE">
      <w:pPr>
        <w:widowControl/>
        <w:numPr>
          <w:ilvl w:val="0"/>
          <w:numId w:val="21"/>
        </w:numPr>
        <w:tabs>
          <w:tab w:val="left" w:pos="720"/>
        </w:tabs>
        <w:adjustRightInd/>
        <w:spacing w:line="240" w:lineRule="auto"/>
        <w:ind w:right="-90"/>
        <w:contextualSpacing/>
        <w:textAlignment w:val="auto"/>
        <w:rPr>
          <w:rFonts w:eastAsia="MS Mincho" w:cs="Verdana"/>
          <w:sz w:val="20"/>
          <w:szCs w:val="20"/>
          <w:lang w:val="en-US" w:eastAsia="en-US" w:bidi="en-US"/>
        </w:rPr>
      </w:pPr>
      <w:r w:rsidRPr="00AC57EA">
        <w:rPr>
          <w:rFonts w:eastAsia="MS Mincho" w:cs="Verdana"/>
          <w:bCs/>
          <w:sz w:val="20"/>
          <w:szCs w:val="20"/>
          <w:lang w:val="en-US" w:eastAsia="en-US" w:bidi="en-US"/>
        </w:rPr>
        <w:t>The State shall</w:t>
      </w:r>
      <w:r w:rsidR="009D0B2B" w:rsidRPr="00AC57EA">
        <w:rPr>
          <w:rFonts w:eastAsia="MS Mincho" w:cs="Verdana"/>
          <w:bCs/>
          <w:sz w:val="20"/>
          <w:szCs w:val="20"/>
          <w:lang w:val="en-US" w:eastAsia="en-US" w:bidi="en-US"/>
        </w:rPr>
        <w:t xml:space="preserve"> </w:t>
      </w:r>
      <w:r w:rsidR="004F5657" w:rsidRPr="00AC57EA">
        <w:rPr>
          <w:sz w:val="20"/>
          <w:szCs w:val="20"/>
          <w:lang w:val="en-US"/>
        </w:rPr>
        <w:t>adopt</w:t>
      </w:r>
      <w:r w:rsidR="004F5657" w:rsidRPr="00AC57EA">
        <w:rPr>
          <w:bCs/>
          <w:sz w:val="20"/>
          <w:szCs w:val="20"/>
          <w:lang w:val="en-US"/>
        </w:rPr>
        <w:t>, implement, supervis</w:t>
      </w:r>
      <w:r w:rsidR="007E72AE" w:rsidRPr="00AC57EA">
        <w:rPr>
          <w:bCs/>
          <w:sz w:val="20"/>
          <w:szCs w:val="20"/>
          <w:lang w:val="en-US"/>
        </w:rPr>
        <w:t>e and monitor, as appropriate, the following three standardized protocols:</w:t>
      </w:r>
      <w:r w:rsidR="004F5657" w:rsidRPr="00AC57EA">
        <w:rPr>
          <w:bCs/>
          <w:sz w:val="20"/>
          <w:szCs w:val="20"/>
          <w:lang w:val="en-US"/>
        </w:rPr>
        <w:t xml:space="preserve"> </w:t>
      </w:r>
      <w:r w:rsidR="007E72AE" w:rsidRPr="00AC57EA">
        <w:rPr>
          <w:bCs/>
          <w:sz w:val="20"/>
          <w:szCs w:val="20"/>
          <w:lang w:val="en-US"/>
        </w:rPr>
        <w:t>(</w:t>
      </w:r>
      <w:r w:rsidR="004F5657" w:rsidRPr="00AC57EA">
        <w:rPr>
          <w:bCs/>
          <w:sz w:val="20"/>
          <w:szCs w:val="20"/>
          <w:lang w:val="en-US"/>
        </w:rPr>
        <w:t xml:space="preserve">i) </w:t>
      </w:r>
      <w:r w:rsidR="007E72AE" w:rsidRPr="00AC57EA">
        <w:rPr>
          <w:bCs/>
          <w:sz w:val="20"/>
          <w:szCs w:val="20"/>
          <w:lang w:val="en-US"/>
        </w:rPr>
        <w:t>protocol for investigation and actions during the criminal proceedings</w:t>
      </w:r>
      <w:r w:rsidR="004F5657" w:rsidRPr="00AC57EA">
        <w:rPr>
          <w:bCs/>
          <w:sz w:val="20"/>
          <w:szCs w:val="20"/>
          <w:lang w:val="en-US"/>
        </w:rPr>
        <w:t xml:space="preserve"> </w:t>
      </w:r>
      <w:r w:rsidR="007E72AE" w:rsidRPr="00AC57EA">
        <w:rPr>
          <w:bCs/>
          <w:sz w:val="20"/>
          <w:szCs w:val="20"/>
          <w:lang w:val="en-US"/>
        </w:rPr>
        <w:t>in cases of child victims of sexual violence</w:t>
      </w:r>
      <w:r w:rsidR="004F5657" w:rsidRPr="00AC57EA">
        <w:rPr>
          <w:bCs/>
          <w:sz w:val="20"/>
          <w:szCs w:val="20"/>
          <w:lang w:val="en-US"/>
        </w:rPr>
        <w:t xml:space="preserve">; </w:t>
      </w:r>
      <w:r w:rsidR="007E72AE" w:rsidRPr="00AC57EA">
        <w:rPr>
          <w:bCs/>
          <w:sz w:val="20"/>
          <w:szCs w:val="20"/>
          <w:lang w:val="en-US"/>
        </w:rPr>
        <w:t>(</w:t>
      </w:r>
      <w:r w:rsidR="004F5657" w:rsidRPr="00AC57EA">
        <w:rPr>
          <w:bCs/>
          <w:sz w:val="20"/>
          <w:szCs w:val="20"/>
          <w:lang w:val="en-US"/>
        </w:rPr>
        <w:t xml:space="preserve">ii) </w:t>
      </w:r>
      <w:r w:rsidR="007E72AE" w:rsidRPr="00AC57EA">
        <w:rPr>
          <w:bCs/>
          <w:sz w:val="20"/>
          <w:szCs w:val="20"/>
          <w:lang w:val="en-US"/>
        </w:rPr>
        <w:t>protocol on comprehensive care and forensic medical evaluation</w:t>
      </w:r>
      <w:r w:rsidR="004F5657" w:rsidRPr="00AC57EA">
        <w:rPr>
          <w:bCs/>
          <w:sz w:val="20"/>
          <w:szCs w:val="20"/>
          <w:lang w:val="en-US"/>
        </w:rPr>
        <w:t xml:space="preserve"> </w:t>
      </w:r>
      <w:r w:rsidR="007E72AE" w:rsidRPr="00AC57EA">
        <w:rPr>
          <w:bCs/>
          <w:sz w:val="20"/>
          <w:szCs w:val="20"/>
          <w:lang w:val="en-US"/>
        </w:rPr>
        <w:t>in cases of child victims of sexual violence</w:t>
      </w:r>
      <w:r w:rsidR="004F5657" w:rsidRPr="00AC57EA">
        <w:rPr>
          <w:bCs/>
          <w:sz w:val="20"/>
          <w:szCs w:val="20"/>
          <w:lang w:val="en-US"/>
        </w:rPr>
        <w:t>,</w:t>
      </w:r>
      <w:r w:rsidR="00171E27" w:rsidRPr="00AC57EA">
        <w:rPr>
          <w:bCs/>
          <w:sz w:val="20"/>
          <w:szCs w:val="20"/>
          <w:lang w:val="en-US"/>
        </w:rPr>
        <w:t xml:space="preserve"> and </w:t>
      </w:r>
      <w:r w:rsidR="007E72AE" w:rsidRPr="00AC57EA">
        <w:rPr>
          <w:bCs/>
          <w:sz w:val="20"/>
          <w:szCs w:val="20"/>
          <w:lang w:val="en-US"/>
        </w:rPr>
        <w:t>(</w:t>
      </w:r>
      <w:r w:rsidR="004F5657" w:rsidRPr="00AC57EA">
        <w:rPr>
          <w:bCs/>
          <w:sz w:val="20"/>
          <w:szCs w:val="20"/>
          <w:lang w:val="en-US"/>
        </w:rPr>
        <w:t xml:space="preserve">iii) </w:t>
      </w:r>
      <w:r w:rsidR="007E72AE" w:rsidRPr="00AC57EA">
        <w:rPr>
          <w:bCs/>
          <w:sz w:val="20"/>
          <w:szCs w:val="20"/>
          <w:lang w:val="en-US"/>
        </w:rPr>
        <w:t>protocol o</w:t>
      </w:r>
      <w:r w:rsidR="001721C7" w:rsidRPr="00AC57EA">
        <w:rPr>
          <w:bCs/>
          <w:sz w:val="20"/>
          <w:szCs w:val="20"/>
          <w:lang w:val="en-US"/>
        </w:rPr>
        <w:t>n</w:t>
      </w:r>
      <w:r w:rsidR="007E72AE" w:rsidRPr="00AC57EA">
        <w:rPr>
          <w:bCs/>
          <w:sz w:val="20"/>
          <w:szCs w:val="20"/>
          <w:lang w:val="en-US"/>
        </w:rPr>
        <w:t xml:space="preserve"> comprehensive care for child victims of sexual violence, pursuant to</w:t>
      </w:r>
      <w:r w:rsidR="009D0B2B" w:rsidRPr="00AC57EA">
        <w:rPr>
          <w:bCs/>
          <w:sz w:val="20"/>
          <w:szCs w:val="20"/>
          <w:lang w:val="en-US"/>
        </w:rPr>
        <w:t xml:space="preserve"> </w:t>
      </w:r>
      <w:r w:rsidR="005A2722" w:rsidRPr="00AC57EA">
        <w:rPr>
          <w:bCs/>
          <w:sz w:val="20"/>
          <w:szCs w:val="20"/>
          <w:lang w:val="en-US"/>
        </w:rPr>
        <w:t>paragraphs</w:t>
      </w:r>
      <w:r w:rsidR="009D0B2B" w:rsidRPr="00AC57EA">
        <w:rPr>
          <w:bCs/>
          <w:sz w:val="20"/>
          <w:szCs w:val="20"/>
          <w:lang w:val="en-US"/>
        </w:rPr>
        <w:t xml:space="preserve"> </w:t>
      </w:r>
      <w:r w:rsidR="003F66BF" w:rsidRPr="00AC57EA">
        <w:rPr>
          <w:bCs/>
          <w:sz w:val="20"/>
          <w:szCs w:val="20"/>
          <w:lang w:val="en-US"/>
        </w:rPr>
        <w:t>381</w:t>
      </w:r>
      <w:r w:rsidR="004F5657" w:rsidRPr="00AC57EA">
        <w:rPr>
          <w:bCs/>
          <w:sz w:val="20"/>
          <w:szCs w:val="20"/>
          <w:lang w:val="en-US"/>
        </w:rPr>
        <w:t xml:space="preserve"> </w:t>
      </w:r>
      <w:r w:rsidR="007E72AE" w:rsidRPr="00AC57EA">
        <w:rPr>
          <w:bCs/>
          <w:sz w:val="20"/>
          <w:szCs w:val="20"/>
          <w:lang w:val="en-US"/>
        </w:rPr>
        <w:t xml:space="preserve">to </w:t>
      </w:r>
      <w:r w:rsidR="003F66BF" w:rsidRPr="00AC57EA">
        <w:rPr>
          <w:bCs/>
          <w:sz w:val="20"/>
          <w:szCs w:val="20"/>
          <w:lang w:val="en-US"/>
        </w:rPr>
        <w:t>385</w:t>
      </w:r>
      <w:r w:rsidR="009D0B2B" w:rsidRPr="00AC57EA">
        <w:rPr>
          <w:bCs/>
          <w:sz w:val="20"/>
          <w:szCs w:val="20"/>
          <w:lang w:val="en-US"/>
        </w:rPr>
        <w:t xml:space="preserve"> </w:t>
      </w:r>
      <w:r w:rsidR="00EB338E" w:rsidRPr="00AC57EA">
        <w:rPr>
          <w:bCs/>
          <w:sz w:val="20"/>
          <w:szCs w:val="20"/>
          <w:lang w:val="en-US"/>
        </w:rPr>
        <w:t>of this judgment</w:t>
      </w:r>
      <w:r w:rsidR="009D0B2B" w:rsidRPr="00AC57EA">
        <w:rPr>
          <w:bCs/>
          <w:sz w:val="20"/>
          <w:szCs w:val="20"/>
          <w:lang w:val="en-US"/>
        </w:rPr>
        <w:t>.</w:t>
      </w:r>
    </w:p>
    <w:p w14:paraId="5A080C75" w14:textId="65F88132" w:rsidR="009D0B2B" w:rsidRPr="00AC57EA" w:rsidRDefault="007E72AE" w:rsidP="007E72AE">
      <w:pPr>
        <w:pStyle w:val="Prrafodelista2"/>
        <w:tabs>
          <w:tab w:val="left" w:pos="0"/>
          <w:tab w:val="left" w:pos="8300"/>
        </w:tabs>
        <w:ind w:left="0" w:right="-90"/>
        <w:jc w:val="both"/>
        <w:rPr>
          <w:rFonts w:cs="Verdana"/>
          <w:lang w:val="en-US"/>
        </w:rPr>
      </w:pPr>
      <w:r w:rsidRPr="00AC57EA">
        <w:rPr>
          <w:rFonts w:cs="Verdana"/>
          <w:lang w:val="en-US"/>
        </w:rPr>
        <w:tab/>
      </w:r>
    </w:p>
    <w:p w14:paraId="5F64B593" w14:textId="2EB875F3" w:rsidR="003E1DA7" w:rsidRPr="00AC57EA" w:rsidRDefault="0035148B" w:rsidP="009D0B2B">
      <w:pPr>
        <w:widowControl/>
        <w:numPr>
          <w:ilvl w:val="0"/>
          <w:numId w:val="21"/>
        </w:numPr>
        <w:tabs>
          <w:tab w:val="left" w:pos="720"/>
        </w:tabs>
        <w:adjustRightInd/>
        <w:spacing w:line="240" w:lineRule="auto"/>
        <w:ind w:right="-90"/>
        <w:contextualSpacing/>
        <w:textAlignment w:val="auto"/>
        <w:rPr>
          <w:rFonts w:cs="Verdana"/>
          <w:iCs/>
          <w:sz w:val="20"/>
          <w:szCs w:val="20"/>
          <w:lang w:val="en-US"/>
        </w:rPr>
      </w:pPr>
      <w:r w:rsidRPr="00AC57EA">
        <w:rPr>
          <w:bCs/>
          <w:sz w:val="20"/>
          <w:szCs w:val="20"/>
          <w:lang w:val="en-US"/>
        </w:rPr>
        <w:t>The State shall</w:t>
      </w:r>
      <w:r w:rsidR="009D0B2B" w:rsidRPr="00AC57EA">
        <w:rPr>
          <w:rFonts w:cs="Verdana"/>
          <w:iCs/>
          <w:sz w:val="20"/>
          <w:szCs w:val="20"/>
          <w:lang w:val="en-US"/>
        </w:rPr>
        <w:t xml:space="preserve"> </w:t>
      </w:r>
      <w:r w:rsidR="003E1DA7" w:rsidRPr="00AC57EA">
        <w:rPr>
          <w:sz w:val="20"/>
          <w:szCs w:val="20"/>
          <w:lang w:val="en-US"/>
        </w:rPr>
        <w:t>crea</w:t>
      </w:r>
      <w:r w:rsidR="007E72AE" w:rsidRPr="00AC57EA">
        <w:rPr>
          <w:sz w:val="20"/>
          <w:szCs w:val="20"/>
          <w:lang w:val="en-US"/>
        </w:rPr>
        <w:t>te and implement a special mechanism that provides free legal assistance to child</w:t>
      </w:r>
      <w:r w:rsidR="001721C7" w:rsidRPr="00AC57EA">
        <w:rPr>
          <w:sz w:val="20"/>
          <w:szCs w:val="20"/>
          <w:lang w:val="en-US"/>
        </w:rPr>
        <w:t xml:space="preserve"> and adolescent</w:t>
      </w:r>
      <w:r w:rsidR="007E72AE" w:rsidRPr="00AC57EA">
        <w:rPr>
          <w:sz w:val="20"/>
          <w:szCs w:val="20"/>
          <w:lang w:val="en-US"/>
        </w:rPr>
        <w:t xml:space="preserve"> victims of crime</w:t>
      </w:r>
      <w:r w:rsidR="001721C7" w:rsidRPr="00AC57EA">
        <w:rPr>
          <w:sz w:val="20"/>
          <w:szCs w:val="20"/>
          <w:lang w:val="en-US"/>
        </w:rPr>
        <w:t>s</w:t>
      </w:r>
      <w:r w:rsidR="007E72AE" w:rsidRPr="00AC57EA">
        <w:rPr>
          <w:sz w:val="20"/>
          <w:szCs w:val="20"/>
          <w:lang w:val="en-US"/>
        </w:rPr>
        <w:t>, especially</w:t>
      </w:r>
      <w:r w:rsidR="001721C7" w:rsidRPr="00AC57EA">
        <w:rPr>
          <w:sz w:val="20"/>
          <w:szCs w:val="20"/>
          <w:lang w:val="en-US"/>
        </w:rPr>
        <w:t xml:space="preserve"> those involving</w:t>
      </w:r>
      <w:r w:rsidR="007E72AE" w:rsidRPr="00AC57EA">
        <w:rPr>
          <w:sz w:val="20"/>
          <w:szCs w:val="20"/>
          <w:lang w:val="en-US"/>
        </w:rPr>
        <w:t xml:space="preserve"> sexual violence, pursuant to </w:t>
      </w:r>
      <w:r w:rsidR="005A2722" w:rsidRPr="00AC57EA">
        <w:rPr>
          <w:bCs/>
          <w:sz w:val="20"/>
          <w:szCs w:val="20"/>
          <w:lang w:val="en-US"/>
        </w:rPr>
        <w:t>paragraph</w:t>
      </w:r>
      <w:r w:rsidR="003E1DA7" w:rsidRPr="00AC57EA">
        <w:rPr>
          <w:bCs/>
          <w:sz w:val="20"/>
          <w:szCs w:val="20"/>
          <w:lang w:val="en-US"/>
        </w:rPr>
        <w:t xml:space="preserve"> </w:t>
      </w:r>
      <w:r w:rsidR="003F66BF" w:rsidRPr="00AC57EA">
        <w:rPr>
          <w:bCs/>
          <w:sz w:val="20"/>
          <w:szCs w:val="20"/>
          <w:lang w:val="en-US"/>
        </w:rPr>
        <w:t xml:space="preserve">387 </w:t>
      </w:r>
      <w:r w:rsidR="00EB338E" w:rsidRPr="00AC57EA">
        <w:rPr>
          <w:bCs/>
          <w:sz w:val="20"/>
          <w:szCs w:val="20"/>
          <w:lang w:val="en-US"/>
        </w:rPr>
        <w:t>of this judgment</w:t>
      </w:r>
      <w:r w:rsidR="003E1DA7" w:rsidRPr="00AC57EA">
        <w:rPr>
          <w:bCs/>
          <w:sz w:val="20"/>
          <w:szCs w:val="20"/>
          <w:lang w:val="en-US"/>
        </w:rPr>
        <w:t>.</w:t>
      </w:r>
    </w:p>
    <w:p w14:paraId="7B9DF4D7" w14:textId="77777777" w:rsidR="003E1DA7" w:rsidRPr="00AC57EA" w:rsidRDefault="003E1DA7" w:rsidP="003E1DA7">
      <w:pPr>
        <w:widowControl/>
        <w:tabs>
          <w:tab w:val="left" w:pos="720"/>
        </w:tabs>
        <w:adjustRightInd/>
        <w:spacing w:line="240" w:lineRule="auto"/>
        <w:ind w:right="-90"/>
        <w:contextualSpacing/>
        <w:textAlignment w:val="auto"/>
        <w:rPr>
          <w:rFonts w:cs="Verdana"/>
          <w:iCs/>
          <w:sz w:val="20"/>
          <w:szCs w:val="20"/>
          <w:lang w:val="en-US"/>
        </w:rPr>
      </w:pPr>
    </w:p>
    <w:p w14:paraId="01D2D3ED" w14:textId="72FE638A" w:rsidR="009D0B2B" w:rsidRPr="00AC57EA" w:rsidRDefault="0035148B" w:rsidP="009D0B2B">
      <w:pPr>
        <w:widowControl/>
        <w:numPr>
          <w:ilvl w:val="0"/>
          <w:numId w:val="21"/>
        </w:numPr>
        <w:tabs>
          <w:tab w:val="left" w:pos="720"/>
        </w:tabs>
        <w:adjustRightInd/>
        <w:spacing w:line="240" w:lineRule="auto"/>
        <w:ind w:right="-90"/>
        <w:contextualSpacing/>
        <w:textAlignment w:val="auto"/>
        <w:rPr>
          <w:rFonts w:cs="Verdana"/>
          <w:iCs/>
          <w:sz w:val="20"/>
          <w:szCs w:val="20"/>
          <w:lang w:val="en-US"/>
        </w:rPr>
      </w:pPr>
      <w:r w:rsidRPr="00AC57EA">
        <w:rPr>
          <w:rFonts w:cs="Verdana"/>
          <w:iCs/>
          <w:sz w:val="20"/>
          <w:szCs w:val="20"/>
          <w:lang w:val="en-US"/>
        </w:rPr>
        <w:t>The State shall</w:t>
      </w:r>
      <w:r w:rsidR="00424B0A" w:rsidRPr="00AC57EA">
        <w:rPr>
          <w:rFonts w:cs="Verdana"/>
          <w:iCs/>
          <w:sz w:val="20"/>
          <w:szCs w:val="20"/>
          <w:lang w:val="en-US"/>
        </w:rPr>
        <w:t xml:space="preserve"> </w:t>
      </w:r>
      <w:r w:rsidR="00955C70" w:rsidRPr="00AC57EA">
        <w:rPr>
          <w:sz w:val="20"/>
          <w:szCs w:val="20"/>
          <w:lang w:val="en-US"/>
        </w:rPr>
        <w:t>adopt</w:t>
      </w:r>
      <w:r w:rsidR="007E72AE" w:rsidRPr="00AC57EA">
        <w:rPr>
          <w:sz w:val="20"/>
          <w:szCs w:val="20"/>
          <w:lang w:val="en-US"/>
        </w:rPr>
        <w:t xml:space="preserve"> and implement the permanent training programs and courses ordered in </w:t>
      </w:r>
      <w:r w:rsidR="005A2722" w:rsidRPr="00AC57EA">
        <w:rPr>
          <w:bCs/>
          <w:sz w:val="20"/>
          <w:szCs w:val="20"/>
          <w:lang w:val="en-US"/>
        </w:rPr>
        <w:t>paragraphs</w:t>
      </w:r>
      <w:r w:rsidR="009D0B2B" w:rsidRPr="00AC57EA">
        <w:rPr>
          <w:bCs/>
          <w:sz w:val="20"/>
          <w:szCs w:val="20"/>
          <w:lang w:val="en-US"/>
        </w:rPr>
        <w:t xml:space="preserve"> </w:t>
      </w:r>
      <w:r w:rsidR="00051EC4" w:rsidRPr="00AC57EA">
        <w:rPr>
          <w:bCs/>
          <w:sz w:val="20"/>
          <w:szCs w:val="20"/>
          <w:lang w:val="en-US"/>
        </w:rPr>
        <w:t xml:space="preserve">392 </w:t>
      </w:r>
      <w:r w:rsidR="007E72AE" w:rsidRPr="00AC57EA">
        <w:rPr>
          <w:bCs/>
          <w:sz w:val="20"/>
          <w:szCs w:val="20"/>
          <w:lang w:val="en-US"/>
        </w:rPr>
        <w:t>to</w:t>
      </w:r>
      <w:r w:rsidR="00051EC4" w:rsidRPr="00AC57EA">
        <w:rPr>
          <w:bCs/>
          <w:sz w:val="20"/>
          <w:szCs w:val="20"/>
          <w:lang w:val="en-US"/>
        </w:rPr>
        <w:t xml:space="preserve"> 395</w:t>
      </w:r>
      <w:r w:rsidR="009D0B2B" w:rsidRPr="00AC57EA">
        <w:rPr>
          <w:bCs/>
          <w:sz w:val="20"/>
          <w:szCs w:val="20"/>
          <w:lang w:val="en-US"/>
        </w:rPr>
        <w:t xml:space="preserve"> </w:t>
      </w:r>
      <w:r w:rsidR="00EB338E" w:rsidRPr="00AC57EA">
        <w:rPr>
          <w:bCs/>
          <w:sz w:val="20"/>
          <w:szCs w:val="20"/>
          <w:lang w:val="en-US"/>
        </w:rPr>
        <w:t>of this judgment</w:t>
      </w:r>
      <w:r w:rsidR="009D0B2B" w:rsidRPr="00AC57EA">
        <w:rPr>
          <w:bCs/>
          <w:sz w:val="20"/>
          <w:szCs w:val="20"/>
          <w:lang w:val="en-US"/>
        </w:rPr>
        <w:t>.</w:t>
      </w:r>
    </w:p>
    <w:p w14:paraId="1018E266" w14:textId="77777777" w:rsidR="009D0B2B" w:rsidRPr="00AC57EA" w:rsidRDefault="009D0B2B" w:rsidP="009D0B2B">
      <w:pPr>
        <w:spacing w:line="240" w:lineRule="auto"/>
        <w:rPr>
          <w:sz w:val="20"/>
          <w:szCs w:val="20"/>
          <w:lang w:val="en-US"/>
        </w:rPr>
      </w:pPr>
    </w:p>
    <w:p w14:paraId="25B2187C" w14:textId="7FC2DE88" w:rsidR="009D0B2B"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bCs/>
          <w:sz w:val="20"/>
          <w:szCs w:val="20"/>
          <w:lang w:val="en-US"/>
        </w:rPr>
        <w:t>The State shall</w:t>
      </w:r>
      <w:r w:rsidR="009D0B2B" w:rsidRPr="00AC57EA">
        <w:rPr>
          <w:bCs/>
          <w:sz w:val="20"/>
          <w:szCs w:val="20"/>
          <w:lang w:val="en-US"/>
        </w:rPr>
        <w:t xml:space="preserve"> </w:t>
      </w:r>
      <w:r w:rsidR="007E72AE" w:rsidRPr="00AC57EA">
        <w:rPr>
          <w:bCs/>
          <w:sz w:val="20"/>
          <w:szCs w:val="20"/>
          <w:lang w:val="en-US"/>
        </w:rPr>
        <w:t>pay the amounts established in paragraphs 411, 419, 426 and 433 of this judgment as compensation for pecuniary and non-pecuniary damage and to reimburse</w:t>
      </w:r>
      <w:r w:rsidR="009D0B2B" w:rsidRPr="00AC57EA">
        <w:rPr>
          <w:bCs/>
          <w:sz w:val="20"/>
          <w:szCs w:val="20"/>
          <w:lang w:val="en-US"/>
        </w:rPr>
        <w:t xml:space="preserve"> </w:t>
      </w:r>
      <w:r w:rsidR="007E72AE" w:rsidRPr="00AC57EA">
        <w:rPr>
          <w:bCs/>
          <w:sz w:val="20"/>
          <w:szCs w:val="20"/>
          <w:lang w:val="en-US"/>
        </w:rPr>
        <w:t>costs and expenses</w:t>
      </w:r>
      <w:r w:rsidR="009D0B2B" w:rsidRPr="00AC57EA">
        <w:rPr>
          <w:bCs/>
          <w:sz w:val="20"/>
          <w:szCs w:val="20"/>
          <w:lang w:val="en-US"/>
        </w:rPr>
        <w:t xml:space="preserve">, </w:t>
      </w:r>
      <w:r w:rsidR="00EB338E" w:rsidRPr="00AC57EA">
        <w:rPr>
          <w:bCs/>
          <w:sz w:val="20"/>
          <w:szCs w:val="20"/>
          <w:lang w:val="en-US"/>
        </w:rPr>
        <w:t>pursuant to</w:t>
      </w:r>
      <w:r w:rsidR="009D0B2B" w:rsidRPr="00AC57EA">
        <w:rPr>
          <w:bCs/>
          <w:sz w:val="20"/>
          <w:szCs w:val="20"/>
          <w:lang w:val="en-US"/>
        </w:rPr>
        <w:t xml:space="preserve"> </w:t>
      </w:r>
      <w:r w:rsidR="007E72AE" w:rsidRPr="00AC57EA">
        <w:rPr>
          <w:bCs/>
          <w:sz w:val="20"/>
          <w:szCs w:val="20"/>
          <w:lang w:val="en-US"/>
        </w:rPr>
        <w:t xml:space="preserve">the said paragraphs </w:t>
      </w:r>
      <w:r w:rsidR="00171E27" w:rsidRPr="00AC57EA">
        <w:rPr>
          <w:bCs/>
          <w:sz w:val="20"/>
          <w:szCs w:val="20"/>
          <w:lang w:val="en-US"/>
        </w:rPr>
        <w:t xml:space="preserve">and </w:t>
      </w:r>
      <w:r w:rsidR="005A2722" w:rsidRPr="00AC57EA">
        <w:rPr>
          <w:bCs/>
          <w:sz w:val="20"/>
          <w:szCs w:val="20"/>
          <w:lang w:val="en-US"/>
        </w:rPr>
        <w:t>paragraphs</w:t>
      </w:r>
      <w:r w:rsidR="009D0B2B" w:rsidRPr="00AC57EA">
        <w:rPr>
          <w:bCs/>
          <w:sz w:val="20"/>
          <w:szCs w:val="20"/>
          <w:lang w:val="en-US"/>
        </w:rPr>
        <w:t xml:space="preserve"> </w:t>
      </w:r>
      <w:r w:rsidR="00FA67E8" w:rsidRPr="00AC57EA">
        <w:rPr>
          <w:bCs/>
          <w:sz w:val="20"/>
          <w:szCs w:val="20"/>
          <w:lang w:val="en-US"/>
        </w:rPr>
        <w:t>442</w:t>
      </w:r>
      <w:r w:rsidR="009D0B2B" w:rsidRPr="00AC57EA">
        <w:rPr>
          <w:bCs/>
          <w:sz w:val="20"/>
          <w:szCs w:val="20"/>
          <w:lang w:val="en-US"/>
        </w:rPr>
        <w:t xml:space="preserve"> </w:t>
      </w:r>
      <w:r w:rsidR="007E72AE" w:rsidRPr="00AC57EA">
        <w:rPr>
          <w:bCs/>
          <w:sz w:val="20"/>
          <w:szCs w:val="20"/>
          <w:lang w:val="en-US"/>
        </w:rPr>
        <w:t>to</w:t>
      </w:r>
      <w:r w:rsidR="009D0B2B" w:rsidRPr="00AC57EA">
        <w:rPr>
          <w:bCs/>
          <w:sz w:val="20"/>
          <w:szCs w:val="20"/>
          <w:lang w:val="en-US"/>
        </w:rPr>
        <w:t xml:space="preserve"> </w:t>
      </w:r>
      <w:r w:rsidR="00FA67E8" w:rsidRPr="00AC57EA">
        <w:rPr>
          <w:bCs/>
          <w:sz w:val="20"/>
          <w:szCs w:val="20"/>
          <w:lang w:val="en-US"/>
        </w:rPr>
        <w:t>447</w:t>
      </w:r>
      <w:r w:rsidR="009D0B2B" w:rsidRPr="00AC57EA">
        <w:rPr>
          <w:bCs/>
          <w:sz w:val="20"/>
          <w:szCs w:val="20"/>
          <w:lang w:val="en-US"/>
        </w:rPr>
        <w:t>.</w:t>
      </w:r>
    </w:p>
    <w:p w14:paraId="3C6204B8" w14:textId="77777777" w:rsidR="009D0B2B" w:rsidRPr="00AC57EA" w:rsidRDefault="009D0B2B" w:rsidP="009D0B2B">
      <w:pPr>
        <w:pStyle w:val="Prrafodelista2"/>
        <w:ind w:left="0" w:right="-90"/>
        <w:contextualSpacing/>
        <w:jc w:val="both"/>
        <w:rPr>
          <w:bCs/>
          <w:lang w:val="en-US"/>
        </w:rPr>
      </w:pPr>
    </w:p>
    <w:p w14:paraId="175BDF1D" w14:textId="0350D181" w:rsidR="009D0B2B" w:rsidRPr="00AC57EA" w:rsidRDefault="0035148B" w:rsidP="009D0B2B">
      <w:pPr>
        <w:widowControl/>
        <w:numPr>
          <w:ilvl w:val="0"/>
          <w:numId w:val="21"/>
        </w:numPr>
        <w:tabs>
          <w:tab w:val="left" w:pos="720"/>
        </w:tabs>
        <w:adjustRightInd/>
        <w:spacing w:line="240" w:lineRule="auto"/>
        <w:ind w:right="-90"/>
        <w:contextualSpacing/>
        <w:textAlignment w:val="auto"/>
        <w:rPr>
          <w:sz w:val="20"/>
          <w:szCs w:val="20"/>
          <w:lang w:val="en-US"/>
        </w:rPr>
      </w:pPr>
      <w:r w:rsidRPr="00AC57EA">
        <w:rPr>
          <w:sz w:val="20"/>
          <w:szCs w:val="20"/>
          <w:lang w:val="en-US"/>
        </w:rPr>
        <w:t>The State shall</w:t>
      </w:r>
      <w:r w:rsidR="009D0B2B" w:rsidRPr="00AC57EA">
        <w:rPr>
          <w:sz w:val="20"/>
          <w:szCs w:val="20"/>
          <w:lang w:val="en-US"/>
        </w:rPr>
        <w:t xml:space="preserve"> </w:t>
      </w:r>
      <w:r w:rsidR="007E72AE" w:rsidRPr="00AC57EA">
        <w:rPr>
          <w:sz w:val="20"/>
          <w:szCs w:val="20"/>
          <w:lang w:val="en-US"/>
        </w:rPr>
        <w:t>reimburse the</w:t>
      </w:r>
      <w:r w:rsidR="009D0B2B" w:rsidRPr="00AC57EA">
        <w:rPr>
          <w:sz w:val="20"/>
          <w:szCs w:val="20"/>
          <w:lang w:val="en-US"/>
        </w:rPr>
        <w:t xml:space="preserve"> </w:t>
      </w:r>
      <w:r w:rsidR="007E72AE" w:rsidRPr="00AC57EA">
        <w:rPr>
          <w:sz w:val="20"/>
          <w:szCs w:val="20"/>
          <w:lang w:val="en-US"/>
        </w:rPr>
        <w:t>Victims’ Legal Assistance Fund</w:t>
      </w:r>
      <w:r w:rsidR="00B7258C" w:rsidRPr="00AC57EA">
        <w:rPr>
          <w:sz w:val="20"/>
          <w:szCs w:val="20"/>
          <w:lang w:val="en-US"/>
        </w:rPr>
        <w:t xml:space="preserve"> of the Inter-American Court of Human Rights</w:t>
      </w:r>
      <w:r w:rsidR="009D0B2B" w:rsidRPr="00AC57EA">
        <w:rPr>
          <w:sz w:val="20"/>
          <w:szCs w:val="20"/>
          <w:lang w:val="en-US"/>
        </w:rPr>
        <w:t xml:space="preserve"> </w:t>
      </w:r>
      <w:r w:rsidR="007E72AE" w:rsidRPr="00AC57EA">
        <w:rPr>
          <w:sz w:val="20"/>
          <w:szCs w:val="20"/>
          <w:lang w:val="en-US"/>
        </w:rPr>
        <w:t>the amount disbursed during the processing of this case</w:t>
      </w:r>
      <w:r w:rsidR="009D0B2B" w:rsidRPr="00AC57EA">
        <w:rPr>
          <w:sz w:val="20"/>
          <w:szCs w:val="20"/>
          <w:lang w:val="en-US"/>
        </w:rPr>
        <w:t xml:space="preserve">, </w:t>
      </w:r>
      <w:r w:rsidR="00EB338E" w:rsidRPr="00AC57EA">
        <w:rPr>
          <w:sz w:val="20"/>
          <w:szCs w:val="20"/>
          <w:lang w:val="en-US"/>
        </w:rPr>
        <w:t>pursuant to</w:t>
      </w:r>
      <w:r w:rsidR="009D0B2B" w:rsidRPr="00AC57EA">
        <w:rPr>
          <w:sz w:val="20"/>
          <w:szCs w:val="20"/>
          <w:lang w:val="en-US"/>
        </w:rPr>
        <w:t xml:space="preserve"> </w:t>
      </w:r>
      <w:r w:rsidR="005A2722" w:rsidRPr="00AC57EA">
        <w:rPr>
          <w:sz w:val="20"/>
          <w:szCs w:val="20"/>
          <w:lang w:val="en-US"/>
        </w:rPr>
        <w:t>paragraphs</w:t>
      </w:r>
      <w:r w:rsidR="009D0B2B" w:rsidRPr="00AC57EA">
        <w:rPr>
          <w:sz w:val="20"/>
          <w:szCs w:val="20"/>
          <w:lang w:val="en-US"/>
        </w:rPr>
        <w:t xml:space="preserve"> </w:t>
      </w:r>
      <w:r w:rsidR="00FA67E8" w:rsidRPr="00AC57EA">
        <w:rPr>
          <w:sz w:val="20"/>
          <w:szCs w:val="20"/>
          <w:lang w:val="en-US"/>
        </w:rPr>
        <w:t>441</w:t>
      </w:r>
      <w:r w:rsidR="00171E27" w:rsidRPr="00AC57EA">
        <w:rPr>
          <w:sz w:val="20"/>
          <w:szCs w:val="20"/>
          <w:lang w:val="en-US"/>
        </w:rPr>
        <w:t xml:space="preserve"> and </w:t>
      </w:r>
      <w:r w:rsidR="00FA67E8" w:rsidRPr="00AC57EA">
        <w:rPr>
          <w:sz w:val="20"/>
          <w:szCs w:val="20"/>
          <w:lang w:val="en-US"/>
        </w:rPr>
        <w:t>447</w:t>
      </w:r>
      <w:r w:rsidR="009D0B2B" w:rsidRPr="00AC57EA">
        <w:rPr>
          <w:sz w:val="20"/>
          <w:szCs w:val="20"/>
          <w:lang w:val="en-US"/>
        </w:rPr>
        <w:t xml:space="preserve"> </w:t>
      </w:r>
      <w:r w:rsidR="00EB338E" w:rsidRPr="00AC57EA">
        <w:rPr>
          <w:sz w:val="20"/>
          <w:szCs w:val="20"/>
          <w:lang w:val="en-US"/>
        </w:rPr>
        <w:t>of this judgment</w:t>
      </w:r>
      <w:r w:rsidR="009D0B2B" w:rsidRPr="00AC57EA">
        <w:rPr>
          <w:sz w:val="20"/>
          <w:szCs w:val="20"/>
          <w:lang w:val="en-US"/>
        </w:rPr>
        <w:t>.</w:t>
      </w:r>
    </w:p>
    <w:p w14:paraId="3A8B0DF6" w14:textId="77777777" w:rsidR="009D0B2B" w:rsidRPr="00AC57EA" w:rsidRDefault="009D0B2B" w:rsidP="009D0B2B">
      <w:pPr>
        <w:pStyle w:val="Prrafodelista2"/>
        <w:ind w:left="0" w:right="-90"/>
        <w:contextualSpacing/>
        <w:jc w:val="both"/>
        <w:rPr>
          <w:bCs/>
          <w:lang w:val="en-US"/>
        </w:rPr>
      </w:pPr>
    </w:p>
    <w:p w14:paraId="03A37994" w14:textId="5C2A6E0F" w:rsidR="009D0B2B" w:rsidRPr="00AC57EA" w:rsidRDefault="0035148B"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bCs/>
          <w:sz w:val="20"/>
          <w:szCs w:val="20"/>
          <w:lang w:val="en-US"/>
        </w:rPr>
        <w:t>The State shall</w:t>
      </w:r>
      <w:r w:rsidR="009D0B2B" w:rsidRPr="00AC57EA">
        <w:rPr>
          <w:bCs/>
          <w:sz w:val="20"/>
          <w:szCs w:val="20"/>
          <w:lang w:val="en-US"/>
        </w:rPr>
        <w:t xml:space="preserve">, </w:t>
      </w:r>
      <w:r w:rsidR="007E72AE" w:rsidRPr="00AC57EA">
        <w:rPr>
          <w:bCs/>
          <w:sz w:val="20"/>
          <w:szCs w:val="20"/>
          <w:lang w:val="en-US"/>
        </w:rPr>
        <w:t>within one year</w:t>
      </w:r>
      <w:r w:rsidR="009D0B2B" w:rsidRPr="00AC57EA">
        <w:rPr>
          <w:bCs/>
          <w:sz w:val="20"/>
          <w:szCs w:val="20"/>
          <w:lang w:val="en-US"/>
        </w:rPr>
        <w:t xml:space="preserve"> </w:t>
      </w:r>
      <w:r w:rsidR="007E72AE" w:rsidRPr="00AC57EA">
        <w:rPr>
          <w:bCs/>
          <w:sz w:val="20"/>
          <w:szCs w:val="20"/>
          <w:lang w:val="en-US"/>
        </w:rPr>
        <w:t>of notification</w:t>
      </w:r>
      <w:r w:rsidR="009D0B2B" w:rsidRPr="00AC57EA">
        <w:rPr>
          <w:bCs/>
          <w:sz w:val="20"/>
          <w:szCs w:val="20"/>
          <w:lang w:val="en-US"/>
        </w:rPr>
        <w:t xml:space="preserve"> </w:t>
      </w:r>
      <w:r w:rsidR="00EB338E" w:rsidRPr="00AC57EA">
        <w:rPr>
          <w:bCs/>
          <w:sz w:val="20"/>
          <w:szCs w:val="20"/>
          <w:lang w:val="en-US"/>
        </w:rPr>
        <w:t>of this judgment</w:t>
      </w:r>
      <w:r w:rsidR="009D0B2B" w:rsidRPr="00AC57EA">
        <w:rPr>
          <w:bCs/>
          <w:sz w:val="20"/>
          <w:szCs w:val="20"/>
          <w:lang w:val="en-US"/>
        </w:rPr>
        <w:t xml:space="preserve">, </w:t>
      </w:r>
      <w:r w:rsidR="007E72AE" w:rsidRPr="00AC57EA">
        <w:rPr>
          <w:bCs/>
          <w:sz w:val="20"/>
          <w:szCs w:val="20"/>
          <w:lang w:val="en-US"/>
        </w:rPr>
        <w:t xml:space="preserve">provide the Court with a report on the measures adopted to comply with it, without prejudice to the provisions of </w:t>
      </w:r>
      <w:r w:rsidR="005A2722" w:rsidRPr="00AC57EA">
        <w:rPr>
          <w:bCs/>
          <w:sz w:val="20"/>
          <w:szCs w:val="20"/>
          <w:lang w:val="en-US"/>
        </w:rPr>
        <w:t>paragraph</w:t>
      </w:r>
      <w:r w:rsidR="009D0B2B" w:rsidRPr="00AC57EA">
        <w:rPr>
          <w:bCs/>
          <w:sz w:val="20"/>
          <w:szCs w:val="20"/>
          <w:lang w:val="en-US"/>
        </w:rPr>
        <w:t xml:space="preserve"> </w:t>
      </w:r>
      <w:r w:rsidR="00FA67E8" w:rsidRPr="00AC57EA">
        <w:rPr>
          <w:bCs/>
          <w:sz w:val="20"/>
          <w:szCs w:val="20"/>
          <w:lang w:val="en-US"/>
        </w:rPr>
        <w:t>356</w:t>
      </w:r>
      <w:r w:rsidR="009D0B2B" w:rsidRPr="00AC57EA">
        <w:rPr>
          <w:bCs/>
          <w:sz w:val="20"/>
          <w:szCs w:val="20"/>
          <w:lang w:val="en-US"/>
        </w:rPr>
        <w:t xml:space="preserve"> </w:t>
      </w:r>
      <w:r w:rsidR="00171E27" w:rsidRPr="00AC57EA">
        <w:rPr>
          <w:bCs/>
          <w:sz w:val="20"/>
          <w:szCs w:val="20"/>
          <w:lang w:val="en-US"/>
        </w:rPr>
        <w:t>of this judgment</w:t>
      </w:r>
      <w:r w:rsidR="009D0B2B" w:rsidRPr="00AC57EA">
        <w:rPr>
          <w:bCs/>
          <w:sz w:val="20"/>
          <w:szCs w:val="20"/>
          <w:lang w:val="en-US"/>
        </w:rPr>
        <w:t>.</w:t>
      </w:r>
    </w:p>
    <w:p w14:paraId="317BC2C3" w14:textId="77777777" w:rsidR="009D0B2B" w:rsidRPr="00AC57EA" w:rsidRDefault="009D0B2B" w:rsidP="009D0B2B">
      <w:pPr>
        <w:pStyle w:val="Prrafodelista2"/>
        <w:ind w:left="0" w:right="-90"/>
        <w:contextualSpacing/>
        <w:jc w:val="both"/>
        <w:rPr>
          <w:bCs/>
          <w:lang w:val="en-US"/>
        </w:rPr>
      </w:pPr>
    </w:p>
    <w:p w14:paraId="73EB7BD1" w14:textId="5CC5EB8B" w:rsidR="009D0B2B" w:rsidRPr="00AC57EA" w:rsidRDefault="00B7258C" w:rsidP="009D0B2B">
      <w:pPr>
        <w:widowControl/>
        <w:numPr>
          <w:ilvl w:val="0"/>
          <w:numId w:val="21"/>
        </w:numPr>
        <w:tabs>
          <w:tab w:val="left" w:pos="720"/>
        </w:tabs>
        <w:adjustRightInd/>
        <w:spacing w:line="240" w:lineRule="auto"/>
        <w:ind w:right="-90"/>
        <w:contextualSpacing/>
        <w:textAlignment w:val="auto"/>
        <w:rPr>
          <w:bCs/>
          <w:sz w:val="20"/>
          <w:szCs w:val="20"/>
          <w:lang w:val="en-US"/>
        </w:rPr>
      </w:pPr>
      <w:r w:rsidRPr="00AC57EA">
        <w:rPr>
          <w:bCs/>
          <w:sz w:val="20"/>
          <w:szCs w:val="20"/>
          <w:lang w:val="en-US"/>
        </w:rPr>
        <w:t>The Court</w:t>
      </w:r>
      <w:r w:rsidR="007E72AE" w:rsidRPr="00AC57EA">
        <w:rPr>
          <w:bCs/>
          <w:sz w:val="20"/>
          <w:szCs w:val="20"/>
          <w:lang w:val="en-US"/>
        </w:rPr>
        <w:t xml:space="preserve"> will monitor full compliance with this judgment, in exercise of its attributes and in fulfilment of its duties under </w:t>
      </w:r>
      <w:r w:rsidRPr="00AC57EA">
        <w:rPr>
          <w:bCs/>
          <w:sz w:val="20"/>
          <w:szCs w:val="20"/>
          <w:lang w:val="en-US"/>
        </w:rPr>
        <w:t>the American Convention on Human Rights</w:t>
      </w:r>
      <w:r w:rsidR="009D0B2B" w:rsidRPr="00AC57EA">
        <w:rPr>
          <w:bCs/>
          <w:sz w:val="20"/>
          <w:szCs w:val="20"/>
          <w:lang w:val="en-US"/>
        </w:rPr>
        <w:t>,</w:t>
      </w:r>
      <w:r w:rsidR="00171E27" w:rsidRPr="00AC57EA">
        <w:rPr>
          <w:bCs/>
          <w:sz w:val="20"/>
          <w:szCs w:val="20"/>
          <w:lang w:val="en-US"/>
        </w:rPr>
        <w:t xml:space="preserve"> </w:t>
      </w:r>
      <w:r w:rsidR="007E72AE" w:rsidRPr="00AC57EA">
        <w:rPr>
          <w:bCs/>
          <w:sz w:val="20"/>
          <w:szCs w:val="20"/>
          <w:lang w:val="en-US"/>
        </w:rPr>
        <w:t>and will consider this case closed when the State has complied fully with its provisions.</w:t>
      </w:r>
    </w:p>
    <w:p w14:paraId="55094D3F" w14:textId="77777777" w:rsidR="009D0B2B" w:rsidRPr="00AC57EA" w:rsidRDefault="009D0B2B" w:rsidP="009D0B2B">
      <w:pPr>
        <w:widowControl/>
        <w:tabs>
          <w:tab w:val="left" w:pos="720"/>
        </w:tabs>
        <w:adjustRightInd/>
        <w:spacing w:line="240" w:lineRule="auto"/>
        <w:ind w:right="-90"/>
        <w:contextualSpacing/>
        <w:textAlignment w:val="auto"/>
        <w:rPr>
          <w:b/>
          <w:bCs/>
          <w:sz w:val="20"/>
          <w:szCs w:val="20"/>
          <w:lang w:val="en-US"/>
        </w:rPr>
      </w:pPr>
    </w:p>
    <w:p w14:paraId="5376025E" w14:textId="2A97109C" w:rsidR="007F7D87" w:rsidRPr="00AC57EA" w:rsidRDefault="00EB338E" w:rsidP="008353ED">
      <w:pPr>
        <w:widowControl/>
        <w:tabs>
          <w:tab w:val="left" w:pos="720"/>
        </w:tabs>
        <w:adjustRightInd/>
        <w:spacing w:line="240" w:lineRule="auto"/>
        <w:ind w:right="-90"/>
        <w:contextualSpacing/>
        <w:textAlignment w:val="auto"/>
        <w:rPr>
          <w:bCs/>
          <w:sz w:val="20"/>
          <w:szCs w:val="20"/>
          <w:lang w:val="en-US"/>
        </w:rPr>
      </w:pPr>
      <w:r w:rsidRPr="00AC57EA">
        <w:rPr>
          <w:bCs/>
          <w:sz w:val="20"/>
          <w:szCs w:val="20"/>
          <w:lang w:val="en-US"/>
        </w:rPr>
        <w:t xml:space="preserve">DONE, at </w:t>
      </w:r>
      <w:r w:rsidR="009D0B2B" w:rsidRPr="00AC57EA">
        <w:rPr>
          <w:bCs/>
          <w:sz w:val="20"/>
          <w:szCs w:val="20"/>
          <w:lang w:val="en-US"/>
        </w:rPr>
        <w:t xml:space="preserve">San José, Costa Rica, </w:t>
      </w:r>
      <w:r w:rsidRPr="00AC57EA">
        <w:rPr>
          <w:bCs/>
          <w:sz w:val="20"/>
          <w:szCs w:val="20"/>
          <w:lang w:val="en-US"/>
        </w:rPr>
        <w:t>on</w:t>
      </w:r>
      <w:r w:rsidR="009D0B2B" w:rsidRPr="00AC57EA">
        <w:rPr>
          <w:bCs/>
          <w:sz w:val="20"/>
          <w:szCs w:val="20"/>
          <w:lang w:val="en-US"/>
        </w:rPr>
        <w:t xml:space="preserve"> </w:t>
      </w:r>
      <w:r w:rsidR="00B7258C" w:rsidRPr="00AC57EA">
        <w:rPr>
          <w:bCs/>
          <w:sz w:val="20"/>
          <w:szCs w:val="20"/>
          <w:lang w:val="en-US"/>
        </w:rPr>
        <w:t>March 8,</w:t>
      </w:r>
      <w:r w:rsidR="009D0B2B" w:rsidRPr="00AC57EA">
        <w:rPr>
          <w:bCs/>
          <w:sz w:val="20"/>
          <w:szCs w:val="20"/>
          <w:lang w:val="en-US"/>
        </w:rPr>
        <w:t xml:space="preserve"> 2018.</w:t>
      </w:r>
    </w:p>
    <w:p w14:paraId="5366766B" w14:textId="77777777" w:rsidR="00A4525D" w:rsidRPr="00AC57EA" w:rsidRDefault="00A4525D">
      <w:pPr>
        <w:widowControl/>
        <w:adjustRightInd/>
        <w:spacing w:after="200" w:line="276" w:lineRule="auto"/>
        <w:jc w:val="left"/>
        <w:textAlignment w:val="auto"/>
        <w:rPr>
          <w:sz w:val="20"/>
          <w:lang w:val="en-US"/>
        </w:rPr>
      </w:pPr>
      <w:r w:rsidRPr="00AC57EA">
        <w:rPr>
          <w:sz w:val="20"/>
          <w:lang w:val="en-US"/>
        </w:rPr>
        <w:br w:type="page"/>
      </w:r>
    </w:p>
    <w:p w14:paraId="05C21099" w14:textId="2E677E56" w:rsidR="000B44AC" w:rsidRPr="00AC57EA" w:rsidRDefault="00B7258C" w:rsidP="00B7258C">
      <w:pPr>
        <w:spacing w:line="240" w:lineRule="auto"/>
        <w:rPr>
          <w:sz w:val="20"/>
          <w:lang w:val="en-US"/>
        </w:rPr>
      </w:pPr>
      <w:r w:rsidRPr="00AC57EA">
        <w:rPr>
          <w:sz w:val="20"/>
          <w:lang w:val="en-US"/>
        </w:rPr>
        <w:t>I/A Court HR.</w:t>
      </w:r>
      <w:r w:rsidR="000B44AC" w:rsidRPr="00AC57EA">
        <w:rPr>
          <w:sz w:val="20"/>
          <w:lang w:val="en-US"/>
        </w:rPr>
        <w:t xml:space="preserve"> Cas</w:t>
      </w:r>
      <w:r w:rsidRPr="00AC57EA">
        <w:rPr>
          <w:sz w:val="20"/>
          <w:lang w:val="en-US"/>
        </w:rPr>
        <w:t>e of</w:t>
      </w:r>
      <w:r w:rsidR="000B44AC" w:rsidRPr="00AC57EA">
        <w:rPr>
          <w:sz w:val="20"/>
          <w:lang w:val="en-US"/>
        </w:rPr>
        <w:t xml:space="preserve"> </w:t>
      </w:r>
      <w:r w:rsidR="000B44AC" w:rsidRPr="00AC57EA">
        <w:rPr>
          <w:i/>
          <w:sz w:val="20"/>
          <w:lang w:val="en-US"/>
        </w:rPr>
        <w:t xml:space="preserve">V.R.P., V.P.C. </w:t>
      </w:r>
      <w:r w:rsidRPr="00AC57EA">
        <w:rPr>
          <w:i/>
          <w:sz w:val="20"/>
          <w:lang w:val="en-US"/>
        </w:rPr>
        <w:t>et al. v</w:t>
      </w:r>
      <w:r w:rsidR="000B44AC" w:rsidRPr="00AC57EA">
        <w:rPr>
          <w:i/>
          <w:sz w:val="20"/>
          <w:lang w:val="en-US"/>
        </w:rPr>
        <w:t>. Nicaragua</w:t>
      </w:r>
      <w:r w:rsidR="000B44AC" w:rsidRPr="00AC57EA">
        <w:rPr>
          <w:sz w:val="20"/>
          <w:lang w:val="en-US"/>
        </w:rPr>
        <w:t xml:space="preserve">. </w:t>
      </w:r>
      <w:r w:rsidRPr="00AC57EA">
        <w:rPr>
          <w:sz w:val="20"/>
          <w:lang w:val="en-US"/>
        </w:rPr>
        <w:t>Preliminary objections, merits, reparations and costs</w:t>
      </w:r>
      <w:r w:rsidR="000B44AC" w:rsidRPr="00AC57EA">
        <w:rPr>
          <w:sz w:val="20"/>
          <w:lang w:val="en-US"/>
        </w:rPr>
        <w:t xml:space="preserve">. </w:t>
      </w:r>
      <w:r w:rsidRPr="00AC57EA">
        <w:rPr>
          <w:sz w:val="20"/>
          <w:lang w:val="en-US"/>
        </w:rPr>
        <w:t>Judgment of</w:t>
      </w:r>
      <w:r w:rsidR="000B44AC" w:rsidRPr="00AC57EA">
        <w:rPr>
          <w:sz w:val="20"/>
          <w:lang w:val="en-US"/>
        </w:rPr>
        <w:t xml:space="preserve"> </w:t>
      </w:r>
      <w:r w:rsidRPr="00AC57EA">
        <w:rPr>
          <w:sz w:val="20"/>
          <w:lang w:val="en-US"/>
        </w:rPr>
        <w:t>March 8,</w:t>
      </w:r>
      <w:r w:rsidR="000B44AC" w:rsidRPr="00AC57EA">
        <w:rPr>
          <w:sz w:val="20"/>
          <w:lang w:val="en-US"/>
        </w:rPr>
        <w:t xml:space="preserve"> 2018.</w:t>
      </w:r>
    </w:p>
    <w:p w14:paraId="0103661F" w14:textId="77777777" w:rsidR="000B44AC" w:rsidRPr="00AC57EA" w:rsidRDefault="000B44AC" w:rsidP="00B7258C">
      <w:pPr>
        <w:spacing w:line="240" w:lineRule="auto"/>
        <w:rPr>
          <w:strike/>
          <w:sz w:val="20"/>
          <w:lang w:val="en-US"/>
        </w:rPr>
      </w:pPr>
    </w:p>
    <w:p w14:paraId="6D09009D" w14:textId="77777777" w:rsidR="000B44AC" w:rsidRPr="00AC57EA" w:rsidRDefault="000B44AC" w:rsidP="00B7258C">
      <w:pPr>
        <w:spacing w:line="240" w:lineRule="auto"/>
        <w:rPr>
          <w:sz w:val="20"/>
          <w:lang w:val="en-US"/>
        </w:rPr>
      </w:pPr>
    </w:p>
    <w:p w14:paraId="21FD9D5C" w14:textId="77777777" w:rsidR="000B44AC" w:rsidRPr="00AC57EA" w:rsidRDefault="000B44AC" w:rsidP="00B7258C">
      <w:pPr>
        <w:spacing w:line="240" w:lineRule="auto"/>
        <w:rPr>
          <w:sz w:val="20"/>
          <w:lang w:val="en-US"/>
        </w:rPr>
      </w:pPr>
    </w:p>
    <w:p w14:paraId="198AA4B2" w14:textId="77777777" w:rsidR="000B44AC" w:rsidRPr="00AC57EA" w:rsidRDefault="000B44AC" w:rsidP="00B7258C">
      <w:pPr>
        <w:spacing w:line="240" w:lineRule="auto"/>
        <w:rPr>
          <w:sz w:val="20"/>
          <w:lang w:val="en-US"/>
        </w:rPr>
      </w:pPr>
    </w:p>
    <w:p w14:paraId="76DD0512" w14:textId="77777777" w:rsidR="000B44AC" w:rsidRPr="00AC57EA" w:rsidRDefault="000B44AC" w:rsidP="00B7258C">
      <w:pPr>
        <w:spacing w:line="240" w:lineRule="auto"/>
        <w:jc w:val="center"/>
        <w:rPr>
          <w:sz w:val="20"/>
          <w:lang w:val="en-US"/>
        </w:rPr>
      </w:pPr>
      <w:r w:rsidRPr="00AC57EA">
        <w:rPr>
          <w:sz w:val="20"/>
          <w:lang w:val="en-US"/>
        </w:rPr>
        <w:t>Eduardo Ferrer Mac-Gregor Poisot</w:t>
      </w:r>
    </w:p>
    <w:p w14:paraId="18187D86" w14:textId="6DB0744D" w:rsidR="000B44AC" w:rsidRPr="00AC57EA" w:rsidRDefault="00B7258C" w:rsidP="00B7258C">
      <w:pPr>
        <w:spacing w:line="240" w:lineRule="auto"/>
        <w:jc w:val="center"/>
        <w:rPr>
          <w:sz w:val="20"/>
          <w:lang w:val="en-US"/>
        </w:rPr>
      </w:pPr>
      <w:r w:rsidRPr="00AC57EA">
        <w:rPr>
          <w:sz w:val="20"/>
          <w:lang w:val="en-US"/>
        </w:rPr>
        <w:t>President</w:t>
      </w:r>
      <w:r w:rsidR="000B44AC" w:rsidRPr="00AC57EA">
        <w:rPr>
          <w:sz w:val="20"/>
          <w:lang w:val="en-US"/>
        </w:rPr>
        <w:t xml:space="preserve"> </w:t>
      </w:r>
    </w:p>
    <w:p w14:paraId="7E944C6D" w14:textId="77777777" w:rsidR="000B44AC" w:rsidRPr="00AC57EA" w:rsidRDefault="000B44AC" w:rsidP="00B7258C">
      <w:pPr>
        <w:spacing w:line="240" w:lineRule="auto"/>
        <w:rPr>
          <w:sz w:val="20"/>
          <w:lang w:val="en-US"/>
        </w:rPr>
      </w:pPr>
    </w:p>
    <w:p w14:paraId="7CC9C2AA" w14:textId="77777777" w:rsidR="000B44AC" w:rsidRPr="00AC57EA" w:rsidRDefault="000B44AC" w:rsidP="00B7258C">
      <w:pPr>
        <w:spacing w:line="240" w:lineRule="auto"/>
        <w:rPr>
          <w:sz w:val="20"/>
          <w:lang w:val="en-US"/>
        </w:rPr>
      </w:pPr>
    </w:p>
    <w:p w14:paraId="633DF8FA" w14:textId="77777777" w:rsidR="000B44AC" w:rsidRPr="00AC57EA" w:rsidRDefault="000B44AC" w:rsidP="00B7258C">
      <w:pPr>
        <w:spacing w:line="240" w:lineRule="auto"/>
        <w:rPr>
          <w:sz w:val="20"/>
          <w:lang w:val="en-US"/>
        </w:rPr>
      </w:pPr>
    </w:p>
    <w:p w14:paraId="5B858D5F" w14:textId="77777777" w:rsidR="000B44AC" w:rsidRPr="00AC57EA" w:rsidRDefault="000B44AC" w:rsidP="00B7258C">
      <w:pPr>
        <w:spacing w:line="240" w:lineRule="auto"/>
        <w:rPr>
          <w:sz w:val="20"/>
          <w:lang w:val="en-US"/>
        </w:rPr>
      </w:pPr>
      <w:r w:rsidRPr="00AC57EA">
        <w:rPr>
          <w:sz w:val="20"/>
          <w:lang w:val="en-US"/>
        </w:rPr>
        <w:t>Humberto A. Sierra Porto</w:t>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t>Elizabeth Odio Benito</w:t>
      </w:r>
    </w:p>
    <w:p w14:paraId="2D8D6DB3" w14:textId="77777777" w:rsidR="000B44AC" w:rsidRPr="00AC57EA" w:rsidRDefault="000B44AC" w:rsidP="00B7258C">
      <w:pPr>
        <w:spacing w:line="240" w:lineRule="auto"/>
        <w:rPr>
          <w:sz w:val="20"/>
          <w:lang w:val="en-US"/>
        </w:rPr>
      </w:pPr>
    </w:p>
    <w:p w14:paraId="25B62CFE" w14:textId="77777777" w:rsidR="000B44AC" w:rsidRPr="00AC57EA" w:rsidRDefault="000B44AC" w:rsidP="00B7258C">
      <w:pPr>
        <w:spacing w:line="240" w:lineRule="auto"/>
        <w:rPr>
          <w:sz w:val="20"/>
          <w:lang w:val="en-US"/>
        </w:rPr>
      </w:pPr>
    </w:p>
    <w:p w14:paraId="3054059E" w14:textId="77777777" w:rsidR="000B44AC" w:rsidRPr="00AC57EA" w:rsidRDefault="000B44AC" w:rsidP="00B7258C">
      <w:pPr>
        <w:spacing w:line="240" w:lineRule="auto"/>
        <w:rPr>
          <w:sz w:val="20"/>
          <w:lang w:val="en-US"/>
        </w:rPr>
      </w:pPr>
    </w:p>
    <w:p w14:paraId="22685C70" w14:textId="77777777" w:rsidR="000B44AC" w:rsidRPr="00AC57EA" w:rsidRDefault="000B44AC" w:rsidP="00B7258C">
      <w:pPr>
        <w:spacing w:line="240" w:lineRule="auto"/>
        <w:rPr>
          <w:sz w:val="20"/>
          <w:lang w:val="en-US"/>
        </w:rPr>
      </w:pPr>
    </w:p>
    <w:p w14:paraId="18AEE698" w14:textId="77777777" w:rsidR="000B44AC" w:rsidRPr="00AC57EA" w:rsidRDefault="000B44AC" w:rsidP="00B7258C">
      <w:pPr>
        <w:spacing w:line="240" w:lineRule="auto"/>
        <w:rPr>
          <w:sz w:val="20"/>
          <w:lang w:val="en-US"/>
        </w:rPr>
      </w:pPr>
      <w:r w:rsidRPr="00AC57EA">
        <w:rPr>
          <w:sz w:val="20"/>
          <w:lang w:val="en-US"/>
        </w:rPr>
        <w:t xml:space="preserve">Eugenio Raúl Zaffaroni </w:t>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t xml:space="preserve">    L. Patricio Pazmiño Freire</w:t>
      </w:r>
    </w:p>
    <w:p w14:paraId="08D107A6" w14:textId="77777777" w:rsidR="000B44AC" w:rsidRPr="00AC57EA" w:rsidRDefault="000B44AC" w:rsidP="00B7258C">
      <w:pPr>
        <w:spacing w:line="240" w:lineRule="auto"/>
        <w:rPr>
          <w:sz w:val="20"/>
          <w:lang w:val="en-US"/>
        </w:rPr>
      </w:pPr>
    </w:p>
    <w:p w14:paraId="561F2825" w14:textId="77777777" w:rsidR="000B44AC" w:rsidRPr="00AC57EA" w:rsidRDefault="000B44AC" w:rsidP="00B7258C">
      <w:pPr>
        <w:spacing w:line="240" w:lineRule="auto"/>
        <w:rPr>
          <w:sz w:val="20"/>
          <w:lang w:val="en-US"/>
        </w:rPr>
      </w:pPr>
    </w:p>
    <w:p w14:paraId="54E95D15" w14:textId="77777777" w:rsidR="000B44AC" w:rsidRPr="00AC57EA" w:rsidRDefault="000B44AC" w:rsidP="00B7258C">
      <w:pPr>
        <w:spacing w:line="240" w:lineRule="auto"/>
        <w:rPr>
          <w:sz w:val="20"/>
          <w:lang w:val="en-US"/>
        </w:rPr>
      </w:pPr>
    </w:p>
    <w:p w14:paraId="17A4DB34" w14:textId="77777777" w:rsidR="000B44AC" w:rsidRPr="00AC57EA" w:rsidRDefault="000B44AC" w:rsidP="00B7258C">
      <w:pPr>
        <w:spacing w:line="240" w:lineRule="auto"/>
        <w:jc w:val="center"/>
        <w:rPr>
          <w:sz w:val="20"/>
          <w:lang w:val="en-US"/>
        </w:rPr>
      </w:pPr>
      <w:r w:rsidRPr="00AC57EA">
        <w:rPr>
          <w:sz w:val="20"/>
          <w:lang w:val="en-US"/>
        </w:rPr>
        <w:t>Pablo Saavedra Alessandri</w:t>
      </w:r>
    </w:p>
    <w:p w14:paraId="2A7A2066" w14:textId="63576493" w:rsidR="000B44AC" w:rsidRPr="00AC57EA" w:rsidRDefault="00B7258C" w:rsidP="00B7258C">
      <w:pPr>
        <w:spacing w:line="240" w:lineRule="auto"/>
        <w:jc w:val="center"/>
        <w:rPr>
          <w:sz w:val="20"/>
          <w:lang w:val="en-US"/>
        </w:rPr>
      </w:pPr>
      <w:r w:rsidRPr="00AC57EA">
        <w:rPr>
          <w:sz w:val="20"/>
          <w:lang w:val="en-US"/>
        </w:rPr>
        <w:t>Secretary</w:t>
      </w:r>
    </w:p>
    <w:p w14:paraId="2A39BFF9" w14:textId="77777777" w:rsidR="000B44AC" w:rsidRPr="00AC57EA" w:rsidRDefault="000B44AC" w:rsidP="00B7258C">
      <w:pPr>
        <w:pStyle w:val="Textonotapie"/>
        <w:rPr>
          <w:lang w:val="en-US"/>
        </w:rPr>
      </w:pPr>
    </w:p>
    <w:p w14:paraId="048681E9" w14:textId="77777777" w:rsidR="000B44AC" w:rsidRPr="00AC57EA" w:rsidRDefault="000B44AC" w:rsidP="00B7258C">
      <w:pPr>
        <w:pStyle w:val="Textonotapie"/>
        <w:rPr>
          <w:lang w:val="en-US"/>
        </w:rPr>
      </w:pPr>
    </w:p>
    <w:p w14:paraId="373281F1" w14:textId="77777777" w:rsidR="000B44AC" w:rsidRPr="00AC57EA" w:rsidRDefault="000B44AC" w:rsidP="00B7258C">
      <w:pPr>
        <w:pStyle w:val="Textonotapie"/>
        <w:rPr>
          <w:lang w:val="en-US"/>
        </w:rPr>
      </w:pPr>
    </w:p>
    <w:p w14:paraId="27AFBA2B" w14:textId="0E3DA1BA" w:rsidR="000B44AC" w:rsidRPr="00AC57EA" w:rsidRDefault="00B7258C" w:rsidP="00B7258C">
      <w:pPr>
        <w:spacing w:line="240" w:lineRule="auto"/>
        <w:rPr>
          <w:sz w:val="20"/>
          <w:lang w:val="en-US"/>
        </w:rPr>
      </w:pPr>
      <w:r w:rsidRPr="00AC57EA">
        <w:rPr>
          <w:sz w:val="20"/>
          <w:lang w:val="en-US"/>
        </w:rPr>
        <w:t>So ordered</w:t>
      </w:r>
      <w:r w:rsidR="000B44AC" w:rsidRPr="00AC57EA">
        <w:rPr>
          <w:sz w:val="20"/>
          <w:lang w:val="en-US"/>
        </w:rPr>
        <w:t>,</w:t>
      </w:r>
    </w:p>
    <w:p w14:paraId="1B85BF44" w14:textId="77777777" w:rsidR="000B44AC" w:rsidRPr="00AC57EA" w:rsidRDefault="000B44AC" w:rsidP="00B7258C">
      <w:pPr>
        <w:spacing w:line="240" w:lineRule="auto"/>
        <w:rPr>
          <w:sz w:val="20"/>
          <w:lang w:val="en-US"/>
        </w:rPr>
      </w:pPr>
    </w:p>
    <w:p w14:paraId="36A0DA96" w14:textId="77777777" w:rsidR="000B44AC" w:rsidRPr="00AC57EA" w:rsidRDefault="000B44AC" w:rsidP="00B7258C">
      <w:pPr>
        <w:spacing w:line="240" w:lineRule="auto"/>
        <w:jc w:val="right"/>
        <w:rPr>
          <w:sz w:val="20"/>
          <w:lang w:val="en-US"/>
        </w:rPr>
      </w:pPr>
    </w:p>
    <w:p w14:paraId="53EE7D30" w14:textId="77777777" w:rsidR="000B44AC" w:rsidRPr="00AC57EA" w:rsidRDefault="000B44AC" w:rsidP="00B7258C">
      <w:pPr>
        <w:spacing w:line="240" w:lineRule="auto"/>
        <w:jc w:val="right"/>
        <w:rPr>
          <w:sz w:val="20"/>
          <w:lang w:val="en-US"/>
        </w:rPr>
      </w:pPr>
    </w:p>
    <w:p w14:paraId="7F458C53" w14:textId="70C885BC" w:rsidR="000B44AC" w:rsidRPr="00AC57EA" w:rsidRDefault="000B44AC" w:rsidP="00B7258C">
      <w:pPr>
        <w:spacing w:line="240" w:lineRule="auto"/>
        <w:jc w:val="center"/>
        <w:rPr>
          <w:sz w:val="20"/>
          <w:lang w:val="en-US"/>
        </w:rPr>
      </w:pPr>
      <w:r w:rsidRPr="00AC57EA">
        <w:rPr>
          <w:sz w:val="20"/>
          <w:lang w:val="en-US"/>
        </w:rPr>
        <w:t xml:space="preserve">                                                                                  Eduardo Ferrer Mac-Gregor Poisot</w:t>
      </w:r>
    </w:p>
    <w:p w14:paraId="2A254FF4" w14:textId="0602649F" w:rsidR="000B44AC" w:rsidRPr="00AC57EA" w:rsidRDefault="000B44AC" w:rsidP="00B7258C">
      <w:pPr>
        <w:spacing w:line="240" w:lineRule="auto"/>
        <w:jc w:val="left"/>
        <w:rPr>
          <w:sz w:val="20"/>
          <w:lang w:val="en-US"/>
        </w:rPr>
      </w:pPr>
      <w:r w:rsidRPr="00AC57EA">
        <w:rPr>
          <w:sz w:val="20"/>
          <w:lang w:val="en-US"/>
        </w:rPr>
        <w:t xml:space="preserve">       </w:t>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r>
      <w:r w:rsidRPr="00AC57EA">
        <w:rPr>
          <w:sz w:val="20"/>
          <w:lang w:val="en-US"/>
        </w:rPr>
        <w:tab/>
        <w:t xml:space="preserve">  </w:t>
      </w:r>
      <w:r w:rsidR="00B7258C" w:rsidRPr="00AC57EA">
        <w:rPr>
          <w:sz w:val="20"/>
          <w:lang w:val="en-US"/>
        </w:rPr>
        <w:t>President</w:t>
      </w:r>
      <w:r w:rsidRPr="00AC57EA">
        <w:rPr>
          <w:sz w:val="20"/>
          <w:lang w:val="en-US"/>
        </w:rPr>
        <w:t xml:space="preserve"> </w:t>
      </w:r>
    </w:p>
    <w:p w14:paraId="74790A98" w14:textId="77777777" w:rsidR="000B44AC" w:rsidRPr="00AC57EA" w:rsidRDefault="000B44AC" w:rsidP="00B7258C">
      <w:pPr>
        <w:spacing w:line="240" w:lineRule="auto"/>
        <w:ind w:firstLine="720"/>
        <w:jc w:val="center"/>
        <w:rPr>
          <w:sz w:val="20"/>
          <w:lang w:val="en-US"/>
        </w:rPr>
      </w:pPr>
    </w:p>
    <w:p w14:paraId="0C254501" w14:textId="77777777" w:rsidR="000B44AC" w:rsidRPr="00AC57EA" w:rsidRDefault="000B44AC" w:rsidP="00B7258C">
      <w:pPr>
        <w:spacing w:line="240" w:lineRule="auto"/>
        <w:rPr>
          <w:sz w:val="20"/>
          <w:lang w:val="en-US"/>
        </w:rPr>
      </w:pPr>
    </w:p>
    <w:p w14:paraId="0CD4F3E9" w14:textId="77777777" w:rsidR="000B44AC" w:rsidRPr="00AC57EA" w:rsidRDefault="000B44AC" w:rsidP="00B7258C">
      <w:pPr>
        <w:spacing w:line="240" w:lineRule="auto"/>
        <w:rPr>
          <w:sz w:val="20"/>
          <w:lang w:val="en-US"/>
        </w:rPr>
      </w:pPr>
      <w:r w:rsidRPr="00AC57EA">
        <w:rPr>
          <w:sz w:val="20"/>
          <w:lang w:val="en-US"/>
        </w:rPr>
        <w:t>Pablo Saavedra Alessandri</w:t>
      </w:r>
    </w:p>
    <w:p w14:paraId="609DDC21" w14:textId="2C11D798" w:rsidR="000B44AC" w:rsidRPr="00060A7B" w:rsidRDefault="000B44AC" w:rsidP="00B7258C">
      <w:pPr>
        <w:spacing w:line="240" w:lineRule="auto"/>
        <w:rPr>
          <w:lang w:val="en-US"/>
        </w:rPr>
      </w:pPr>
      <w:r w:rsidRPr="00AC57EA">
        <w:rPr>
          <w:sz w:val="20"/>
          <w:lang w:val="en-US"/>
        </w:rPr>
        <w:tab/>
      </w:r>
      <w:r w:rsidR="00B7258C" w:rsidRPr="00AC57EA">
        <w:rPr>
          <w:sz w:val="20"/>
          <w:lang w:val="en-US"/>
        </w:rPr>
        <w:t>Secretary</w:t>
      </w:r>
    </w:p>
    <w:p w14:paraId="7145AFAE" w14:textId="77777777" w:rsidR="007F7D87" w:rsidRPr="00060A7B" w:rsidRDefault="007F7D87" w:rsidP="00B7258C">
      <w:pPr>
        <w:widowControl/>
        <w:tabs>
          <w:tab w:val="left" w:pos="720"/>
        </w:tabs>
        <w:adjustRightInd/>
        <w:spacing w:line="240" w:lineRule="auto"/>
        <w:contextualSpacing/>
        <w:textAlignment w:val="auto"/>
        <w:rPr>
          <w:bCs/>
          <w:sz w:val="20"/>
          <w:szCs w:val="20"/>
          <w:lang w:val="en-US"/>
        </w:rPr>
      </w:pPr>
    </w:p>
    <w:p w14:paraId="197196C2" w14:textId="77777777" w:rsidR="007F7D87" w:rsidRPr="00060A7B" w:rsidRDefault="007F7D87" w:rsidP="00B7258C">
      <w:pPr>
        <w:widowControl/>
        <w:tabs>
          <w:tab w:val="left" w:pos="720"/>
        </w:tabs>
        <w:adjustRightInd/>
        <w:spacing w:line="240" w:lineRule="auto"/>
        <w:contextualSpacing/>
        <w:textAlignment w:val="auto"/>
        <w:rPr>
          <w:bCs/>
          <w:sz w:val="20"/>
          <w:szCs w:val="20"/>
          <w:lang w:val="en-US"/>
        </w:rPr>
      </w:pPr>
    </w:p>
    <w:sectPr w:rsidR="007F7D87" w:rsidRPr="00060A7B" w:rsidSect="005F1C88">
      <w:headerReference w:type="default" r:id="rId9"/>
      <w:footerReference w:type="even" r:id="rId10"/>
      <w:footerReference w:type="default" r:id="rId11"/>
      <w:footnotePr>
        <w:numRestart w:val="eachSect"/>
      </w:footnotePr>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B8565" w14:textId="77777777" w:rsidR="00811011" w:rsidRDefault="00811011" w:rsidP="00085BDD">
      <w:pPr>
        <w:spacing w:line="240" w:lineRule="auto"/>
      </w:pPr>
      <w:r>
        <w:separator/>
      </w:r>
    </w:p>
  </w:endnote>
  <w:endnote w:type="continuationSeparator" w:id="0">
    <w:p w14:paraId="70C6AEA9" w14:textId="77777777" w:rsidR="00811011" w:rsidRDefault="00811011" w:rsidP="00085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Arial-BoldItalicMT">
    <w:panose1 w:val="00000000000000000000"/>
    <w:charset w:val="00"/>
    <w:family w:val="auto"/>
    <w:notTrueType/>
    <w:pitch w:val="default"/>
    <w:sig w:usb0="00000003" w:usb1="00000000" w:usb2="00000000" w:usb3="00000000" w:csb0="00000001" w:csb1="00000000"/>
  </w:font>
  <w:font w:name="Univers-Light">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TimesNewRoman">
    <w:panose1 w:val="00000000000000000000"/>
    <w:charset w:val="4D"/>
    <w:family w:val="roman"/>
    <w:notTrueType/>
    <w:pitch w:val="default"/>
    <w:sig w:usb0="03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0C35" w14:textId="77777777" w:rsidR="003C0AC1" w:rsidRDefault="003C0AC1" w:rsidP="00B824B2">
    <w:pPr>
      <w:pStyle w:val="Piedepgina"/>
      <w:framePr w:wrap="around" w:vAnchor="text" w:hAnchor="margin" w:xAlign="center" w:y="1"/>
      <w:rPr>
        <w:rStyle w:val="Nmerodepgina"/>
        <w:rFonts w:ascii="Verdana" w:hAnsi="Verdana" w:cs="Times New Roman"/>
        <w:sz w:val="24"/>
        <w:szCs w:val="24"/>
        <w:lang w:val="es-CR" w:eastAsia="es-CR"/>
      </w:rPr>
    </w:pPr>
    <w:r>
      <w:rPr>
        <w:rStyle w:val="Nmerodepgina"/>
      </w:rPr>
      <w:fldChar w:fldCharType="begin"/>
    </w:r>
    <w:r>
      <w:rPr>
        <w:rStyle w:val="Nmerodepgina"/>
      </w:rPr>
      <w:instrText xml:space="preserve">PAGE  </w:instrText>
    </w:r>
    <w:r>
      <w:rPr>
        <w:rStyle w:val="Nmerodepgina"/>
      </w:rPr>
      <w:fldChar w:fldCharType="end"/>
    </w:r>
  </w:p>
  <w:p w14:paraId="2F3E2346" w14:textId="77777777" w:rsidR="003C0AC1" w:rsidRDefault="003C0AC1" w:rsidP="00B824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EDE4A" w14:textId="77777777" w:rsidR="003C0AC1" w:rsidRPr="00BE3978" w:rsidRDefault="003C0AC1" w:rsidP="00B824B2">
    <w:pPr>
      <w:pStyle w:val="Piedepgina"/>
      <w:framePr w:wrap="around" w:vAnchor="text" w:hAnchor="margin" w:xAlign="center" w:y="1"/>
      <w:rPr>
        <w:rStyle w:val="Nmerodepgina"/>
        <w:rFonts w:ascii="Verdana" w:hAnsi="Verdana" w:cs="Times New Roman"/>
        <w:sz w:val="24"/>
        <w:szCs w:val="24"/>
        <w:lang w:val="es-CR" w:eastAsia="es-CR"/>
      </w:rPr>
    </w:pPr>
  </w:p>
  <w:p w14:paraId="0182C4E2" w14:textId="77777777" w:rsidR="003C0AC1" w:rsidRDefault="003C0AC1" w:rsidP="00B824B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FCAE" w14:textId="77777777" w:rsidR="00811011" w:rsidRDefault="00811011" w:rsidP="00085BDD">
      <w:pPr>
        <w:spacing w:line="240" w:lineRule="auto"/>
      </w:pPr>
      <w:r>
        <w:separator/>
      </w:r>
    </w:p>
  </w:footnote>
  <w:footnote w:type="continuationSeparator" w:id="0">
    <w:p w14:paraId="01C5076D" w14:textId="77777777" w:rsidR="00811011" w:rsidRDefault="00811011" w:rsidP="00085BDD">
      <w:pPr>
        <w:spacing w:line="240" w:lineRule="auto"/>
      </w:pPr>
      <w:r>
        <w:continuationSeparator/>
      </w:r>
    </w:p>
  </w:footnote>
  <w:footnote w:id="1">
    <w:p w14:paraId="27DD2783" w14:textId="2EE6C73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t>*</w:t>
      </w:r>
      <w:r w:rsidRPr="00AC57EA">
        <w:rPr>
          <w:sz w:val="16"/>
          <w:szCs w:val="16"/>
          <w:lang w:val="en-US"/>
        </w:rPr>
        <w:t xml:space="preserve"> </w:t>
      </w:r>
      <w:r w:rsidRPr="00AC57EA">
        <w:rPr>
          <w:sz w:val="16"/>
          <w:szCs w:val="16"/>
          <w:lang w:val="en-US"/>
        </w:rPr>
        <w:tab/>
        <w:t>At the admissibility stage of this case, the Inter-American Commission on Human Rights decided to maintain the names of the presumed victims confidential, using the initials “V.R.P.” and “V.P.C.” to refer to them. The Inter-American Court decided to continue to maintain this confidentiality and, similarly, it decided to do the same for the other family members, and will therefore use the initials “N.R.P.”, “H.J.R.P.” and “V.A.R.P.” to refer to them.</w:t>
      </w:r>
    </w:p>
  </w:footnote>
  <w:footnote w:id="2">
    <w:p w14:paraId="112C085D" w14:textId="17507F5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t>**</w:t>
      </w:r>
      <w:r w:rsidRPr="00AC57EA">
        <w:rPr>
          <w:sz w:val="16"/>
          <w:szCs w:val="16"/>
          <w:lang w:val="en-US"/>
        </w:rPr>
        <w:t xml:space="preserve"> </w:t>
      </w:r>
      <w:r w:rsidRPr="00AC57EA">
        <w:rPr>
          <w:sz w:val="16"/>
          <w:szCs w:val="16"/>
          <w:lang w:val="en-US"/>
        </w:rPr>
        <w:tab/>
        <w:t>Judges Eduardo Vio Grossi and Roberto F. Caldas did not take part in the deliberation and signature of this judgment for reasons beyond their control, which were accepted by the full Court.</w:t>
      </w:r>
    </w:p>
  </w:footnote>
  <w:footnote w:id="3">
    <w:p w14:paraId="6A41926C" w14:textId="52E8A47B" w:rsidR="003C0AC1" w:rsidRPr="00AC57EA" w:rsidRDefault="003C0AC1" w:rsidP="00AC57EA">
      <w:pPr>
        <w:tabs>
          <w:tab w:val="left" w:pos="540"/>
        </w:tabs>
        <w:spacing w:after="60" w:line="240" w:lineRule="auto"/>
        <w:ind w:right="148"/>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In this report, the Commission decided that the petition was admissible with regard to the presumed violation of the rights recognized in Articles 5(1), 8(1), 11, 19, 24 and 25 of the American Convention, in relation to Articles 1(1) and 2 of this instrument, and of Article 7 of the Convention of Belém do Pará with regard to V.R.P. The Commission also concluded the admissibility of the presumed violation of Articles 5(1), 8 and 25 of the Convention in relation to Article 1(1) of this instrument, with regard to V.P.C. </w:t>
      </w:r>
      <w:r w:rsidRPr="00AC57EA">
        <w:rPr>
          <w:i/>
          <w:sz w:val="16"/>
          <w:szCs w:val="16"/>
          <w:lang w:val="en-US"/>
        </w:rPr>
        <w:t xml:space="preserve">Cf. </w:t>
      </w:r>
      <w:r w:rsidRPr="00AC57EA">
        <w:rPr>
          <w:sz w:val="16"/>
          <w:szCs w:val="16"/>
          <w:lang w:val="en-US"/>
        </w:rPr>
        <w:t>IACHR,</w:t>
      </w:r>
      <w:r w:rsidRPr="00AC57EA">
        <w:rPr>
          <w:i/>
          <w:sz w:val="16"/>
          <w:szCs w:val="16"/>
          <w:lang w:val="en-US"/>
        </w:rPr>
        <w:t xml:space="preserve"> </w:t>
      </w:r>
      <w:r w:rsidRPr="00AC57EA">
        <w:rPr>
          <w:rFonts w:cs="Verdana"/>
          <w:sz w:val="16"/>
          <w:szCs w:val="16"/>
          <w:lang w:val="en-US"/>
        </w:rPr>
        <w:t>Admissibility Report No. 3/09, Petition 4408-02. Case of V.R.P. and V.P.C. v. Nicaragua, February 11, 2009 (file of procedure before the Commission, volume XI, folios 4656 to 4669).</w:t>
      </w:r>
    </w:p>
  </w:footnote>
  <w:footnote w:id="4">
    <w:p w14:paraId="709B1E29" w14:textId="70C6BA4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The Commission appointed Commissioner Esmeralda Arosemena de Troitiño and Executive Secretary, Paulo Abrão, as its delegates before the Court. It also appointed Elizabeth Abi-Mershed, Deputy Executive Secretary, and Silvia Serrano Guzmán and Erick Acuña Pereda, Executive Secretariat lawyers, as legal advisers.</w:t>
      </w:r>
    </w:p>
  </w:footnote>
  <w:footnote w:id="5">
    <w:p w14:paraId="09E0FE70" w14:textId="42E3E7A5" w:rsidR="003C0AC1" w:rsidRPr="00AC57EA" w:rsidRDefault="003C0AC1" w:rsidP="00AC57EA">
      <w:pPr>
        <w:tabs>
          <w:tab w:val="left" w:pos="540"/>
        </w:tabs>
        <w:autoSpaceDE w:val="0"/>
        <w:autoSpaceDN w:val="0"/>
        <w:spacing w:after="60" w:line="240" w:lineRule="auto"/>
        <w:rPr>
          <w:b/>
          <w:sz w:val="16"/>
          <w:szCs w:val="16"/>
          <w:u w:val="single"/>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Although, as a presumed victim, the representation by V.P.C. was duly accredited in the terms of Article 35(1)(b) of the Court’s Rules of Procedure, on the instructions of the Court’s President, the presumed victims were advised that Article 37 of the Court’s Rules of Procedure established the mechanism of the Inter-American Defender, according to which, “[i]n cases where alleged victims are acting without duly accredited legal representation, the Court may, on its own motion, appoint an inter-American defender to represent them during the processing of the case.”</w:t>
      </w:r>
    </w:p>
  </w:footnote>
  <w:footnote w:id="6">
    <w:p w14:paraId="178DC5C3" w14:textId="32B98EAB"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In a communication of November 10, 2016, issued on the instructions of the President of the Court and based on article 2 of the Memorandum of Understanding between the Court and the AIDEF, the Association’s General Coordinator was asked to appoint, within 10 days, a defender to assume the legal representation in the case, and to advise where the pertinent communications should be sent.</w:t>
      </w:r>
    </w:p>
  </w:footnote>
  <w:footnote w:id="7">
    <w:p w14:paraId="34E890B9" w14:textId="7FA7141F"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cs="Century Gothic"/>
          <w:sz w:val="16"/>
          <w:szCs w:val="16"/>
          <w:lang w:val="en-US"/>
        </w:rPr>
        <w:t>In application of Article 37 (Inter-American Defender) of the Court’s Rules of Procedure. As established in the statement of motives for amendment of</w:t>
      </w:r>
      <w:r w:rsidRPr="00AC57EA">
        <w:rPr>
          <w:sz w:val="16"/>
          <w:szCs w:val="16"/>
          <w:lang w:val="en-US"/>
        </w:rPr>
        <w:t xml:space="preserve"> the Court’s Rules of Procedure, the purpose of the mechanism of the Inter-American Defender is so that “alleged victims </w:t>
      </w:r>
      <w:r w:rsidRPr="00AC57EA">
        <w:rPr>
          <w:rFonts w:cs="Verdana"/>
          <w:sz w:val="16"/>
          <w:szCs w:val="16"/>
          <w:lang w:val="en-US"/>
        </w:rPr>
        <w:t>will be guaranteed a lawyer to represent their interests before the Court, and economic considerations will no longer impede access to legal representation.</w:t>
      </w:r>
      <w:r w:rsidRPr="00AC57EA">
        <w:rPr>
          <w:sz w:val="16"/>
          <w:szCs w:val="16"/>
          <w:lang w:val="en-US"/>
        </w:rPr>
        <w:t>”</w:t>
      </w:r>
    </w:p>
  </w:footnote>
  <w:footnote w:id="8">
    <w:p w14:paraId="5904DC9A" w14:textId="796E26AC" w:rsidR="003C0AC1" w:rsidRPr="00AC57EA" w:rsidRDefault="003C0AC1" w:rsidP="00AC57EA">
      <w:pPr>
        <w:pStyle w:val="Textonotapie"/>
        <w:tabs>
          <w:tab w:val="left" w:pos="540"/>
          <w:tab w:val="left" w:pos="5539"/>
          <w:tab w:val="left" w:pos="5999"/>
        </w:tabs>
        <w:spacing w:after="60"/>
        <w:rPr>
          <w:sz w:val="16"/>
          <w:szCs w:val="16"/>
          <w:lang w:val="en-US"/>
        </w:rPr>
      </w:pPr>
      <w:r w:rsidRPr="00AC57EA">
        <w:rPr>
          <w:rStyle w:val="Refdenotaalpie"/>
          <w:sz w:val="16"/>
          <w:szCs w:val="16"/>
          <w:lang w:val="en-US"/>
        </w:rPr>
        <w:footnoteRef/>
      </w:r>
      <w:r w:rsidRPr="00AC57EA">
        <w:rPr>
          <w:rStyle w:val="Refdenotaalpie"/>
          <w:sz w:val="16"/>
          <w:szCs w:val="16"/>
          <w:lang w:val="en-US"/>
        </w:rPr>
        <w:t xml:space="preserve"> </w:t>
      </w:r>
      <w:r w:rsidRPr="00AC57EA">
        <w:rPr>
          <w:sz w:val="16"/>
          <w:szCs w:val="16"/>
          <w:lang w:val="en-US"/>
        </w:rPr>
        <w:tab/>
        <w:t>In briefs of March 7 and 15, 2017, the State objected to the date on which the annexes to the pleadings and motions brief were received. On March 17, 2017, it was indicated that the annexes were received within the time frame indicated in the Rules of Procedure and that the annexes received subsequently corresponded to the rectification of some irregularities found during the preliminary examination, owing to which time was granted for their correction. This time did not constitute an additional time frame that was not included in the Rules of Procedure and did not involve a fresh opportunity for the parties or the Commission to remit new documents or evidence beyond those already submitted; rather, it consisted in a request for rectification to allow the Court to have complete evidentiary material in its case file.</w:t>
      </w:r>
    </w:p>
  </w:footnote>
  <w:footnote w:id="9">
    <w:p w14:paraId="2A8FE028" w14:textId="3360408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The State appointed César Augusto Guevara Rodríguez, member of the Executive Secretariat of the Office of the Attorney General, and María Elsa Frixione Ocón, Head of the International Criminal Matters, Humanitarian and Human Rights Unit, of the Office of the Attorney General, as Agents.</w:t>
      </w:r>
    </w:p>
  </w:footnote>
  <w:footnote w:id="10">
    <w:p w14:paraId="6C971AB2" w14:textId="11ADA1A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V.R.P. and V.P.C. v. Nicaragua. </w:t>
      </w:r>
      <w:r w:rsidRPr="00AC57EA">
        <w:rPr>
          <w:iCs/>
          <w:sz w:val="16"/>
          <w:szCs w:val="16"/>
          <w:lang w:val="en-US"/>
        </w:rPr>
        <w:t>Order of</w:t>
      </w:r>
      <w:r w:rsidRPr="00AC57EA">
        <w:rPr>
          <w:sz w:val="16"/>
          <w:szCs w:val="16"/>
          <w:lang w:val="en-US"/>
        </w:rPr>
        <w:t xml:space="preserve"> the President of the Inter-American Court of September 21, 2017. Available at: http://www.corteidh.or.cr/docs/asuntos/vrp_21_09_17.pdf </w:t>
      </w:r>
    </w:p>
  </w:footnote>
  <w:footnote w:id="11">
    <w:p w14:paraId="7BE81965" w14:textId="47EEBA09" w:rsidR="003C0AC1" w:rsidRPr="00AC57EA" w:rsidRDefault="003C0AC1" w:rsidP="00AC57EA">
      <w:pPr>
        <w:tabs>
          <w:tab w:val="left" w:pos="540"/>
        </w:tabs>
        <w:spacing w:after="60" w:line="240" w:lineRule="auto"/>
        <w:ind w:right="-6"/>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There appeared at this hearing: (a) for the Inter-American Commission:</w:t>
      </w:r>
      <w:r w:rsidRPr="00AC57EA">
        <w:rPr>
          <w:sz w:val="16"/>
          <w:szCs w:val="16"/>
          <w:lang w:val="en-US" w:eastAsia="es-ES"/>
        </w:rPr>
        <w:t xml:space="preserve"> the Second Vice President of the Commission, Esmeralda Arosemena de Troitiño</w:t>
      </w:r>
      <w:r w:rsidRPr="00AC57EA">
        <w:rPr>
          <w:sz w:val="16"/>
          <w:szCs w:val="16"/>
          <w:lang w:val="en-US"/>
        </w:rPr>
        <w:t>, and Executive Secretariat lawyers, Silvia Serrano Guzmán and Selene Soto Rodríguez; (b) for the representatives of the presumed victims: Fidencia Orozco García Licardi and Juana María Cruz Fernández, inter-American defenders, and (c) for the State of Nicaragua: the designated agents, César Augusto Guevara Rodríguez and María Elsa Frixione Ocón</w:t>
      </w:r>
      <w:r w:rsidRPr="00AC57EA">
        <w:rPr>
          <w:sz w:val="16"/>
          <w:szCs w:val="16"/>
          <w:lang w:val="en-US" w:eastAsia="es-ES"/>
        </w:rPr>
        <w:t>.</w:t>
      </w:r>
    </w:p>
  </w:footnote>
  <w:footnote w:id="12">
    <w:p w14:paraId="122325EA" w14:textId="57749B9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The brief presented an analysis of the alleged international responsibility of the State of Nicaragua owing to the failure to comply with its obligation to ensure the rights to personal integrity, dignity, privacy and autonomy, equality before the law and the principle of non-discrimination, taking into consideration the special protection of the child, and the absence of due diligence in the investigation within a reasonable time.</w:t>
      </w:r>
    </w:p>
  </w:footnote>
  <w:footnote w:id="13">
    <w:p w14:paraId="69723CF9" w14:textId="1A9BD69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s-CR"/>
        </w:rPr>
        <w:t xml:space="preserve"> </w:t>
      </w:r>
      <w:r w:rsidRPr="00AC57EA">
        <w:rPr>
          <w:sz w:val="16"/>
          <w:szCs w:val="16"/>
          <w:lang w:val="es-CR"/>
        </w:rPr>
        <w:tab/>
        <w:t xml:space="preserve">The brief was signed by Ana María Arboleda, Anamaría Sánchez Quintero, David Cujar Bermúdez, María Valentina Díaz Gómez and Diego Alejandro Moreno Baquero. </w:t>
      </w:r>
      <w:r w:rsidRPr="00AC57EA">
        <w:rPr>
          <w:sz w:val="16"/>
          <w:szCs w:val="16"/>
          <w:lang w:val="en-US"/>
        </w:rPr>
        <w:t>It presented a comparative study of common elements of the domestic laws of several States Parties to the American Convention that have been used to provide care for child victims of sexual violence, and that were developed and implemented with the support of UNICEF, in order to guide the Court on the customary standards that have been applied in the protection of the rights of this vulnerable population. It also referred to the context of sexual violence in Latin America and the Caribbean.</w:t>
      </w:r>
    </w:p>
  </w:footnote>
  <w:footnote w:id="14">
    <w:p w14:paraId="5E9A1AC9" w14:textId="3C74FEFD" w:rsidR="003C0AC1" w:rsidRPr="00AC57EA" w:rsidRDefault="003C0AC1" w:rsidP="00AC57EA">
      <w:pPr>
        <w:pStyle w:val="Textonotapie"/>
        <w:tabs>
          <w:tab w:val="left" w:pos="540"/>
        </w:tabs>
        <w:spacing w:after="60"/>
        <w:rPr>
          <w:sz w:val="16"/>
          <w:szCs w:val="16"/>
          <w:lang w:val="en-US"/>
        </w:rPr>
      </w:pPr>
      <w:r w:rsidRPr="00AC57EA">
        <w:rPr>
          <w:sz w:val="16"/>
          <w:szCs w:val="16"/>
          <w:vertAlign w:val="superscript"/>
          <w:lang w:val="en-US"/>
        </w:rPr>
        <w:footnoteRef/>
      </w:r>
      <w:r w:rsidRPr="00AC57EA">
        <w:rPr>
          <w:sz w:val="16"/>
          <w:szCs w:val="16"/>
          <w:lang w:val="en-US"/>
        </w:rPr>
        <w:t xml:space="preserve"> </w:t>
      </w:r>
      <w:r w:rsidRPr="00AC57EA">
        <w:rPr>
          <w:sz w:val="16"/>
          <w:szCs w:val="16"/>
          <w:lang w:val="en-US"/>
        </w:rPr>
        <w:tab/>
        <w:t xml:space="preserve">In its final arguments, the State presented a series of observations on the </w:t>
      </w:r>
      <w:r w:rsidRPr="00AC57EA">
        <w:rPr>
          <w:i/>
          <w:sz w:val="16"/>
          <w:szCs w:val="16"/>
          <w:lang w:val="en-US"/>
        </w:rPr>
        <w:t>amici curiae</w:t>
      </w:r>
      <w:r w:rsidRPr="00AC57EA">
        <w:rPr>
          <w:sz w:val="16"/>
          <w:szCs w:val="16"/>
          <w:lang w:val="en-US"/>
        </w:rPr>
        <w:t xml:space="preserve"> and asked the Court not to take them into account because they were biased opinions and had not been forwarded with sufficient notice. The Court notes that, according to Article 2(3) of the Rules of Procedure, the person who submits an </w:t>
      </w:r>
      <w:r w:rsidRPr="00AC57EA">
        <w:rPr>
          <w:i/>
          <w:sz w:val="16"/>
          <w:szCs w:val="16"/>
          <w:lang w:val="en-US"/>
        </w:rPr>
        <w:t>amicus curiae</w:t>
      </w:r>
      <w:r w:rsidRPr="00AC57EA">
        <w:rPr>
          <w:sz w:val="16"/>
          <w:szCs w:val="16"/>
          <w:lang w:val="en-US"/>
        </w:rPr>
        <w:t xml:space="preserve"> is a person or institution “unrelated to the case and to the proceedings before the Court” – in other words, they are not a procedural party – in order to offer “reasoned arguments on the facts contained in the presentation of the case or legal considerations on the subject-matter of the proceedings.” Because it is not incumbent on the Court to rule on whether or not the content of such briefs is correct or on requests or petitions contained in them, the State’s observations do not affect the admissibility of the </w:t>
      </w:r>
      <w:r w:rsidRPr="00AC57EA">
        <w:rPr>
          <w:i/>
          <w:sz w:val="16"/>
          <w:szCs w:val="16"/>
          <w:lang w:val="en-US"/>
        </w:rPr>
        <w:t>amici curiae</w:t>
      </w:r>
      <w:r w:rsidRPr="00AC57EA">
        <w:rPr>
          <w:sz w:val="16"/>
          <w:szCs w:val="16"/>
          <w:lang w:val="en-US"/>
        </w:rPr>
        <w:t xml:space="preserve">, without prejudice to the eventual relevance of such observations when assessing the information provided in them. </w:t>
      </w:r>
      <w:r w:rsidRPr="00AC57EA">
        <w:rPr>
          <w:i/>
          <w:sz w:val="16"/>
          <w:szCs w:val="16"/>
          <w:lang w:val="en-US"/>
        </w:rPr>
        <w:t>Cf. Case of Expelled Dominicans and Haitians v. Dominican Republic. Preliminary objections, merits, reparations and costs.</w:t>
      </w:r>
      <w:r w:rsidRPr="00AC57EA">
        <w:rPr>
          <w:sz w:val="16"/>
          <w:szCs w:val="16"/>
          <w:lang w:val="en-US"/>
        </w:rPr>
        <w:t xml:space="preserve"> Judgment of August 28, 2014. Series C No. 282, para. 15, and </w:t>
      </w:r>
      <w:r w:rsidRPr="00AC57EA">
        <w:rPr>
          <w:i/>
          <w:sz w:val="16"/>
          <w:szCs w:val="16"/>
          <w:lang w:val="en-US"/>
        </w:rPr>
        <w:t>Case of Acosta et al. v. Nicaragua. Preliminary objections, merits, reparations and costs.</w:t>
      </w:r>
      <w:r w:rsidRPr="00AC57EA">
        <w:rPr>
          <w:sz w:val="16"/>
          <w:szCs w:val="16"/>
          <w:lang w:val="en-US"/>
        </w:rPr>
        <w:t xml:space="preserve"> Judgment of March 25, 2017. Series C No. 334, footnote 11.</w:t>
      </w:r>
    </w:p>
  </w:footnote>
  <w:footnote w:id="15">
    <w:p w14:paraId="5902744C" w14:textId="0699C3A6" w:rsidR="003C0AC1" w:rsidRPr="00AC57EA" w:rsidRDefault="003C0AC1" w:rsidP="00AC57EA">
      <w:pPr>
        <w:pStyle w:val="Textonotapie"/>
        <w:tabs>
          <w:tab w:val="left" w:pos="540"/>
        </w:tabs>
        <w:spacing w:after="60"/>
        <w:rPr>
          <w:rFonts w:eastAsia="Time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On January 4,</w:t>
      </w:r>
      <w:r w:rsidRPr="00AC57EA">
        <w:rPr>
          <w:rFonts w:eastAsia="Times"/>
          <w:sz w:val="16"/>
          <w:szCs w:val="16"/>
          <w:lang w:val="en-US"/>
        </w:rPr>
        <w:t xml:space="preserve"> 2018, the State indicated its discrepancy with “the decisions taken in the [Secretariat] note” with regard to the helpful evidence requested of the State, as well as the request </w:t>
      </w:r>
      <w:r w:rsidRPr="00AC57EA">
        <w:rPr>
          <w:sz w:val="16"/>
          <w:szCs w:val="16"/>
          <w:lang w:val="en-US"/>
        </w:rPr>
        <w:t>to the Commission and the representatives</w:t>
      </w:r>
      <w:r w:rsidRPr="00AC57EA">
        <w:rPr>
          <w:rFonts w:eastAsia="Times"/>
          <w:sz w:val="16"/>
          <w:szCs w:val="16"/>
          <w:lang w:val="en-US"/>
        </w:rPr>
        <w:t xml:space="preserve"> for </w:t>
      </w:r>
      <w:r w:rsidRPr="00AC57EA">
        <w:rPr>
          <w:sz w:val="16"/>
          <w:szCs w:val="16"/>
          <w:lang w:val="en-US"/>
        </w:rPr>
        <w:t>observations on this evidence. On January 10, 2018, on the instructions of the President of the Court, the State was advised that the Court had not opened a new adversarial stage; rather, based on its own Rules of Procedure, it considered it pertinent to ask the State to provide helpful evidence, since it was the State who was able to provide it. The request made to the State for this evidence did not result in procedural imbalance; to the contrary, it allowed the Court to have the most evidence possible when taking a decision and, in any case, it gave the State the opportunity to present additional evidence to substantiate its final arguments, because the State had “not provided supporting evidence.” When forwarding the said documentation, the State was able to refer to it and to present the pertinent clarifications and explanations – as it did in its communications of December 5 and 15, 2017. The request for observations was made exclusively with regard to the helpful evidence sent by the State; in other words, it constituted an opportunity to contest, challenge or question the authenticity of the documents provided. Consequently, it could not be classified as a new procedural opportunity to submit arguments on the merits of the case. The Court would not take into account any arguments presented by</w:t>
      </w:r>
      <w:r w:rsidRPr="00AC57EA">
        <w:rPr>
          <w:rFonts w:eastAsia="Times"/>
          <w:sz w:val="16"/>
          <w:szCs w:val="16"/>
          <w:lang w:val="en-US"/>
        </w:rPr>
        <w:t xml:space="preserve"> </w:t>
      </w:r>
      <w:r w:rsidRPr="00AC57EA">
        <w:rPr>
          <w:sz w:val="16"/>
          <w:szCs w:val="16"/>
          <w:lang w:val="en-US"/>
        </w:rPr>
        <w:t>the representatives that went beyond what had been requested.</w:t>
      </w:r>
    </w:p>
  </w:footnote>
  <w:footnote w:id="16">
    <w:p w14:paraId="02212F06" w14:textId="4AD23E1E" w:rsidR="003C0AC1" w:rsidRPr="00AC57EA" w:rsidRDefault="003C0AC1" w:rsidP="00AC57EA">
      <w:pPr>
        <w:tabs>
          <w:tab w:val="left" w:pos="540"/>
        </w:tabs>
        <w:spacing w:after="60" w:line="240" w:lineRule="auto"/>
        <w:rPr>
          <w:i/>
          <w:color w:val="000000" w:themeColor="text1"/>
          <w:sz w:val="16"/>
          <w:szCs w:val="16"/>
          <w:lang w:val="en-US" w:eastAsia="en-US"/>
        </w:rPr>
      </w:pPr>
      <w:r w:rsidRPr="00AC57EA">
        <w:rPr>
          <w:rStyle w:val="Refdenotaalpie"/>
          <w:rFonts w:cs="Times"/>
          <w:sz w:val="16"/>
          <w:szCs w:val="16"/>
          <w:lang w:val="en-US"/>
        </w:rPr>
        <w:footnoteRef/>
      </w:r>
      <w:r w:rsidRPr="00AC57EA">
        <w:rPr>
          <w:sz w:val="16"/>
          <w:szCs w:val="16"/>
        </w:rPr>
        <w:tab/>
      </w:r>
      <w:r w:rsidRPr="00AC57EA">
        <w:rPr>
          <w:i/>
          <w:color w:val="000000" w:themeColor="text1"/>
          <w:sz w:val="16"/>
          <w:szCs w:val="16"/>
          <w:lang w:eastAsia="en-US"/>
        </w:rPr>
        <w:t xml:space="preserve">Cf. Case of Velásquez Rodríguez v. Honduras. </w:t>
      </w:r>
      <w:r w:rsidRPr="00AC57EA">
        <w:rPr>
          <w:i/>
          <w:color w:val="000000" w:themeColor="text1"/>
          <w:sz w:val="16"/>
          <w:szCs w:val="16"/>
          <w:lang w:val="en-US" w:eastAsia="en-US"/>
        </w:rPr>
        <w:t xml:space="preserve">Merits. </w:t>
      </w:r>
      <w:r w:rsidRPr="00AC57EA">
        <w:rPr>
          <w:color w:val="000000" w:themeColor="text1"/>
          <w:sz w:val="16"/>
          <w:szCs w:val="16"/>
          <w:lang w:val="en-US" w:eastAsia="en-US"/>
        </w:rPr>
        <w:t xml:space="preserve">Judgment of July 29, 1988. Series C No. 4, paras. 61 and 63, and </w:t>
      </w:r>
      <w:r w:rsidRPr="00AC57EA">
        <w:rPr>
          <w:i/>
          <w:color w:val="000000" w:themeColor="text1"/>
          <w:sz w:val="16"/>
          <w:szCs w:val="16"/>
          <w:lang w:val="en-US" w:eastAsia="en-US"/>
        </w:rPr>
        <w:t xml:space="preserve">Case of Dismissed Employees of PetroPerú et al. v. Peru. Preliminary objections, merits, reparations and costs. </w:t>
      </w:r>
      <w:r w:rsidRPr="00AC57EA">
        <w:rPr>
          <w:color w:val="000000" w:themeColor="text1"/>
          <w:sz w:val="16"/>
          <w:szCs w:val="16"/>
          <w:lang w:val="en-US" w:eastAsia="en-US"/>
        </w:rPr>
        <w:t>Judgment of November 23, 2017. Series C No. 344, paras. 27 and 32.</w:t>
      </w:r>
    </w:p>
  </w:footnote>
  <w:footnote w:id="17">
    <w:p w14:paraId="4E6AFDD5" w14:textId="33BD6424"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color w:val="000000" w:themeColor="text1"/>
          <w:sz w:val="16"/>
          <w:szCs w:val="16"/>
          <w:lang w:val="en-US"/>
        </w:rPr>
        <w:t xml:space="preserve">Cf. Case of Velásquez Rodríguez v. Honduras. </w:t>
      </w:r>
      <w:r w:rsidRPr="00AC57EA">
        <w:rPr>
          <w:i/>
          <w:color w:val="000000" w:themeColor="text1"/>
          <w:sz w:val="16"/>
          <w:szCs w:val="16"/>
          <w:lang w:val="en-US"/>
        </w:rPr>
        <w:t xml:space="preserve">Preliminary objections. </w:t>
      </w:r>
      <w:r w:rsidRPr="00AC57EA">
        <w:rPr>
          <w:color w:val="000000" w:themeColor="text1"/>
          <w:sz w:val="16"/>
          <w:szCs w:val="16"/>
          <w:lang w:val="en-US"/>
        </w:rPr>
        <w:t>Judgment of June 26, 1987. Series C No. 1, para. 88;</w:t>
      </w:r>
      <w:r w:rsidRPr="00AC57EA">
        <w:rPr>
          <w:i/>
          <w:color w:val="000000" w:themeColor="text1"/>
          <w:sz w:val="16"/>
          <w:szCs w:val="16"/>
          <w:lang w:val="en-US"/>
        </w:rPr>
        <w:t xml:space="preserve"> Case of Mémoli v. Argentina. Preliminary objections, merits, reparations and costs. </w:t>
      </w:r>
      <w:r w:rsidRPr="00AC57EA">
        <w:rPr>
          <w:color w:val="000000" w:themeColor="text1"/>
          <w:sz w:val="16"/>
          <w:szCs w:val="16"/>
          <w:lang w:val="en-US"/>
        </w:rPr>
        <w:t>Judgment of August 22, 2013. Series C No. 265, para. 47</w:t>
      </w:r>
      <w:r w:rsidRPr="00AC57EA">
        <w:rPr>
          <w:i/>
          <w:color w:val="000000" w:themeColor="text1"/>
          <w:sz w:val="16"/>
          <w:szCs w:val="16"/>
          <w:lang w:val="en-US"/>
        </w:rPr>
        <w:t xml:space="preserve">, and Case of Zegarra Marín v. Peru. Preliminary objections, merits, reparations and costs. </w:t>
      </w:r>
      <w:r w:rsidRPr="00AC57EA">
        <w:rPr>
          <w:color w:val="000000" w:themeColor="text1"/>
          <w:sz w:val="16"/>
          <w:szCs w:val="16"/>
          <w:lang w:val="en-US"/>
        </w:rPr>
        <w:t>Judgment of February 15, 2017. Series C No. 331, para. 21.</w:t>
      </w:r>
    </w:p>
  </w:footnote>
  <w:footnote w:id="18">
    <w:p w14:paraId="7998AB71" w14:textId="59A0DEB0" w:rsidR="003C0AC1" w:rsidRPr="00AC57EA" w:rsidRDefault="003C0AC1" w:rsidP="00AC57EA">
      <w:pPr>
        <w:pStyle w:val="Textonotapie"/>
        <w:tabs>
          <w:tab w:val="left" w:pos="540"/>
          <w:tab w:val="left" w:pos="709"/>
        </w:tabs>
        <w:spacing w:after="60"/>
        <w:rPr>
          <w:bCs/>
          <w:sz w:val="16"/>
          <w:szCs w:val="16"/>
          <w:shd w:val="clear" w:color="auto" w:fill="FFFFFF"/>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sz w:val="16"/>
          <w:szCs w:val="16"/>
          <w:lang w:val="en-US"/>
        </w:rPr>
        <w:t>Cf.</w:t>
      </w:r>
      <w:r w:rsidRPr="00D22834">
        <w:rPr>
          <w:sz w:val="16"/>
          <w:szCs w:val="16"/>
          <w:lang w:val="en-US"/>
        </w:rPr>
        <w:t xml:space="preserve"> </w:t>
      </w:r>
      <w:r w:rsidRPr="00D22834">
        <w:rPr>
          <w:rStyle w:val="Textoennegrita"/>
          <w:b w:val="0"/>
          <w:i/>
          <w:sz w:val="16"/>
          <w:szCs w:val="16"/>
          <w:shd w:val="clear" w:color="auto" w:fill="FFFFFF"/>
          <w:lang w:val="en-US"/>
        </w:rPr>
        <w:t xml:space="preserve">Case of Gonzales Lluy et al. v. Ecuador. </w:t>
      </w:r>
      <w:r w:rsidRPr="00AC57EA">
        <w:rPr>
          <w:rStyle w:val="Textoennegrita"/>
          <w:b w:val="0"/>
          <w:i/>
          <w:sz w:val="16"/>
          <w:szCs w:val="16"/>
          <w:shd w:val="clear" w:color="auto" w:fill="FFFFFF"/>
          <w:lang w:val="en-US"/>
        </w:rPr>
        <w:t>Preliminary objections, merits, reparations and costs</w:t>
      </w:r>
      <w:r w:rsidRPr="00AC57EA">
        <w:rPr>
          <w:rStyle w:val="Textoennegrita"/>
          <w:b w:val="0"/>
          <w:sz w:val="16"/>
          <w:szCs w:val="16"/>
          <w:shd w:val="clear" w:color="auto" w:fill="FFFFFF"/>
          <w:lang w:val="en-US"/>
        </w:rPr>
        <w:t xml:space="preserve">. Judgment of September 1, 2015. Series C No. 298, para. 28, and </w:t>
      </w:r>
      <w:r w:rsidRPr="00AC57EA">
        <w:rPr>
          <w:bCs/>
          <w:i/>
          <w:sz w:val="16"/>
          <w:szCs w:val="16"/>
          <w:shd w:val="clear" w:color="auto" w:fill="FFFFFF"/>
          <w:lang w:val="en-US"/>
        </w:rPr>
        <w:t>Case of Favela Nova Brasilia v. Brazil. Preliminary objections, merits, reparations and costs.</w:t>
      </w:r>
      <w:r w:rsidRPr="00AC57EA">
        <w:rPr>
          <w:bCs/>
          <w:sz w:val="16"/>
          <w:szCs w:val="16"/>
          <w:shd w:val="clear" w:color="auto" w:fill="FFFFFF"/>
          <w:lang w:val="en-US"/>
        </w:rPr>
        <w:t xml:space="preserve"> Judgment of February 16, 2017. Series C No. 333, para. 78.</w:t>
      </w:r>
    </w:p>
  </w:footnote>
  <w:footnote w:id="19">
    <w:p w14:paraId="70F610CC" w14:textId="37587231"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t>
      </w:r>
      <w:r w:rsidRPr="00AC57EA">
        <w:rPr>
          <w:i/>
          <w:sz w:val="16"/>
          <w:szCs w:val="16"/>
          <w:lang w:val="en-US"/>
        </w:rPr>
        <w:t>Case of Reverón Trujillo v. Venezuela. Preliminary objection, merits, reparations and costs</w:t>
      </w:r>
      <w:r w:rsidRPr="00AC57EA">
        <w:rPr>
          <w:sz w:val="16"/>
          <w:szCs w:val="16"/>
          <w:lang w:val="en-US"/>
        </w:rPr>
        <w:t xml:space="preserve">. Judgment of June 30, 2009. Series C No. 197, para. 23, and </w:t>
      </w:r>
      <w:r w:rsidRPr="00AC57EA">
        <w:rPr>
          <w:i/>
          <w:sz w:val="16"/>
          <w:szCs w:val="16"/>
          <w:lang w:val="en-US"/>
        </w:rPr>
        <w:t>Case of Dismissed Employees of PetroPerú et al. v. Peru, supra</w:t>
      </w:r>
      <w:r w:rsidRPr="00AC57EA">
        <w:rPr>
          <w:sz w:val="16"/>
          <w:szCs w:val="16"/>
          <w:lang w:val="en-US"/>
        </w:rPr>
        <w:t>, paras. 27 and 33</w:t>
      </w:r>
      <w:r w:rsidRPr="00AC57EA">
        <w:rPr>
          <w:i/>
          <w:sz w:val="16"/>
          <w:szCs w:val="16"/>
          <w:lang w:val="en-US"/>
        </w:rPr>
        <w:t>.</w:t>
      </w:r>
    </w:p>
  </w:footnote>
  <w:footnote w:id="20">
    <w:p w14:paraId="2AEF60F7" w14:textId="56F4172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cs="Verdana,Italic"/>
          <w:iCs/>
          <w:sz w:val="16"/>
          <w:szCs w:val="16"/>
          <w:lang w:val="en-US" w:eastAsia="en-US"/>
        </w:rPr>
        <w:t xml:space="preserve">On February 11, 2005, the State forwarded its initial response which did not mention the matter of the exhaustion of domestic remedies. </w:t>
      </w:r>
      <w:r w:rsidRPr="00AC57EA">
        <w:rPr>
          <w:i/>
          <w:sz w:val="16"/>
          <w:szCs w:val="16"/>
          <w:lang w:val="en-US"/>
        </w:rPr>
        <w:t xml:space="preserve">Cf. </w:t>
      </w:r>
      <w:r w:rsidRPr="00AC57EA">
        <w:rPr>
          <w:rFonts w:cs="Arial"/>
          <w:sz w:val="16"/>
          <w:szCs w:val="16"/>
          <w:lang w:val="en-US" w:eastAsia="en-US"/>
        </w:rPr>
        <w:t xml:space="preserve">Report MRE/DM-DGOI/196/02/05 </w:t>
      </w:r>
      <w:r w:rsidRPr="00AC57EA">
        <w:rPr>
          <w:sz w:val="16"/>
          <w:szCs w:val="16"/>
          <w:lang w:val="en-US" w:eastAsia="en-US"/>
        </w:rPr>
        <w:t>of February 9, 2005, received on February 11, 2005, by the Inter-American Commission (file of procedure before the Commission, volume VIII, folios 3229 to 3234)</w:t>
      </w:r>
      <w:r w:rsidRPr="00AC57EA">
        <w:rPr>
          <w:rFonts w:cs="Verdana,Italic"/>
          <w:iCs/>
          <w:sz w:val="16"/>
          <w:szCs w:val="16"/>
          <w:lang w:val="en-US" w:eastAsia="en-US"/>
        </w:rPr>
        <w:t>.</w:t>
      </w:r>
    </w:p>
  </w:footnote>
  <w:footnote w:id="21">
    <w:p w14:paraId="3C67AB23" w14:textId="6BD1F50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iCs/>
          <w:sz w:val="16"/>
          <w:szCs w:val="16"/>
          <w:lang w:val="en-US"/>
        </w:rPr>
        <w:t>Addendum to</w:t>
      </w:r>
      <w:r w:rsidRPr="00AC57EA">
        <w:rPr>
          <w:rFonts w:cs="Arial"/>
          <w:sz w:val="16"/>
          <w:szCs w:val="16"/>
          <w:lang w:val="en-US" w:eastAsia="en-US"/>
        </w:rPr>
        <w:t xml:space="preserve"> Report MRE/DM-DGOI/196/02/05 </w:t>
      </w:r>
      <w:r w:rsidRPr="00AC57EA">
        <w:rPr>
          <w:sz w:val="16"/>
          <w:szCs w:val="16"/>
          <w:lang w:val="en-US" w:eastAsia="en-US"/>
        </w:rPr>
        <w:t>of February 14, 2005, received on February 16, 2005, by the Inter-American Commission (file of procedure before the Commission, volume VIII, folios 3237 to 3242)</w:t>
      </w:r>
      <w:r w:rsidRPr="00AC57EA">
        <w:rPr>
          <w:rFonts w:cs="Verdana,Italic"/>
          <w:iCs/>
          <w:sz w:val="16"/>
          <w:szCs w:val="16"/>
          <w:lang w:val="en-US" w:eastAsia="en-US"/>
        </w:rPr>
        <w:t>.</w:t>
      </w:r>
    </w:p>
  </w:footnote>
  <w:footnote w:id="22">
    <w:p w14:paraId="701D3B86" w14:textId="3401775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iCs/>
          <w:sz w:val="16"/>
          <w:szCs w:val="16"/>
          <w:lang w:val="en-US"/>
        </w:rPr>
        <w:t>Addendum to</w:t>
      </w:r>
      <w:r w:rsidRPr="00AC57EA">
        <w:rPr>
          <w:rFonts w:cs="Arial"/>
          <w:sz w:val="16"/>
          <w:szCs w:val="16"/>
          <w:lang w:val="en-US" w:eastAsia="en-US"/>
        </w:rPr>
        <w:t xml:space="preserve"> Report MRE/DM-DGOI/196/02/05 </w:t>
      </w:r>
      <w:r w:rsidRPr="00AC57EA">
        <w:rPr>
          <w:sz w:val="16"/>
          <w:szCs w:val="16"/>
          <w:lang w:val="en-US" w:eastAsia="en-US"/>
        </w:rPr>
        <w:t>of February 14, 2005, received on February 16, 2005, by the Inter-American Commission (file of procedure before the Commission, volume VIII, folios 3237 to 3242)</w:t>
      </w:r>
      <w:r w:rsidRPr="00AC57EA">
        <w:rPr>
          <w:rFonts w:cs="Verdana,Italic"/>
          <w:iCs/>
          <w:sz w:val="16"/>
          <w:szCs w:val="16"/>
          <w:lang w:val="en-US" w:eastAsia="en-US"/>
        </w:rPr>
        <w:t>.</w:t>
      </w:r>
    </w:p>
  </w:footnote>
  <w:footnote w:id="23">
    <w:p w14:paraId="2C816D68" w14:textId="19AA9597" w:rsidR="003C0AC1" w:rsidRPr="00AC57EA" w:rsidRDefault="003C0AC1" w:rsidP="00AC57EA">
      <w:pPr>
        <w:pStyle w:val="Textonotapie"/>
        <w:tabs>
          <w:tab w:val="left" w:pos="0"/>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IACHR,</w:t>
      </w:r>
      <w:r w:rsidRPr="00AC57EA">
        <w:rPr>
          <w:i/>
          <w:sz w:val="16"/>
          <w:szCs w:val="16"/>
          <w:lang w:val="en-US"/>
        </w:rPr>
        <w:t xml:space="preserve"> </w:t>
      </w:r>
      <w:r w:rsidRPr="00AC57EA">
        <w:rPr>
          <w:rFonts w:cs="Verdana"/>
          <w:sz w:val="16"/>
          <w:szCs w:val="16"/>
          <w:lang w:val="en-US"/>
        </w:rPr>
        <w:t>Admissibility Report No. 3/09, Petition 4408-02. Case of V.R.P. and V.P.C. v. Nicaragua, February 11, 2009</w:t>
      </w:r>
      <w:r w:rsidRPr="00AC57EA">
        <w:rPr>
          <w:sz w:val="16"/>
          <w:szCs w:val="16"/>
          <w:lang w:val="en-US"/>
        </w:rPr>
        <w:t>, paras. 42 and 43 (file of procedure before the Commission, volume XI, folios 4657 to 4669).</w:t>
      </w:r>
    </w:p>
  </w:footnote>
  <w:footnote w:id="24">
    <w:p w14:paraId="7C4EEDA5" w14:textId="19390448"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eastAsia="Verdana" w:cs="Verdana"/>
          <w:i/>
          <w:sz w:val="16"/>
          <w:szCs w:val="16"/>
          <w:lang w:val="en-US"/>
        </w:rPr>
        <w:t xml:space="preserve">Cf. Case of Wong Ho Wing v. Peru. Preliminary objection, merits, reparations and costs. </w:t>
      </w:r>
      <w:r w:rsidRPr="00AC57EA">
        <w:rPr>
          <w:rFonts w:eastAsia="Verdana" w:cs="Verdana"/>
          <w:sz w:val="16"/>
          <w:szCs w:val="16"/>
          <w:lang w:val="en-US"/>
        </w:rPr>
        <w:t>Judgment of June 30, 2015. Series C No. 297,</w:t>
      </w:r>
      <w:r w:rsidRPr="00AC57EA">
        <w:rPr>
          <w:rFonts w:eastAsia="Verdana" w:cs="Verdana"/>
          <w:i/>
          <w:sz w:val="16"/>
          <w:szCs w:val="16"/>
          <w:lang w:val="en-US"/>
        </w:rPr>
        <w:t xml:space="preserve"> </w:t>
      </w:r>
      <w:r w:rsidRPr="00AC57EA">
        <w:rPr>
          <w:rFonts w:eastAsia="Verdana" w:cs="Verdana"/>
          <w:sz w:val="16"/>
          <w:szCs w:val="16"/>
          <w:lang w:val="en-US"/>
        </w:rPr>
        <w:t>para. 25</w:t>
      </w:r>
      <w:r w:rsidRPr="00AC57EA">
        <w:rPr>
          <w:color w:val="000000" w:themeColor="text1"/>
          <w:sz w:val="16"/>
          <w:szCs w:val="16"/>
          <w:lang w:val="en-US"/>
        </w:rPr>
        <w:t xml:space="preserve">, and </w:t>
      </w:r>
      <w:r w:rsidRPr="00AC57EA">
        <w:rPr>
          <w:i/>
          <w:color w:val="000000" w:themeColor="text1"/>
          <w:sz w:val="16"/>
          <w:szCs w:val="16"/>
          <w:lang w:val="en-US"/>
        </w:rPr>
        <w:t>Case of Favela Nova Brasilia v. Brazil, supra</w:t>
      </w:r>
      <w:r w:rsidRPr="00AC57EA">
        <w:rPr>
          <w:color w:val="000000" w:themeColor="text1"/>
          <w:sz w:val="16"/>
          <w:szCs w:val="16"/>
          <w:lang w:val="en-US"/>
        </w:rPr>
        <w:t>, para. 85.</w:t>
      </w:r>
    </w:p>
  </w:footnote>
  <w:footnote w:id="25">
    <w:p w14:paraId="7AFFBBFD" w14:textId="6FC056F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i/>
          <w:sz w:val="16"/>
          <w:szCs w:val="16"/>
          <w:lang w:val="en-US"/>
        </w:rPr>
        <w:t xml:space="preserve"> </w:t>
      </w:r>
      <w:r w:rsidRPr="00AC57EA">
        <w:rPr>
          <w:i/>
          <w:sz w:val="16"/>
          <w:szCs w:val="16"/>
          <w:lang w:val="en-US"/>
        </w:rPr>
        <w:tab/>
        <w:t>Cf.,</w:t>
      </w:r>
      <w:r w:rsidRPr="00AC57EA">
        <w:rPr>
          <w:sz w:val="16"/>
          <w:szCs w:val="16"/>
          <w:lang w:val="en-US"/>
        </w:rPr>
        <w:t xml:space="preserve"> </w:t>
      </w:r>
      <w:r w:rsidRPr="00AC57EA">
        <w:rPr>
          <w:i/>
          <w:sz w:val="16"/>
          <w:szCs w:val="16"/>
          <w:lang w:val="en-US"/>
        </w:rPr>
        <w:t>mutatis mutandi</w:t>
      </w:r>
      <w:r w:rsidRPr="00AC57EA">
        <w:rPr>
          <w:sz w:val="16"/>
          <w:szCs w:val="16"/>
          <w:lang w:val="en-US"/>
        </w:rPr>
        <w:t xml:space="preserve">, </w:t>
      </w:r>
      <w:r w:rsidRPr="00AC57EA">
        <w:rPr>
          <w:rFonts w:cs="Courier New"/>
          <w:i/>
          <w:sz w:val="16"/>
          <w:szCs w:val="16"/>
          <w:lang w:val="en-US"/>
        </w:rPr>
        <w:t>Case of Duque v. Colombia. Preliminary objections, merits, reparations and costs</w:t>
      </w:r>
      <w:r w:rsidRPr="00AC57EA">
        <w:rPr>
          <w:rFonts w:cs="Courier New"/>
          <w:sz w:val="16"/>
          <w:szCs w:val="16"/>
          <w:lang w:val="en-US"/>
        </w:rPr>
        <w:t>. Judgment of February 26, 2016. Series C No. 310, para. 41.</w:t>
      </w:r>
    </w:p>
  </w:footnote>
  <w:footnote w:id="26">
    <w:p w14:paraId="3FDBCC3A" w14:textId="7E0A2F79" w:rsidR="003C0AC1" w:rsidRPr="00AC57EA" w:rsidRDefault="003C0AC1" w:rsidP="00AC57EA">
      <w:pPr>
        <w:pStyle w:val="Textonotapie"/>
        <w:tabs>
          <w:tab w:val="left" w:pos="540"/>
          <w:tab w:val="left" w:pos="342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Article 55 of the American Convention on Human Rights.</w:t>
      </w:r>
      <w:r w:rsidRPr="00AC57EA">
        <w:rPr>
          <w:sz w:val="16"/>
          <w:szCs w:val="16"/>
          <w:lang w:val="en-US"/>
        </w:rPr>
        <w:t xml:space="preserve"> Advisory Opinion OC-20/09 of September 29, 2009. Series A No. 20, para. 32.</w:t>
      </w:r>
    </w:p>
  </w:footnote>
  <w:footnote w:id="27">
    <w:p w14:paraId="6E369586" w14:textId="14C04FD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Article 45 establishes that: “1. </w:t>
      </w:r>
      <w:r w:rsidRPr="00AC57EA">
        <w:rPr>
          <w:snapToGrid w:val="0"/>
          <w:spacing w:val="-3"/>
          <w:sz w:val="16"/>
          <w:szCs w:val="16"/>
          <w:lang w:val="en-US"/>
        </w:rPr>
        <w:t>Any State Party may, when it deposits its instrument of ratification of or adherence to this Convention, or at any later time, declare that it recognizes the competence of the Commission to receive and examine communications in which a State Party alleges that another State Party has committed a violation of a human right set forth in this Convention.</w:t>
      </w:r>
      <w:r w:rsidRPr="00AC57EA">
        <w:rPr>
          <w:sz w:val="16"/>
          <w:szCs w:val="16"/>
          <w:lang w:val="en-US"/>
        </w:rPr>
        <w:t>”</w:t>
      </w:r>
    </w:p>
  </w:footnote>
  <w:footnote w:id="28">
    <w:p w14:paraId="3F132852" w14:textId="4E2F9DD3"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Case of the Santo Domingo Massacre v. Colombia. Preliminary objections, merits and reparations. </w:t>
      </w:r>
      <w:r w:rsidRPr="00AC57EA">
        <w:rPr>
          <w:sz w:val="16"/>
          <w:szCs w:val="16"/>
          <w:lang w:val="en-US"/>
        </w:rPr>
        <w:t xml:space="preserve">Judgment of November 30, 2012. Series C No. 259, para. 24, and </w:t>
      </w:r>
      <w:r w:rsidRPr="00AC57EA">
        <w:rPr>
          <w:i/>
          <w:sz w:val="16"/>
          <w:szCs w:val="16"/>
          <w:lang w:val="en-US" w:eastAsia="x-none"/>
        </w:rPr>
        <w:t xml:space="preserve">Case of Vásquez Durand et al. v. Ecuador. Preliminary objections, merits, reparations and costs. </w:t>
      </w:r>
      <w:r w:rsidRPr="00AC57EA">
        <w:rPr>
          <w:sz w:val="16"/>
          <w:szCs w:val="16"/>
          <w:lang w:val="en-US" w:eastAsia="x-none"/>
        </w:rPr>
        <w:t xml:space="preserve">Judgment of February 15, 2017. Series C No. 332, </w:t>
      </w:r>
      <w:r w:rsidRPr="00AC57EA">
        <w:rPr>
          <w:sz w:val="16"/>
          <w:szCs w:val="16"/>
          <w:lang w:val="en-US"/>
        </w:rPr>
        <w:t>para. 30.</w:t>
      </w:r>
    </w:p>
  </w:footnote>
  <w:footnote w:id="29">
    <w:p w14:paraId="5CFEA854" w14:textId="3369ABB7"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t>
      </w:r>
      <w:r w:rsidRPr="00AC57EA">
        <w:rPr>
          <w:i/>
          <w:sz w:val="16"/>
          <w:szCs w:val="16"/>
          <w:lang w:val="en-US"/>
        </w:rPr>
        <w:t>"</w:t>
      </w:r>
      <w:bookmarkStart w:id="58" w:name="_Hlk515969767"/>
      <w:r w:rsidRPr="00AC57EA">
        <w:rPr>
          <w:i/>
          <w:sz w:val="16"/>
          <w:szCs w:val="16"/>
          <w:lang w:val="en-US"/>
        </w:rPr>
        <w:fldChar w:fldCharType="begin"/>
      </w:r>
      <w:r w:rsidRPr="00AC57EA">
        <w:rPr>
          <w:i/>
          <w:sz w:val="16"/>
          <w:szCs w:val="16"/>
          <w:lang w:val="en-US"/>
        </w:rPr>
        <w:instrText xml:space="preserve"> HYPERLINK "http://hrlibrary.umn.edu/iachr/b_11_4a.htm" </w:instrText>
      </w:r>
      <w:r w:rsidRPr="00AC57EA">
        <w:rPr>
          <w:i/>
          <w:sz w:val="16"/>
          <w:szCs w:val="16"/>
          <w:lang w:val="en-US"/>
        </w:rPr>
        <w:fldChar w:fldCharType="separate"/>
      </w:r>
      <w:r w:rsidRPr="00AC57EA">
        <w:rPr>
          <w:i/>
          <w:sz w:val="16"/>
          <w:szCs w:val="16"/>
          <w:lang w:val="en-US"/>
        </w:rPr>
        <w:t>"Other Treaties" Subject to the Advisory Jurisdiction of the Court (Art. 64 American Convention on Human Rights)</w:t>
      </w:r>
      <w:r w:rsidRPr="00AC57EA">
        <w:rPr>
          <w:i/>
          <w:sz w:val="16"/>
          <w:szCs w:val="16"/>
          <w:lang w:val="en-US"/>
        </w:rPr>
        <w:fldChar w:fldCharType="end"/>
      </w:r>
      <w:r w:rsidRPr="00AC57EA">
        <w:rPr>
          <w:i/>
          <w:sz w:val="16"/>
          <w:szCs w:val="16"/>
          <w:lang w:val="en-US"/>
        </w:rPr>
        <w:t xml:space="preserve">, </w:t>
      </w:r>
      <w:bookmarkEnd w:id="58"/>
      <w:r w:rsidRPr="00AC57EA">
        <w:rPr>
          <w:sz w:val="16"/>
          <w:szCs w:val="16"/>
          <w:lang w:val="en-US"/>
        </w:rPr>
        <w:t xml:space="preserve">Advisory Opinion OC-1/82, September 24, 1982. Series A No. 1, </w:t>
      </w:r>
      <w:r w:rsidRPr="00AC57EA">
        <w:rPr>
          <w:rFonts w:eastAsia="Calibri" w:cs="Verdana"/>
          <w:sz w:val="16"/>
          <w:szCs w:val="16"/>
          <w:lang w:val="en-US" w:eastAsia="en-US"/>
        </w:rPr>
        <w:t>para. 41.</w:t>
      </w:r>
    </w:p>
  </w:footnote>
  <w:footnote w:id="30">
    <w:p w14:paraId="31657EC7" w14:textId="71E2630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Nicaragua ratified the Convention on the Rights of the Child on October 5, 1990.</w:t>
      </w:r>
    </w:p>
  </w:footnote>
  <w:footnote w:id="31">
    <w:p w14:paraId="308C96DA" w14:textId="33C5503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bookmarkStart w:id="59" w:name="_Hlk515969922"/>
      <w:bookmarkStart w:id="60" w:name="_Hlk515975227"/>
      <w:r w:rsidRPr="00AC57EA">
        <w:rPr>
          <w:i/>
          <w:sz w:val="16"/>
          <w:szCs w:val="16"/>
          <w:lang w:val="en-US"/>
        </w:rPr>
        <w:fldChar w:fldCharType="begin"/>
      </w:r>
      <w:r w:rsidRPr="00AC57EA">
        <w:rPr>
          <w:i/>
          <w:sz w:val="16"/>
          <w:szCs w:val="16"/>
          <w:lang w:val="en-US"/>
        </w:rPr>
        <w:instrText xml:space="preserve"> HYPERLINK "http://hrlibrary.umn.edu/iachr/series_A_OC-17.html" </w:instrText>
      </w:r>
      <w:r w:rsidRPr="00AC57EA">
        <w:rPr>
          <w:i/>
          <w:sz w:val="16"/>
          <w:szCs w:val="16"/>
          <w:lang w:val="en-US"/>
        </w:rPr>
        <w:fldChar w:fldCharType="separate"/>
      </w:r>
      <w:r w:rsidRPr="00AC57EA">
        <w:rPr>
          <w:i/>
          <w:sz w:val="16"/>
          <w:szCs w:val="16"/>
          <w:lang w:val="en-US"/>
        </w:rPr>
        <w:t>Juridical Status and Human Rights of the Child</w:t>
      </w:r>
      <w:r w:rsidRPr="00AC57EA">
        <w:rPr>
          <w:i/>
          <w:sz w:val="16"/>
          <w:szCs w:val="16"/>
          <w:lang w:val="en-US"/>
        </w:rPr>
        <w:fldChar w:fldCharType="end"/>
      </w:r>
      <w:bookmarkEnd w:id="59"/>
      <w:r w:rsidRPr="00AC57EA">
        <w:rPr>
          <w:i/>
          <w:sz w:val="16"/>
          <w:szCs w:val="16"/>
          <w:lang w:val="en-US"/>
        </w:rPr>
        <w:t xml:space="preserve">, </w:t>
      </w:r>
      <w:bookmarkEnd w:id="60"/>
      <w:r w:rsidRPr="00AC57EA">
        <w:rPr>
          <w:sz w:val="16"/>
          <w:szCs w:val="16"/>
          <w:lang w:val="en-US"/>
        </w:rPr>
        <w:t xml:space="preserve">Advisory Opinion OC-17/02, August 28, 2002. Series A No. 17, para. 29, and </w:t>
      </w:r>
      <w:r w:rsidRPr="00AC57EA">
        <w:rPr>
          <w:bCs/>
          <w:i/>
          <w:sz w:val="16"/>
          <w:szCs w:val="16"/>
          <w:lang w:val="en-US"/>
        </w:rPr>
        <w:t xml:space="preserve">Rights and Guarantees of Children in the Context of Migration and/or in Need of International Protection. </w:t>
      </w:r>
      <w:r w:rsidRPr="00AC57EA">
        <w:rPr>
          <w:bCs/>
          <w:sz w:val="16"/>
          <w:szCs w:val="16"/>
          <w:lang w:val="en-US"/>
        </w:rPr>
        <w:t>Advisory Opinion OC-21/14 of August 19, 2014. Series A No.21</w:t>
      </w:r>
      <w:r w:rsidRPr="00AC57EA">
        <w:rPr>
          <w:rStyle w:val="Textoennegrita"/>
          <w:b w:val="0"/>
          <w:sz w:val="16"/>
          <w:szCs w:val="16"/>
          <w:lang w:val="en-US"/>
        </w:rPr>
        <w:t>, para. 57</w:t>
      </w:r>
      <w:r w:rsidRPr="00AC57EA">
        <w:rPr>
          <w:sz w:val="16"/>
          <w:szCs w:val="16"/>
          <w:lang w:val="en-US"/>
        </w:rPr>
        <w:t>.</w:t>
      </w:r>
    </w:p>
  </w:footnote>
  <w:footnote w:id="32">
    <w:p w14:paraId="1C83F819" w14:textId="5DF1A3D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rStyle w:val="Textoennegrita"/>
          <w:b w:val="0"/>
          <w:i/>
          <w:sz w:val="16"/>
          <w:szCs w:val="16"/>
          <w:lang w:val="en-US"/>
        </w:rPr>
        <w:t>Rights and Guarantees of Children in the Context of Migration and/or in Need of International Protection.</w:t>
      </w:r>
      <w:r w:rsidRPr="00AC57EA">
        <w:rPr>
          <w:rStyle w:val="Textoennegrita"/>
          <w:b w:val="0"/>
          <w:sz w:val="16"/>
          <w:szCs w:val="16"/>
          <w:lang w:val="en-US"/>
        </w:rPr>
        <w:t xml:space="preserve">. Advisory Opinion OC-21/14, </w:t>
      </w:r>
      <w:r w:rsidRPr="00AC57EA">
        <w:rPr>
          <w:rStyle w:val="Textoennegrita"/>
          <w:b w:val="0"/>
          <w:i/>
          <w:sz w:val="16"/>
          <w:szCs w:val="16"/>
          <w:lang w:val="en-US"/>
        </w:rPr>
        <w:t>supra</w:t>
      </w:r>
      <w:r w:rsidRPr="00AC57EA">
        <w:rPr>
          <w:rStyle w:val="Textoennegrita"/>
          <w:b w:val="0"/>
          <w:sz w:val="16"/>
          <w:szCs w:val="16"/>
          <w:lang w:val="en-US"/>
        </w:rPr>
        <w:t>, para. 60.</w:t>
      </w:r>
    </w:p>
  </w:footnote>
  <w:footnote w:id="33">
    <w:p w14:paraId="0DD194D4" w14:textId="40711B4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i/>
          <w:sz w:val="16"/>
          <w:szCs w:val="16"/>
          <w:lang w:val="en-US"/>
        </w:rPr>
        <w:t xml:space="preserve"> </w:t>
      </w:r>
      <w:r w:rsidRPr="00AC57EA">
        <w:rPr>
          <w:i/>
          <w:sz w:val="16"/>
          <w:szCs w:val="16"/>
          <w:lang w:val="en-US"/>
        </w:rPr>
        <w:tab/>
        <w:t>Cf.</w:t>
      </w:r>
      <w:r w:rsidRPr="00AC57EA">
        <w:rPr>
          <w:sz w:val="16"/>
          <w:szCs w:val="16"/>
          <w:lang w:val="en-US"/>
        </w:rPr>
        <w:t xml:space="preserve"> </w:t>
      </w:r>
      <w:r w:rsidRPr="00AC57EA">
        <w:rPr>
          <w:i/>
          <w:sz w:val="16"/>
          <w:szCs w:val="16"/>
          <w:lang w:val="en-US"/>
        </w:rPr>
        <w:t>Case of the “Street Children” (Villagrán Morales et al.) v. Guatemala. Merits.</w:t>
      </w:r>
      <w:r w:rsidRPr="00AC57EA">
        <w:rPr>
          <w:sz w:val="16"/>
          <w:szCs w:val="16"/>
          <w:lang w:val="en-US"/>
        </w:rPr>
        <w:t xml:space="preserve"> Judgment of November 19, 1999. Series C No. 63, para. 194, and </w:t>
      </w:r>
      <w:r w:rsidRPr="00AC57EA">
        <w:rPr>
          <w:i/>
          <w:sz w:val="16"/>
          <w:szCs w:val="16"/>
          <w:lang w:val="en-US"/>
        </w:rPr>
        <w:t xml:space="preserve">Case of Yarce et al. v. Colombia. Preliminary objection, merits, reparations and costs. </w:t>
      </w:r>
      <w:r w:rsidRPr="00AC57EA">
        <w:rPr>
          <w:sz w:val="16"/>
          <w:szCs w:val="16"/>
          <w:lang w:val="en-US"/>
        </w:rPr>
        <w:t>Judgment of November 22, 2016. Series C No. 325, footnote 115</w:t>
      </w:r>
      <w:r w:rsidRPr="00AC57EA">
        <w:rPr>
          <w:i/>
          <w:sz w:val="16"/>
          <w:szCs w:val="16"/>
          <w:lang w:val="en-US"/>
        </w:rPr>
        <w:t>.</w:t>
      </w:r>
    </w:p>
  </w:footnote>
  <w:footnote w:id="34">
    <w:p w14:paraId="1205952D" w14:textId="7B87CAF3" w:rsidR="003C0AC1" w:rsidRPr="00AC57EA" w:rsidRDefault="003C0AC1" w:rsidP="00AC57EA">
      <w:pPr>
        <w:tabs>
          <w:tab w:val="left" w:pos="540"/>
        </w:tabs>
        <w:autoSpaceDE w:val="0"/>
        <w:autoSpaceDN w:val="0"/>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iCs/>
          <w:sz w:val="16"/>
          <w:szCs w:val="16"/>
          <w:lang w:val="en-US"/>
        </w:rPr>
        <w:t xml:space="preserve">Cf. </w:t>
      </w:r>
      <w:r w:rsidRPr="00AC57EA">
        <w:rPr>
          <w:i/>
          <w:sz w:val="16"/>
          <w:szCs w:val="16"/>
          <w:lang w:val="en-US"/>
        </w:rPr>
        <w:t>Case of</w:t>
      </w:r>
      <w:r w:rsidRPr="00AC57EA">
        <w:rPr>
          <w:sz w:val="16"/>
          <w:szCs w:val="16"/>
          <w:lang w:val="en-US"/>
        </w:rPr>
        <w:t xml:space="preserve"> </w:t>
      </w:r>
      <w:r w:rsidRPr="00AC57EA">
        <w:rPr>
          <w:i/>
          <w:sz w:val="16"/>
          <w:szCs w:val="16"/>
          <w:lang w:val="en-US"/>
        </w:rPr>
        <w:t>the Ituango Massacres v. Colombia. Preliminary objection, merits, reparations and costs</w:t>
      </w:r>
      <w:r w:rsidRPr="00AC57EA">
        <w:rPr>
          <w:sz w:val="16"/>
          <w:szCs w:val="16"/>
          <w:lang w:val="en-US"/>
        </w:rPr>
        <w:t xml:space="preserve">. Judgment of July 1, 2006. Series C No. 148, para. 98, and </w:t>
      </w:r>
      <w:r w:rsidRPr="00AC57EA">
        <w:rPr>
          <w:i/>
          <w:sz w:val="16"/>
          <w:szCs w:val="16"/>
          <w:lang w:val="en-US"/>
        </w:rPr>
        <w:t xml:space="preserve">Case of I.V. v. Bolivia. Preliminary objections, merits, reparations and costs. </w:t>
      </w:r>
      <w:r w:rsidRPr="00AC57EA">
        <w:rPr>
          <w:sz w:val="16"/>
          <w:szCs w:val="16"/>
          <w:lang w:val="en-US"/>
        </w:rPr>
        <w:t>Judgment of November 30, 2016. Series C No. 329</w:t>
      </w:r>
      <w:r w:rsidRPr="00AC57EA">
        <w:rPr>
          <w:sz w:val="16"/>
          <w:szCs w:val="16"/>
          <w:lang w:val="en-US" w:eastAsia="x-none"/>
        </w:rPr>
        <w:t>, para. 41</w:t>
      </w:r>
      <w:r w:rsidRPr="00AC57EA">
        <w:rPr>
          <w:i/>
          <w:sz w:val="16"/>
          <w:szCs w:val="16"/>
          <w:lang w:val="en-US" w:eastAsia="x-none"/>
        </w:rPr>
        <w:t>.</w:t>
      </w:r>
    </w:p>
  </w:footnote>
  <w:footnote w:id="35">
    <w:p w14:paraId="7B38942B" w14:textId="788D819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IACHR, Merits Report No. 4/16, para. 153.</w:t>
      </w:r>
    </w:p>
  </w:footnote>
  <w:footnote w:id="36">
    <w:p w14:paraId="449937FF" w14:textId="1037C43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IACHR, Merits Report No. 4/16, para. 154.</w:t>
      </w:r>
    </w:p>
  </w:footnote>
  <w:footnote w:id="37">
    <w:p w14:paraId="45060D93" w14:textId="78CD3308" w:rsidR="003C0AC1" w:rsidRPr="00AC57EA" w:rsidRDefault="003C0AC1" w:rsidP="00AC57EA">
      <w:pPr>
        <w:pStyle w:val="Textonotapie"/>
        <w:tabs>
          <w:tab w:val="left" w:pos="540"/>
        </w:tabs>
        <w:spacing w:after="60"/>
        <w:rPr>
          <w:bCs/>
          <w:iCs/>
          <w:sz w:val="16"/>
          <w:szCs w:val="16"/>
          <w:lang w:val="en-US" w:bidi="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rFonts w:eastAsia="Times"/>
          <w:i/>
          <w:sz w:val="16"/>
          <w:szCs w:val="16"/>
          <w:lang w:val="en-US"/>
        </w:rPr>
        <w:t>Case of the “Five Pensioners” v. Peru. Merits, reparations and costs.</w:t>
      </w:r>
      <w:r w:rsidRPr="00AC57EA">
        <w:rPr>
          <w:rFonts w:eastAsia="Times"/>
          <w:sz w:val="16"/>
          <w:szCs w:val="16"/>
          <w:lang w:val="en-US"/>
        </w:rPr>
        <w:t xml:space="preserve"> Judgment of February 28, 2003. </w:t>
      </w:r>
      <w:r w:rsidRPr="00AC57EA">
        <w:rPr>
          <w:rFonts w:eastAsia="Times"/>
          <w:sz w:val="16"/>
          <w:szCs w:val="16"/>
          <w:lang w:val="es-CR"/>
        </w:rPr>
        <w:t xml:space="preserve">Series C No. 98, </w:t>
      </w:r>
      <w:r w:rsidRPr="00AC57EA">
        <w:rPr>
          <w:iCs/>
          <w:sz w:val="16"/>
          <w:szCs w:val="16"/>
          <w:lang w:val="es-CR" w:bidi="en-US"/>
        </w:rPr>
        <w:t xml:space="preserve">para. 155, and </w:t>
      </w:r>
      <w:r w:rsidRPr="00AC57EA">
        <w:rPr>
          <w:rFonts w:cs="Courier New"/>
          <w:bCs/>
          <w:i/>
          <w:sz w:val="16"/>
          <w:szCs w:val="16"/>
          <w:lang w:val="es-CR"/>
        </w:rPr>
        <w:t>Case of Acosta et al. v. Nicaragua, supra</w:t>
      </w:r>
      <w:r w:rsidRPr="00AC57EA">
        <w:rPr>
          <w:rFonts w:cs="Courier New"/>
          <w:bCs/>
          <w:sz w:val="16"/>
          <w:szCs w:val="16"/>
          <w:lang w:val="es-CR"/>
        </w:rPr>
        <w:t>, para.</w:t>
      </w:r>
      <w:r w:rsidRPr="00AC57EA">
        <w:rPr>
          <w:rFonts w:cs="Courier New"/>
          <w:bCs/>
          <w:i/>
          <w:sz w:val="16"/>
          <w:szCs w:val="16"/>
          <w:lang w:val="es-CR"/>
        </w:rPr>
        <w:t xml:space="preserve"> </w:t>
      </w:r>
      <w:r w:rsidRPr="00AC57EA">
        <w:rPr>
          <w:rFonts w:cs="Courier New"/>
          <w:bCs/>
          <w:sz w:val="16"/>
          <w:szCs w:val="16"/>
          <w:lang w:val="en-US"/>
        </w:rPr>
        <w:t>30.</w:t>
      </w:r>
    </w:p>
  </w:footnote>
  <w:footnote w:id="38">
    <w:p w14:paraId="14439560" w14:textId="50FC452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González et al. (“Cotton Field”) v. Mexico. Preliminary objection, merits, reparations and costs. </w:t>
      </w:r>
      <w:r w:rsidRPr="00AC57EA">
        <w:rPr>
          <w:sz w:val="16"/>
          <w:szCs w:val="16"/>
          <w:lang w:val="en-US"/>
        </w:rPr>
        <w:t>Judgment of November 16, 2009. Series C No. 205, para. 40</w:t>
      </w:r>
      <w:r w:rsidRPr="00AC57EA">
        <w:rPr>
          <w:i/>
          <w:sz w:val="16"/>
          <w:szCs w:val="16"/>
          <w:lang w:val="en-US"/>
        </w:rPr>
        <w:t>, and Case of Favela Nova Brasilia v. Brazil, supra</w:t>
      </w:r>
      <w:r w:rsidRPr="00AC57EA">
        <w:rPr>
          <w:sz w:val="16"/>
          <w:szCs w:val="16"/>
          <w:lang w:val="en-US"/>
        </w:rPr>
        <w:t>, para. 67.</w:t>
      </w:r>
    </w:p>
  </w:footnote>
  <w:footnote w:id="39">
    <w:p w14:paraId="7FC63699" w14:textId="0F22A923" w:rsidR="003C0AC1" w:rsidRPr="00AC57EA" w:rsidRDefault="003C0AC1" w:rsidP="00AC57EA">
      <w:pPr>
        <w:tabs>
          <w:tab w:val="left" w:pos="540"/>
        </w:tabs>
        <w:autoSpaceDE w:val="0"/>
        <w:autoSpaceDN w:val="0"/>
        <w:spacing w:after="60" w:line="240" w:lineRule="auto"/>
        <w:rPr>
          <w:i/>
          <w:sz w:val="16"/>
          <w:szCs w:val="16"/>
          <w:lang w:val="en-US"/>
        </w:rPr>
      </w:pPr>
      <w:r w:rsidRPr="00AC57EA">
        <w:rPr>
          <w:rStyle w:val="Refdenotaalpie"/>
          <w:rFonts w:eastAsia="Calibri"/>
          <w:sz w:val="16"/>
          <w:szCs w:val="16"/>
          <w:lang w:val="en-US"/>
        </w:rPr>
        <w:footnoteRef/>
      </w:r>
      <w:r w:rsidRPr="00D22834">
        <w:rPr>
          <w:sz w:val="16"/>
          <w:szCs w:val="16"/>
          <w:lang w:val="en-US"/>
        </w:rPr>
        <w:tab/>
      </w:r>
      <w:r w:rsidRPr="00D22834">
        <w:rPr>
          <w:i/>
          <w:sz w:val="16"/>
          <w:szCs w:val="16"/>
          <w:lang w:val="en-US"/>
        </w:rPr>
        <w:t xml:space="preserve">Cf. </w:t>
      </w:r>
      <w:r w:rsidRPr="00D22834">
        <w:rPr>
          <w:rFonts w:cs="Courier New"/>
          <w:i/>
          <w:sz w:val="16"/>
          <w:szCs w:val="16"/>
          <w:lang w:val="en-US"/>
        </w:rPr>
        <w:t xml:space="preserve">Case of Velásquez Rodríguez v. Honduras. </w:t>
      </w:r>
      <w:r w:rsidRPr="00AC57EA">
        <w:rPr>
          <w:rFonts w:cs="Courier New"/>
          <w:i/>
          <w:sz w:val="16"/>
          <w:szCs w:val="16"/>
          <w:lang w:val="en-US"/>
        </w:rPr>
        <w:t>Merits, supra</w:t>
      </w:r>
      <w:r w:rsidRPr="00AC57EA">
        <w:rPr>
          <w:rFonts w:cs="Courier New"/>
          <w:sz w:val="16"/>
          <w:szCs w:val="16"/>
          <w:lang w:val="en-US"/>
        </w:rPr>
        <w:t>, para. 140,</w:t>
      </w:r>
      <w:r w:rsidRPr="00AC57EA">
        <w:rPr>
          <w:rFonts w:cs="Courier New"/>
          <w:i/>
          <w:sz w:val="16"/>
          <w:szCs w:val="16"/>
          <w:lang w:val="en-US"/>
        </w:rPr>
        <w:t xml:space="preserve"> and </w:t>
      </w:r>
      <w:r w:rsidRPr="00AC57EA">
        <w:rPr>
          <w:i/>
          <w:sz w:val="16"/>
          <w:szCs w:val="16"/>
          <w:lang w:val="en-US"/>
        </w:rPr>
        <w:t>Case of Ortiz Hernández et al. v. Venezuela. Merits, reparations and costs.</w:t>
      </w:r>
      <w:r w:rsidRPr="00AC57EA">
        <w:rPr>
          <w:sz w:val="16"/>
          <w:szCs w:val="16"/>
          <w:lang w:val="en-US"/>
        </w:rPr>
        <w:t xml:space="preserve"> Judgment of August 22, 2017. Series C No. 338, para. 42.</w:t>
      </w:r>
    </w:p>
  </w:footnote>
  <w:footnote w:id="40">
    <w:p w14:paraId="72298AA8" w14:textId="7CFFC572" w:rsidR="003C0AC1" w:rsidRPr="00AC57EA" w:rsidRDefault="003C0AC1" w:rsidP="00AC57EA">
      <w:pPr>
        <w:pStyle w:val="Textonotapie"/>
        <w:tabs>
          <w:tab w:val="left" w:pos="540"/>
        </w:tabs>
        <w:spacing w:after="60"/>
        <w:rPr>
          <w:rFonts w:eastAsia="ヒラギノ角ゴ Pro W3"/>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The purpose of all these statements was established in the order of the President of the Inter-American Court of September 21, 2017. Available at: http://www.corteidh.or.cr/docs/asuntos/vrp_21_09_17.pdf.</w:t>
      </w:r>
    </w:p>
  </w:footnote>
  <w:footnote w:id="41">
    <w:p w14:paraId="3EB951A2" w14:textId="7F22CF0F" w:rsidR="003C0AC1" w:rsidRPr="00AC57EA" w:rsidRDefault="003C0AC1" w:rsidP="00AC57EA">
      <w:pPr>
        <w:tabs>
          <w:tab w:val="left" w:pos="540"/>
        </w:tabs>
        <w:spacing w:after="60" w:line="240" w:lineRule="auto"/>
        <w:rPr>
          <w:i/>
          <w:sz w:val="16"/>
          <w:szCs w:val="16"/>
          <w:lang w:val="en-US"/>
        </w:rPr>
      </w:pPr>
      <w:r w:rsidRPr="00AC57EA">
        <w:rPr>
          <w:rStyle w:val="Refdenotaalpie"/>
          <w:rFonts w:eastAsia="Calibri"/>
          <w:sz w:val="16"/>
          <w:szCs w:val="16"/>
          <w:lang w:val="en-US"/>
        </w:rPr>
        <w:footnoteRef/>
      </w:r>
      <w:r w:rsidRPr="00AC57EA">
        <w:rPr>
          <w:sz w:val="16"/>
          <w:szCs w:val="16"/>
          <w:vertAlign w:val="superscript"/>
          <w:lang w:val="en-US"/>
        </w:rPr>
        <w:t xml:space="preserve"> </w:t>
      </w:r>
      <w:r w:rsidRPr="00AC57EA">
        <w:rPr>
          <w:sz w:val="16"/>
          <w:szCs w:val="16"/>
          <w:lang w:val="en-US"/>
        </w:rPr>
        <w:tab/>
      </w:r>
      <w:r w:rsidRPr="00AC57EA">
        <w:rPr>
          <w:i/>
          <w:sz w:val="16"/>
          <w:szCs w:val="16"/>
          <w:lang w:val="en-US"/>
        </w:rPr>
        <w:t>Cf.</w:t>
      </w:r>
      <w:r w:rsidRPr="00AC57EA">
        <w:rPr>
          <w:bCs/>
          <w:i/>
          <w:sz w:val="16"/>
          <w:szCs w:val="16"/>
          <w:lang w:val="en-US"/>
        </w:rPr>
        <w:t xml:space="preserve"> </w:t>
      </w:r>
      <w:r w:rsidRPr="00AC57EA">
        <w:rPr>
          <w:i/>
          <w:sz w:val="16"/>
          <w:szCs w:val="16"/>
          <w:lang w:val="en-US"/>
        </w:rPr>
        <w:t xml:space="preserve">Case of the “White Van” (Paniagua Morales et al.) v. Guatemala. Merits. </w:t>
      </w:r>
      <w:r w:rsidRPr="00AC57EA">
        <w:rPr>
          <w:sz w:val="16"/>
          <w:szCs w:val="16"/>
          <w:lang w:val="en-US"/>
        </w:rPr>
        <w:t xml:space="preserve">Judgment of March 8, 1998. Series C No. 37, paras. 69 to 76, and </w:t>
      </w:r>
      <w:r w:rsidRPr="00AC57EA">
        <w:rPr>
          <w:rFonts w:cs="Courier New"/>
          <w:i/>
          <w:sz w:val="16"/>
          <w:szCs w:val="16"/>
          <w:lang w:val="en-US"/>
        </w:rPr>
        <w:t>Case of the Dismissed Employees of PetroPerú et al. v. Peru, supra</w:t>
      </w:r>
      <w:r w:rsidRPr="00AC57EA">
        <w:rPr>
          <w:rFonts w:cs="Courier New"/>
          <w:sz w:val="16"/>
          <w:szCs w:val="16"/>
          <w:lang w:val="en-US"/>
        </w:rPr>
        <w:t>, para. 79.</w:t>
      </w:r>
    </w:p>
  </w:footnote>
  <w:footnote w:id="42">
    <w:p w14:paraId="667D7E67" w14:textId="60AB4275" w:rsidR="003C0AC1" w:rsidRPr="00AC57EA" w:rsidRDefault="003C0AC1" w:rsidP="00AC57EA">
      <w:pPr>
        <w:pStyle w:val="Textonotapie"/>
        <w:tabs>
          <w:tab w:val="left" w:pos="540"/>
        </w:tabs>
        <w:spacing w:after="60"/>
        <w:rPr>
          <w:rFonts w:eastAsiaTheme="minorHAnsi" w:cstheme="minorBidi"/>
          <w:i/>
          <w:sz w:val="16"/>
          <w:szCs w:val="16"/>
          <w:lang w:val="en-US" w:eastAsia="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Loayza Tamayo v. Peru. Merits. </w:t>
      </w:r>
      <w:r w:rsidRPr="00AC57EA">
        <w:rPr>
          <w:sz w:val="16"/>
          <w:szCs w:val="16"/>
          <w:lang w:val="en-US"/>
        </w:rPr>
        <w:t xml:space="preserve">Judgment of September 17, 1997. Series C No. 33, para. 43, and </w:t>
      </w:r>
      <w:r w:rsidRPr="00AC57EA">
        <w:rPr>
          <w:rFonts w:eastAsiaTheme="minorHAnsi" w:cstheme="minorBidi"/>
          <w:i/>
          <w:sz w:val="16"/>
          <w:szCs w:val="16"/>
          <w:lang w:val="en-US" w:eastAsia="en-US"/>
        </w:rPr>
        <w:t xml:space="preserve">Case of Pacheco León et al. v. Honduras. Merits, reparations and costs. </w:t>
      </w:r>
      <w:r w:rsidRPr="00AC57EA">
        <w:rPr>
          <w:rFonts w:eastAsiaTheme="minorHAnsi" w:cstheme="minorBidi"/>
          <w:sz w:val="16"/>
          <w:szCs w:val="16"/>
          <w:lang w:val="en-US" w:eastAsia="en-US"/>
        </w:rPr>
        <w:t>Judgment of November 15, 2017. Series C No. 342, para. 20.</w:t>
      </w:r>
    </w:p>
  </w:footnote>
  <w:footnote w:id="43">
    <w:p w14:paraId="77672B5A" w14:textId="2D0B0F4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Birth certificate of V.R.P. issued by the Jinotega Civil Registry (evidence file, volume XV, annex 2.a to the submission of the case, folio 6632).</w:t>
      </w:r>
    </w:p>
  </w:footnote>
  <w:footnote w:id="44">
    <w:p w14:paraId="4BF71827" w14:textId="1AAC04C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Identity documents of H.J.R.P. and V.A.R.P. and driving license of N.R.P. (evidence file, volume XVI, annexes B.3, B.4 and B.5 to the brief with pleadings, motions and evidence, folios 7089 to 7092). See also, Report of the Ministry of the Family, Jinotega Delegation, issued on July 11, 2002 (evidence file, volume XV, annex 1 to the submission of the case, folios 6621 to 6630).</w:t>
      </w:r>
    </w:p>
  </w:footnote>
  <w:footnote w:id="45">
    <w:p w14:paraId="61665EC4" w14:textId="54405D1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Report of the Ministry of the Family, Jinotega Delegation, issued on July 11, 2002 (evidence file, volume XV, annex 1 to the submission of the case, folios 6621 to 6630), and Statement made by V.P.C. before the Inter-American Court during the public hearing held on October 16 and 17, 2017.</w:t>
      </w:r>
    </w:p>
  </w:footnote>
  <w:footnote w:id="46">
    <w:p w14:paraId="2F4E73CC" w14:textId="250158B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Certifications issued by the Ministry of Justice (file of procedure before the Commission, volume XI, folios 4132 and 4134), and Statement made by V.P.C. before the Inter-American Court during the public hearing held on October 16 and 17, 2017. </w:t>
      </w:r>
    </w:p>
  </w:footnote>
  <w:footnote w:id="47">
    <w:p w14:paraId="6CC1B36F" w14:textId="4480DDA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The domestic file contains “a flyer that states that the accused [H.R.A.], is a companion in the fight who was being prosecuted unjustly, flyer signed by a person who also came forward to the Jury Court as a member of the Sandinista Party and as a witness, to testify in favor of the accused.” Note of the District Deputy Criminal Judge of Jinotega dated August 1, 2003 (file of procedure before</w:t>
      </w:r>
      <w:r w:rsidRPr="00AC57EA">
        <w:rPr>
          <w:rFonts w:cs="Verdana"/>
          <w:sz w:val="16"/>
          <w:szCs w:val="16"/>
          <w:lang w:val="en-US"/>
        </w:rPr>
        <w:t xml:space="preserve"> the Commission</w:t>
      </w:r>
      <w:r w:rsidRPr="00AC57EA">
        <w:rPr>
          <w:sz w:val="16"/>
          <w:szCs w:val="16"/>
          <w:lang w:val="en-US"/>
        </w:rPr>
        <w:t>, volume X, folio 3856).</w:t>
      </w:r>
    </w:p>
  </w:footnote>
  <w:footnote w:id="48">
    <w:p w14:paraId="6FBD36D8" w14:textId="5BC1A27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Judgment issued by the Civil District Court of Jinotega on January 31, 2002 (evidence file, volume XV, annex 3 to the submission of the case, folios 6704 to 6706).</w:t>
      </w:r>
    </w:p>
  </w:footnote>
  <w:footnote w:id="49">
    <w:p w14:paraId="68997721" w14:textId="0CC4D6C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w:t>
      </w:r>
      <w:r w:rsidRPr="00AC57EA">
        <w:rPr>
          <w:i/>
          <w:sz w:val="16"/>
          <w:szCs w:val="16"/>
          <w:lang w:val="en-US"/>
        </w:rPr>
        <w:t>ad-inquirendum</w:t>
      </w:r>
      <w:r w:rsidRPr="00AC57EA">
        <w:rPr>
          <w:sz w:val="16"/>
          <w:szCs w:val="16"/>
          <w:lang w:val="en-US"/>
        </w:rPr>
        <w:t xml:space="preserve"> given by V.R.P. before the judge of the Jinotega Criminal District on November 21, 2001 (evidence file, volume XVII, annex 9 to the answering brief, folios 8201 and 8202), and Statement made by V.R.P. before the Inter-American Court during the private hearing held on October 16, 2017. See also, Psychological Report No. 16275/01 of the Institute of Forensic Medicine of the Supreme Court of Justice issued on November 27, 2001 (evidence file, volume XV, annex 4 to the submission of the case, folios 6708 and 6709); Forensic Medical Report No. 16273/01 of the Institute of Forensic Medicine of the Supreme Court of Justice issued on November 27, 2001 (evidence file, volume XV, annex 4 to the submission of the case, folios 6710 to 6712), and Mental health assessment of V.R.P. conducted by the Victoria Motta Hospital in Jinotega on November 26, 2001 (evidence file, volume XV, annex 5 to the submission of the case, folio 6714).</w:t>
      </w:r>
    </w:p>
  </w:footnote>
  <w:footnote w:id="50">
    <w:p w14:paraId="627C1CA1" w14:textId="3FBA85C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Testimony provided by Alejandro Anastasio Barahona before the District Criminal Court on November 21, 2001 (evidence file, volume XVI, annex E.8 to the brief with pleadings, motions and evidence, folios 7300 and 7301).</w:t>
      </w:r>
    </w:p>
  </w:footnote>
  <w:footnote w:id="51">
    <w:p w14:paraId="4E633F0E" w14:textId="7DE86D7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Gynecological examination of October 17, 2001</w:t>
      </w:r>
      <w:r w:rsidRPr="00AC57EA">
        <w:rPr>
          <w:i/>
          <w:sz w:val="16"/>
          <w:szCs w:val="16"/>
          <w:lang w:val="en-US"/>
        </w:rPr>
        <w:t xml:space="preserve"> </w:t>
      </w:r>
      <w:r w:rsidRPr="00AC57EA">
        <w:rPr>
          <w:sz w:val="16"/>
          <w:szCs w:val="16"/>
          <w:lang w:val="en-US"/>
        </w:rPr>
        <w:t>(evidence file, volume XVI, annex E.1 to the brief with pleadings, motions and evidence, folios 7272 and 7273); Testimony provided by Yader Peralta Alarcón before the District Criminal Court on November 21, 2001 (evidence file, volume XVI, annex E.6 to the brief with pleadings, motions and evidence, folios 7293 and 7294), and Testimony provided by Alejandro Anastasio Barahona before the District Criminal Court on November 21, 2001 (evidence file, volume XVI, annex E.8 to the brief with pleadings, motions and evidence, folios 7300 and 7301).</w:t>
      </w:r>
    </w:p>
  </w:footnote>
  <w:footnote w:id="52">
    <w:p w14:paraId="5076CB82" w14:textId="2ED3F84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Epicrisis of October 24, 2001 (evidence file, volume XVI, annex E.1 to the brief with pleadings, motions and evidence, folio 7268). See also, Forensic Medical Report No. 16273/01 of the Institute of Forensic Medicine of the Supreme Court of Justice issued on November 27, 2001 (evidence file, volume XV, annex 4 to the submission of the case, folios 6710 a 6712); Statement made by V.R.P. before the Inter-American Court during the private hearing held on October 16, 2017; Statement made by V.P.C. before the Inter-American Court during the public hearing held on October 16 and 17, 2017, and Affidavit made by H.J.R.P. on October 9, 2017 (evidence file, volume XVIII,</w:t>
      </w:r>
      <w:r w:rsidRPr="00AC57EA">
        <w:rPr>
          <w:iCs/>
          <w:sz w:val="16"/>
          <w:szCs w:val="16"/>
          <w:lang w:val="en-US"/>
        </w:rPr>
        <w:t xml:space="preserve"> affidavits</w:t>
      </w:r>
      <w:r w:rsidRPr="00AC57EA">
        <w:rPr>
          <w:sz w:val="16"/>
          <w:szCs w:val="16"/>
          <w:lang w:val="en-US"/>
        </w:rPr>
        <w:t>, folio 8347).</w:t>
      </w:r>
    </w:p>
  </w:footnote>
  <w:footnote w:id="53">
    <w:p w14:paraId="1BA9FE28" w14:textId="6C9BBA2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Testimony provided by Alejandro Anastasio Barahona before the District Criminal Court on November 21, 2001 (evidence file, volume XVI, annex E.8 to the brief with pleadings, motions and evidence, folio 7302), and Testimony provided by Yader Peralta Alarcón before the District Criminal Court on November 21, 2001 (evidence file, volume XVI, annex E.6 to the brief with pleadings, motions and evidence, folio 7294).</w:t>
      </w:r>
    </w:p>
  </w:footnote>
  <w:footnote w:id="54">
    <w:p w14:paraId="63880531" w14:textId="5D2B1AF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V.P.C. before the Inter-American Court during the public hearing held on October 16 and 17, 2017, and Complaint brief dated November 19, 2001, filed the following day (evidence file, volume XVI, annex D.1 to the brief with pleadings, motions and evidence, folios 7122 a 7136).</w:t>
      </w:r>
    </w:p>
  </w:footnote>
  <w:footnote w:id="55">
    <w:p w14:paraId="743C1FA2" w14:textId="524820B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According to article 154 of the Code of Criminal Procedure: “[t]he aggrieved person shall give his statement before the whole court </w:t>
      </w:r>
      <w:r w:rsidRPr="00AC57EA">
        <w:rPr>
          <w:i/>
          <w:iCs/>
          <w:sz w:val="16"/>
          <w:szCs w:val="16"/>
          <w:lang w:val="en-US"/>
        </w:rPr>
        <w:t>ad-inquirendum</w:t>
      </w:r>
      <w:r w:rsidRPr="00AC57EA">
        <w:rPr>
          <w:sz w:val="16"/>
          <w:szCs w:val="16"/>
          <w:lang w:val="en-US"/>
        </w:rPr>
        <w:t>, under oath, unless this is not possible, in which case it shall be deferred until the impediment is eliminated” (evidence file, volume XVII, annex 2 to the answering brief, folio 8048).</w:t>
      </w:r>
    </w:p>
  </w:footnote>
  <w:footnote w:id="56">
    <w:p w14:paraId="41968D33" w14:textId="577F199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w:t>
      </w:r>
      <w:r w:rsidRPr="00AC57EA">
        <w:rPr>
          <w:i/>
          <w:sz w:val="16"/>
          <w:szCs w:val="16"/>
          <w:lang w:val="en-US"/>
        </w:rPr>
        <w:t>ad-inquirendum</w:t>
      </w:r>
      <w:r w:rsidRPr="00AC57EA">
        <w:rPr>
          <w:sz w:val="16"/>
          <w:szCs w:val="16"/>
          <w:lang w:val="en-US"/>
        </w:rPr>
        <w:t xml:space="preserve"> made by V.R.P. before the Jinotega District Criminal Judge on November 21, 2001 (evidence file, volume XVII, annex 9 to the answering brief, folios 8201 and 8202).</w:t>
      </w:r>
    </w:p>
  </w:footnote>
  <w:footnote w:id="57">
    <w:p w14:paraId="2FDF8B93" w14:textId="486CCAB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w:t>
      </w:r>
      <w:r w:rsidRPr="00AC57EA">
        <w:rPr>
          <w:i/>
          <w:sz w:val="16"/>
          <w:szCs w:val="16"/>
          <w:lang w:val="en-US"/>
        </w:rPr>
        <w:t>ad-inquirendum</w:t>
      </w:r>
      <w:r w:rsidRPr="00AC57EA">
        <w:rPr>
          <w:sz w:val="16"/>
          <w:szCs w:val="16"/>
          <w:lang w:val="en-US"/>
        </w:rPr>
        <w:t xml:space="preserve"> made by V.P.C. before the Jinotega District Criminal Judge on November 21, 2001 (evidence file, volume XV, annex 2.b to the submission of the case, folio 6634).</w:t>
      </w:r>
    </w:p>
  </w:footnote>
  <w:footnote w:id="58">
    <w:p w14:paraId="56F58725" w14:textId="5CD5120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Order issued by the Jinotega District Criminal Court on November 21, 2001 (evidence file, volume XVII, annex 31 to the answering brief, folio 8275).</w:t>
      </w:r>
    </w:p>
  </w:footnote>
  <w:footnote w:id="59">
    <w:p w14:paraId="244E7048" w14:textId="002CFAE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Preliminary statement made by H.R.A. on November 21, 2001 (evidence file, volume XV, annex 2.d to the submission of the case, folios 6639 to 6648).</w:t>
      </w:r>
    </w:p>
  </w:footnote>
  <w:footnote w:id="60">
    <w:p w14:paraId="70364BD3" w14:textId="4ED6A39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Communication of V.P.C. addressed to the Special Attorney for Children and Adolescents on September 9, 2002 (evidence file, volume XVI, annex E.85 to the brief with pleadings, motions and evidence, folio 7586).</w:t>
      </w:r>
    </w:p>
  </w:footnote>
  <w:footnote w:id="61">
    <w:p w14:paraId="6E07DD67" w14:textId="585DC01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V.P.C. before the Inter-American Commission on April 20, 2009 (evidence file, volume XV, annex 37 to the submission of the case, folio 7003).</w:t>
      </w:r>
    </w:p>
  </w:footnote>
  <w:footnote w:id="62">
    <w:p w14:paraId="3EC5AD15" w14:textId="3F866D0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Order issued by the Jinotega District Criminal Court on November 21, 2001 (evidence file, volume XVII, annex 31 to the answering brief, folio 8275).</w:t>
      </w:r>
    </w:p>
  </w:footnote>
  <w:footnote w:id="63">
    <w:p w14:paraId="408DD16D" w14:textId="4205923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Certification issued by Radio Stereo Libre, 95.3FM on August 2, 2003 (evidence file, volume XVI, annex E.55 to the brief with pleadings, motions and evidence, folio 7492).</w:t>
      </w:r>
    </w:p>
  </w:footnote>
  <w:footnote w:id="64">
    <w:p w14:paraId="1BA8116D" w14:textId="5CD2FD6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Report of the State of Nicaragua on the case of the child V.R.P., Petition No. P 4408/02, of December 13, 2005 (evidence file, volume XV, annex 17 to the submission of the case, folio 6848).</w:t>
      </w:r>
    </w:p>
  </w:footnote>
  <w:footnote w:id="65">
    <w:p w14:paraId="19B1395F" w14:textId="244EB77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Communication of the Jinotega District Criminal Court to the Director of the Victoria Motta Hospital in Jinotega of November 22, 2001 (evidence file, volume XVI, annex E.9 to the brief with pleadings, motions and evidence, folio 7304).</w:t>
      </w:r>
    </w:p>
  </w:footnote>
  <w:footnote w:id="66">
    <w:p w14:paraId="3EF2C2E2" w14:textId="7A27EB9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Communication of the Director of the Victoria Motta Hospital in Jinotega to the Jinotega District Criminal Court of November 22, 2001 (evidence file, volume XVI, annex E.10 to the brief with pleadings, motions and evidence, folio 7306).</w:t>
      </w:r>
    </w:p>
  </w:footnote>
  <w:footnote w:id="67">
    <w:p w14:paraId="022B3BFC" w14:textId="554CF883"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Judicial record of November 22, 2001 (evidence file, volume XVI, annex E.11 to the brief with pleadings, motions and evidence, folios 7308 to 7309).</w:t>
      </w:r>
    </w:p>
  </w:footnote>
  <w:footnote w:id="68">
    <w:p w14:paraId="4FA8EAE4" w14:textId="676C037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Judicial record of November 22, 2001 (evidence file, volume XVI, annex E.11 to the brief with pleadings, motions and evidence, folios 7308 to 7309).</w:t>
      </w:r>
      <w:r w:rsidRPr="00AC57EA">
        <w:rPr>
          <w:i/>
          <w:sz w:val="16"/>
          <w:szCs w:val="16"/>
          <w:lang w:val="en-US"/>
        </w:rPr>
        <w:t xml:space="preserve"> </w:t>
      </w:r>
      <w:r w:rsidRPr="00AC57EA">
        <w:rPr>
          <w:sz w:val="16"/>
          <w:szCs w:val="16"/>
          <w:lang w:val="en-US"/>
        </w:rPr>
        <w:t>See also, Communication addressed to the Jinotega District Criminal Judge by the forensic physician (evidence file, volume XV, annex 2.e to the submission of the case, folio 6650).</w:t>
      </w:r>
    </w:p>
  </w:footnote>
  <w:footnote w:id="69">
    <w:p w14:paraId="1E481D73" w14:textId="1A937E3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Communication sent by V.P.C. to the Director of the Local Comprehensive Health Care System</w:t>
      </w:r>
      <w:r w:rsidRPr="00AC57EA">
        <w:rPr>
          <w:lang w:val="en-US"/>
        </w:rPr>
        <w:t xml:space="preserve"> </w:t>
      </w:r>
      <w:r w:rsidRPr="00AC57EA">
        <w:rPr>
          <w:sz w:val="16"/>
          <w:szCs w:val="16"/>
          <w:lang w:val="en-US"/>
        </w:rPr>
        <w:t xml:space="preserve">on November 22, 2001 (evidence file, volume XV, annex 9 to the submission of the case, folios 6769 to 6770), in which she reported that the physician had told V.R.P. that “she had to submit to his vulgar treatment and that he did not even have the right to give her a sedative.” She also indicated that he told the child: “don’t cry anymore, when girls from the countryside come to me, the child and her mother, I tell them to open their legs and they do it; […] if you won’t let me examine your vagina, I can just imagine what you will do when I have to examine your anus.” All this took place in the presences of other medical professionals. </w:t>
      </w:r>
      <w:r w:rsidRPr="00AC57EA">
        <w:rPr>
          <w:i/>
          <w:sz w:val="16"/>
          <w:szCs w:val="16"/>
          <w:lang w:val="en-US"/>
        </w:rPr>
        <w:t>Cf.</w:t>
      </w:r>
      <w:r w:rsidRPr="00AC57EA">
        <w:rPr>
          <w:sz w:val="16"/>
          <w:szCs w:val="16"/>
          <w:lang w:val="en-US"/>
        </w:rPr>
        <w:t xml:space="preserve"> Statement made by V.R.P. before the Inter-American Court during the private hearing held on October 16, 2017, and Statement made by V.P.C. before the Inter-American Court during the public hearing held on October 16 and 17, 2017.</w:t>
      </w:r>
    </w:p>
  </w:footnote>
  <w:footnote w:id="70">
    <w:p w14:paraId="4F9E8F7B" w14:textId="406AD7F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V.R.P. before the Inter-American Court during the private hearing held on October 16, 2017.</w:t>
      </w:r>
    </w:p>
  </w:footnote>
  <w:footnote w:id="71">
    <w:p w14:paraId="10F33F33" w14:textId="1CD46786" w:rsidR="003C0AC1" w:rsidRPr="00AC57EA" w:rsidRDefault="003C0AC1" w:rsidP="00AC57EA">
      <w:pPr>
        <w:pStyle w:val="Textonotapie"/>
        <w:tabs>
          <w:tab w:val="left" w:pos="540"/>
        </w:tabs>
        <w:spacing w:after="60"/>
        <w:rPr>
          <w:sz w:val="16"/>
          <w:szCs w:val="16"/>
          <w:lang w:val="en-US"/>
        </w:rPr>
      </w:pPr>
      <w:r w:rsidRPr="00AC57EA">
        <w:rPr>
          <w:rStyle w:val="Refdenotaalpie"/>
          <w:rFonts w:eastAsia="MS ????"/>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V.P.C. before the Inter-American Court during the public hearing held on October 16 and 17, 2017; Statement made by V.R.P. before the Inter-American Court during the private hearing held on October 16, 2017, and Witness statement of L.C. on November 23, 2001 (evidence file, volume XVI, annex E.12 to the brief with pleadings, motions and evidence, folio 7313).</w:t>
      </w:r>
    </w:p>
  </w:footnote>
  <w:footnote w:id="72">
    <w:p w14:paraId="5ECC2F03" w14:textId="482919ED" w:rsidR="003C0AC1" w:rsidRPr="00AC57EA" w:rsidRDefault="003C0AC1" w:rsidP="00AC57EA">
      <w:pPr>
        <w:pStyle w:val="Textonotapie"/>
        <w:tabs>
          <w:tab w:val="left" w:pos="540"/>
        </w:tabs>
        <w:spacing w:after="60"/>
        <w:rPr>
          <w:b/>
          <w:sz w:val="16"/>
          <w:szCs w:val="16"/>
          <w:lang w:val="en-US"/>
        </w:rPr>
      </w:pPr>
      <w:r w:rsidRPr="00AC57EA">
        <w:rPr>
          <w:rStyle w:val="Refdenotaalpie"/>
          <w:rFonts w:eastAsia="MS ????"/>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V.P.C. before the Inter-American Court during the public hearing held on October 16 and 17, 2017, and Judicial record of November 22, 2001 (evidence file, volume XVI, annex E.11 to the brief with pleadings, motions and evidence, folios 7308 to 7309).</w:t>
      </w:r>
    </w:p>
  </w:footnote>
  <w:footnote w:id="73">
    <w:p w14:paraId="5A347BBA" w14:textId="5E78C0B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Brief presented by V.P.C. to the District Criminal Judge on November 23, 2001 (evidence file, volume XVII, annex 12 to the answering brief, folios 8213 to 8214).</w:t>
      </w:r>
    </w:p>
  </w:footnote>
  <w:footnote w:id="74">
    <w:p w14:paraId="2A7B6F28" w14:textId="60AA28A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Order issued by the Jinotega District Criminal Court on November 23, 2001 (evidence file, volume XVII, annex 10 to the answering brief, folio 8204).</w:t>
      </w:r>
    </w:p>
  </w:footnote>
  <w:footnote w:id="75">
    <w:p w14:paraId="5C640A2D" w14:textId="1EC91F3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V.R.P. before the Inter-American Court during the private hearing held on October 16, 2017, and Statement made by V.P.C. before the Inter-American Court during the public hearing held on October 16 and 17, 2017. See also, Statement made by V.P.C. before the Inter-American Commission on September 27, 2007 (evidence file, volume XV, annex 32 to the submission of the case, folio 6962).</w:t>
      </w:r>
    </w:p>
  </w:footnote>
  <w:footnote w:id="76">
    <w:p w14:paraId="04E7467B" w14:textId="6513A82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Mental health assessment of V.R.P. conducted by the Victoria Motta Hospital in Jinotega on November 26, 2001 (evidence file, volume XV, annex 5 to the submission of the case, folio 6714).</w:t>
      </w:r>
    </w:p>
  </w:footnote>
  <w:footnote w:id="77">
    <w:p w14:paraId="37877FE7" w14:textId="32F50E2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Forensic Medical Report No. 16273/01 of the Institute of Forensic Medicine of the Supreme Court of Justice issued on November 27, 2001 (evidence file, volume XV, annex 4 to the submission of the case, folios 6710 to 6712).</w:t>
      </w:r>
    </w:p>
  </w:footnote>
  <w:footnote w:id="78">
    <w:p w14:paraId="644282A1" w14:textId="25CB7C1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Forensic Medical Report No. 16273/01 of the Institute of Forensic Medicine of the Supreme Court of Justice issued on November 27, 2001 (evidence file, volume XV, annex 4 to the submission of the case, folios 6710 to 6712).</w:t>
      </w:r>
    </w:p>
  </w:footnote>
  <w:footnote w:id="79">
    <w:p w14:paraId="669A3FCA" w14:textId="0FC32C8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V.P.C. before the Inter-American Court during the public hearing held on October 16 and 17, 2017, and Statement made by V.P.C. before the Inter-American Commission on September 27, 2007 (evidence file, volume XV, annex 32 to the submission of the case, folios 6962 and 6963).</w:t>
      </w:r>
    </w:p>
  </w:footnote>
  <w:footnote w:id="80">
    <w:p w14:paraId="468E1867" w14:textId="32902E8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Forensic Medical Report No. 16273/01 of the Institute of Forensic Medicine of the Supreme Court of Justice issued on November 27, 2001 (evidence file, volume XV, annex 4 to the submission of the case, folios 6710 to 6712).</w:t>
      </w:r>
    </w:p>
  </w:footnote>
  <w:footnote w:id="81">
    <w:p w14:paraId="544AF019" w14:textId="5FED22B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Psychological Report No. 16275/01 of the Institute of Forensic Medicine of the Supreme Court of Justice issued on November 27, 2001 (evidence file, volume XV, annex 4 to the submission of the case, folios 6708 and 6709).</w:t>
      </w:r>
    </w:p>
  </w:footnote>
  <w:footnote w:id="82">
    <w:p w14:paraId="59E9D043" w14:textId="76854F6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Forensic Medical Report No. 16271-2001 on H.R.A. of the Institute of Forensic Medicine of the Supreme Court of Justice issued on November 27, 2001 (evidence file, volume XVII, annex 20 to the answering brief, folio 8244).</w:t>
      </w:r>
    </w:p>
  </w:footnote>
  <w:footnote w:id="83">
    <w:p w14:paraId="79E78ABB" w14:textId="543126F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Monitoring report on V.R.P. prepared on February 21, 2002, by Dr. María Delma Terán Caldera, psychiatrist of the Victoria Motta Hospital, Jinotega (evidence file, volume XVII, annex 17 to the answering brief, folios 8232 and 8233). See also, psychiatric assessment of April 22, 2002, carried out in the Victoria Motta Hospital in Jinotega (evidence file, volume XVI, annex E.3 to the brief with pleadings, motions and evidence, folio 7280).</w:t>
      </w:r>
    </w:p>
  </w:footnote>
  <w:footnote w:id="84">
    <w:p w14:paraId="42C21375" w14:textId="27ED788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Psychiatric assessment of April 22, 2002, carried out in the Victoria Motta Hospital in Jinotega (evidence file, volume XVII, annex 18 to the answering brief, folios 8237 to 8239).</w:t>
      </w:r>
    </w:p>
  </w:footnote>
  <w:footnote w:id="85">
    <w:p w14:paraId="2A713C28" w14:textId="39C2D10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Record of judicial visual inspection and reconstruction of the events issued on November 29, 2001 (evidence file, volume XV, annex 15 to the submission of the case, folios 6836 to 6841).</w:t>
      </w:r>
    </w:p>
  </w:footnote>
  <w:footnote w:id="86">
    <w:p w14:paraId="551D9D67" w14:textId="04F7975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Record of judicial visual inspection and reconstruction of the events issued on November 29, 2001 (evidence file, volume XV, annex 15 to the submission of the case, folio 6836).</w:t>
      </w:r>
    </w:p>
  </w:footnote>
  <w:footnote w:id="87">
    <w:p w14:paraId="6C2C4E35" w14:textId="65860EC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Record of judicial visual inspection and reconstruction of the events issued on November 29, 2001 (evidence file, volume XV, annex 15 to the submission of the case, folio 6838). See also, Statement made by V.R.P. before the Inter-American Court during the private hearing held on October 16, 2017, and Statement made by V.P.C. before the Inter-American Court during the public hearing held on October 16 and 17, 2017.</w:t>
      </w:r>
    </w:p>
  </w:footnote>
  <w:footnote w:id="88">
    <w:p w14:paraId="7AC146A1" w14:textId="24F9990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Record of judicial visual inspection and reconstruction of the events issued on November 29, 2001 (evidence file, volume XV, annex 15 to the submission of the case, folio 6839).</w:t>
      </w:r>
    </w:p>
  </w:footnote>
  <w:footnote w:id="89">
    <w:p w14:paraId="63BF8699" w14:textId="01B232D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Criminal judgment No. 714 issued by the Jinotega District Criminal Court on November 30, 2001 (evidence file, volume XV, annex 2.f to the submission of the case, folio 6661).</w:t>
      </w:r>
    </w:p>
  </w:footnote>
  <w:footnote w:id="90">
    <w:p w14:paraId="01D00D71" w14:textId="78D662F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Criminal judgment No. 714 issued by the Jinotega District Criminal Court on November 30, 2001 (evidence file, volume XV, annex 2.f to the submission of the case, folio 6661).</w:t>
      </w:r>
    </w:p>
  </w:footnote>
  <w:footnote w:id="91">
    <w:p w14:paraId="459B7C04" w14:textId="18F417F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Criminal judgment No. 714 issued by the Jinotega District Criminal Court on November 30, 2001 (evidence file, volume XV, annex 2.f to the submission of the case, folio 6661).</w:t>
      </w:r>
    </w:p>
  </w:footnote>
  <w:footnote w:id="92">
    <w:p w14:paraId="78F17686" w14:textId="2691B11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This judgment was appealed by the defendant’s counsel. However, the appeal was rejected and criminal judgment No. 714 was confirmed. </w:t>
      </w:r>
      <w:r w:rsidRPr="00AC57EA">
        <w:rPr>
          <w:i/>
          <w:sz w:val="16"/>
          <w:szCs w:val="16"/>
          <w:lang w:val="en-US"/>
        </w:rPr>
        <w:t xml:space="preserve">Cf. </w:t>
      </w:r>
      <w:r w:rsidRPr="00AC57EA">
        <w:rPr>
          <w:sz w:val="16"/>
          <w:szCs w:val="16"/>
          <w:lang w:val="en-US"/>
        </w:rPr>
        <w:t>Criminal judgment No. 89 issued by the Criminal Chamber the Northern District Appellate Court of Matagalpa on July 10, 2002 (evidence file, volume XV, annex 8 to the submission of the case, folios 6734 to 6767).</w:t>
      </w:r>
    </w:p>
  </w:footnote>
  <w:footnote w:id="93">
    <w:p w14:paraId="625CE10C" w14:textId="2BF5CD8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Criminal judgment No. 714 issued by the Jinotega District Criminal Court on November 30, 2001 (evidence file, volume XV, annex 2.f to the submission of the case, folios 6652 to 6665).</w:t>
      </w:r>
    </w:p>
  </w:footnote>
  <w:footnote w:id="94">
    <w:p w14:paraId="203278A1" w14:textId="1343FC1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Judicial writ issued by the District Criminal Court on December 6, 2001 (evidence file, volume XV, annex 2.h to the submission of the case, folio 6670).</w:t>
      </w:r>
    </w:p>
  </w:footnote>
  <w:footnote w:id="95">
    <w:p w14:paraId="4B4A8836" w14:textId="768ADB4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Record of jury selection of April 9, 2002 (evidence file, volume XVII, annex 38 to the answering brief, folio 8310).</w:t>
      </w:r>
    </w:p>
  </w:footnote>
  <w:footnote w:id="96">
    <w:p w14:paraId="055863A6" w14:textId="35E0A5A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Order issued by the Jinotega District Criminal Court on April 10, 2002 (evidence file, volume XVII, annex 21 to the answering brief, folio 8247).</w:t>
      </w:r>
    </w:p>
  </w:footnote>
  <w:footnote w:id="97">
    <w:p w14:paraId="2AF39D97" w14:textId="17534DD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Record of jury selection of April 10, 2002 (evidence file, volume XVII, annex 38 to the answering brief, folio 8312).</w:t>
      </w:r>
    </w:p>
  </w:footnote>
  <w:footnote w:id="98">
    <w:p w14:paraId="5EF16BDE" w14:textId="75F0150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Writ issued by the District Criminal Court on April 10, 2002 (evidence file, volume XV, annex 2.i to the submission of the case, folio 6673); Jury summons issued by the Jinotega District Criminal Court on April 10, 2002 (evidence file, volume XV, annex 2.j to the submission of the case, folio 6675); Presentation made by the defense counsel before the said court on April 10, 2002 (evidence file, volume XV, annex 2.k to the submission of the case, folios 6677 and 6678), and Medical certificate (evidence file, volume XVII, annex 22 to the answering brief, folio 8249).</w:t>
      </w:r>
    </w:p>
  </w:footnote>
  <w:footnote w:id="99">
    <w:p w14:paraId="6EC3FE76" w14:textId="55E4D6C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Record of jury selection of April 11, 2002 (evidence file, volume XVII, annex 38 to the answering brief, folio 8314).</w:t>
      </w:r>
    </w:p>
  </w:footnote>
  <w:footnote w:id="100">
    <w:p w14:paraId="7005D466" w14:textId="74B7DD7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Jury summons issued by the Jinotega District Criminal Court on April 11, 2002 (evidence file, volume XV, annex 2.l to the submission of the case, folio 6680).</w:t>
      </w:r>
    </w:p>
  </w:footnote>
  <w:footnote w:id="101">
    <w:p w14:paraId="2AB23DAC" w14:textId="7D87849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Brief of the defense counsel filed on April 11, 2002 (evidence file, volume XVI, annex E.49 to the brief with pleadings, motions and evidence, folio 7474).</w:t>
      </w:r>
    </w:p>
  </w:footnote>
  <w:footnote w:id="102">
    <w:p w14:paraId="12F4C9A0" w14:textId="64A5123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Briefs of the prosecutor filed on April 12, 2002 (evidence file, volume XVI, annexes E.50 and E.51 to the brief with pleadings, motions and evidence, folios 7476 and 7479).</w:t>
      </w:r>
    </w:p>
  </w:footnote>
  <w:footnote w:id="103">
    <w:p w14:paraId="53E7C64E" w14:textId="0F2012A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Order issued by the Jinotega District Criminal Court on April 12, 2002 (evidence file, volume XVII, annex 39 to the answering brief, folio 8318).</w:t>
      </w:r>
    </w:p>
  </w:footnote>
  <w:footnote w:id="104">
    <w:p w14:paraId="7DAF8D9A" w14:textId="52984C7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In this regard, the accused’s public defender asked that he be allowed to be assisted by two “doctors [in law]” and this was accepted, and the prosecutor, on that occasion, stated “that, yes, he could be assisted by two more lawyers; I think I said yes, that I did not see a problem in this, owing to the complexity of the case; but, if my memory serves me well and I don’t think I am making a mistake, the [judge] told the [prosecutor] “no”, and that she was going to suspend the jury, and at that time we agreed that there would not be a problem.” Record of testimony of Juan Alberto Núñez Gano of February 9, 2005 (evidence file, volume XVI, annex E.52 to the brief with pleadings, motions and evidence, folio 7481). Likewise, Order issued by the Jinotega District Criminal Judge on April 15, 2002 (evidence file, volume XVI, annex D.2 to the brief with pleadings, motions and evidence, folios 7136 and 7137).</w:t>
      </w:r>
    </w:p>
  </w:footnote>
  <w:footnote w:id="105">
    <w:p w14:paraId="52D84308" w14:textId="3F606DD1"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Record of jury constitution on April 12, 2002 (evidence file, volume XV, annex 2.l to the submission of the case, folio 6681). See also, Report prepared by the case study team of the Ombudsman for Children and Adolescents of the Ombudsman’s Office on March 10, 2003 (evidence file, volume XV, annex 24 to the submission of the case, folio 6892).</w:t>
      </w:r>
    </w:p>
  </w:footnote>
  <w:footnote w:id="106">
    <w:p w14:paraId="4D906DEF" w14:textId="0D58762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V.P.C. before the Inter-American Court during the public hearing held on October 16 and 17, 2017. See also, Statement made by V.P.C. before the Inter-American Commission, October 2002 (evidence file, volume XV, annex 7 to the submission of the case, folios 6723 and 6724).</w:t>
      </w:r>
    </w:p>
  </w:footnote>
  <w:footnote w:id="107">
    <w:p w14:paraId="38D65679" w14:textId="72ECD97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Report prepared by the case study team of the Ombudsman for Children and Adolescents of the Ombudsman’s Office on March 10, 2003 (evidence file, volume XV, annex 24 to the submission of the case, folio 6892).</w:t>
      </w:r>
    </w:p>
  </w:footnote>
  <w:footnote w:id="108">
    <w:p w14:paraId="11C021F9" w14:textId="645ED79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Verdict No. 33 issued by the Jury Court on April 13, 2002 (evidence file, volume XV, annex 2.m to the submission of the case, folio 6683).</w:t>
      </w:r>
    </w:p>
  </w:footnote>
  <w:footnote w:id="109">
    <w:p w14:paraId="12E401E9" w14:textId="574AB6B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Release order issued by the Jinotega District Criminal Judge on April 13, 2002 (evidence file, volume XV, annex 2.n to the submission of the case, folio 6685).</w:t>
      </w:r>
    </w:p>
  </w:footnote>
  <w:footnote w:id="110">
    <w:p w14:paraId="502A00D0" w14:textId="17AFFAD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Complaint filed by V.P.C. and M.P.C. before the Jinotega Local Criminal Court on April 15, 2002 (evidence file, volume XVI, annex E.22 to the brief with pleadings, motions and evidence, folio 7375 and file of procedure before the Commission, volume XI, folio 4047).</w:t>
      </w:r>
    </w:p>
  </w:footnote>
  <w:footnote w:id="111">
    <w:p w14:paraId="766E1C1A" w14:textId="1E6F932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Appeal for annulment filed by V.P.C.’s lawyer on April 14, 2002 (evidence file, volume XV, annex 2.o to the submission of the case, folios 6687 to 6689).</w:t>
      </w:r>
    </w:p>
  </w:footnote>
  <w:footnote w:id="112">
    <w:p w14:paraId="79390AE7" w14:textId="5264791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with the Jinotega District Criminal Judge on April 14, 2002 (evidence file, volume XVII, annex 26 to the answering brief, folios 8261 and 8262).</w:t>
      </w:r>
    </w:p>
  </w:footnote>
  <w:footnote w:id="113">
    <w:p w14:paraId="1C642AB1" w14:textId="5877F41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Order issued by the Jinotega District Criminal Judge on April 15, 2002 (evidence file, volume XVI, annex D.2 to the brief with pleadings, motions and evidence, folios 7136 and 7137).</w:t>
      </w:r>
    </w:p>
  </w:footnote>
  <w:footnote w:id="114">
    <w:p w14:paraId="49C69BFF" w14:textId="53A34A2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the defense counsel on April 16, 2002 (evidence file, volume XVI, annex D.3 to the brief with pleadings, motions and evidence, folio 7140).</w:t>
      </w:r>
    </w:p>
  </w:footnote>
  <w:footnote w:id="115">
    <w:p w14:paraId="4F9E2305" w14:textId="1764A28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Order issued by the Jinotega Deputy District Criminal Judge on April 17, 2002 (evidence file, volume XVI, annex D.4 to the brief with pleadings, motions and evidence, folio 7142).</w:t>
      </w:r>
    </w:p>
  </w:footnote>
  <w:footnote w:id="116">
    <w:p w14:paraId="42CC841B" w14:textId="228ED6F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April 17, 2002 (evidence file, volume XVI, annex D.5 to the brief with pleadings, motions and evidence, folio 7144).</w:t>
      </w:r>
    </w:p>
  </w:footnote>
  <w:footnote w:id="117">
    <w:p w14:paraId="3AF4D5AD" w14:textId="74C92CB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April 22, 2002 (evidence file, volume XVI, annex D.6 to the brief with pleadings, motions and evidence, folios 7146 and 7147).</w:t>
      </w:r>
    </w:p>
  </w:footnote>
  <w:footnote w:id="118">
    <w:p w14:paraId="5DB62DD4" w14:textId="523E860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the defense counsel on April 26, 2002 (evidence file, volume XVI, annex D.7 to the brief with pleadings, motions and evidence, folio 7149).</w:t>
      </w:r>
    </w:p>
  </w:footnote>
  <w:footnote w:id="119">
    <w:p w14:paraId="31091201" w14:textId="557DC5E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Order issued by the Jinotega District Civil Judge on April 29, 2002 (evidence file, volume XVI, annex D.8 to the brief with pleadings, motions and evidence, folio 7151).</w:t>
      </w:r>
    </w:p>
  </w:footnote>
  <w:footnote w:id="120">
    <w:p w14:paraId="686BF6FB" w14:textId="1F1E1E7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May 2, 2002 (evidence file, volume XVI, annex D.9 to the brief with pleadings, motions and evidence, folios 7154 and 7155).</w:t>
      </w:r>
    </w:p>
  </w:footnote>
  <w:footnote w:id="121">
    <w:p w14:paraId="7E3F32A9" w14:textId="36308D1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Order issued by the Jinotega District Criminal Judge on May 6, 2002 (evidence file, volume XVI, annex D.10 to the brief with pleadings, motions and evidence, folio 7157).</w:t>
      </w:r>
    </w:p>
  </w:footnote>
  <w:footnote w:id="122">
    <w:p w14:paraId="598781A4" w14:textId="2A583E2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the defense counsel on May 6, 2002 (evidence file, volume XVI, annex D.11 to the brief with pleadings, motions and evidence, folios 7159 to 7161).</w:t>
      </w:r>
    </w:p>
  </w:footnote>
  <w:footnote w:id="123">
    <w:p w14:paraId="3E856158" w14:textId="7C50B08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Order issued by the Jinotega District Criminal Judge on May 7, 2002 (evidence file, volume XVI, annex D.12 to the brief with pleadings, motions and evidence, folio 7163); Brief filed by the defense counsel on May 8, 2002 (evidence file, volume XVI, annex D.13 to the brief with pleadings, motions and evidence, folio 7165), and Brief filed by V.P.C.’s lawyer on May 8, 2002 (evidence file, volume XVI, annex D.14 to the brief with pleadings, motions and evidence, folios 7167 and 7168).</w:t>
      </w:r>
    </w:p>
  </w:footnote>
  <w:footnote w:id="124">
    <w:p w14:paraId="0C369657" w14:textId="32DE315E"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May 8, 2002 (evidence file, volume XVI, annex D.14 to the brief with pleadings, motions and evidence, folio 7167).</w:t>
      </w:r>
    </w:p>
  </w:footnote>
  <w:footnote w:id="125">
    <w:p w14:paraId="1DF454F9" w14:textId="409EBA0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Note of the Jinotega prosecutor to the District Criminal Court on May 8, 2002 (evidence file, volume XV, annex 2.q to the submission of the case, folio 6694).</w:t>
      </w:r>
    </w:p>
  </w:footnote>
  <w:footnote w:id="126">
    <w:p w14:paraId="416C8C6E" w14:textId="0A1FC61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the defense counsel on May 10, 2002 (evidence file, volume XVI, annex D.15 to the brief with pleadings, motions and evidence, folios 7170 to 7173).</w:t>
      </w:r>
    </w:p>
  </w:footnote>
  <w:footnote w:id="127">
    <w:p w14:paraId="7C5425BC" w14:textId="3624B27F" w:rsidR="003C0AC1" w:rsidRPr="00AC57EA" w:rsidRDefault="003C0AC1" w:rsidP="00AC57EA">
      <w:pPr>
        <w:tabs>
          <w:tab w:val="left" w:pos="540"/>
        </w:tabs>
        <w:spacing w:after="60" w:line="240" w:lineRule="auto"/>
        <w:rPr>
          <w:rFonts w:cs="Arial"/>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Judgment issued by the Jinotega District Criminal Court on May 13, 2002 (evidence file, volume XV, annex 2.r to the submission of the case, folios 6696 and 6697).</w:t>
      </w:r>
    </w:p>
  </w:footnote>
  <w:footnote w:id="128">
    <w:p w14:paraId="43388BF7" w14:textId="4F070F4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Arrest warrant addressed to the Police Chief on May 13, 2002 (evidence file, volume XV, annex 2.s to the submission of the case, folio 6700), and Response to the search and arrest warrant (evidence file, volume XV, annex 2.t to the submission of the case, folio 6702).</w:t>
      </w:r>
    </w:p>
  </w:footnote>
  <w:footnote w:id="129">
    <w:p w14:paraId="6B5E6782" w14:textId="5534C5A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the defense counsel on May 14, 2002 (evidence file, volume XVI, annex D.19 to the brief with pleadings, motions and evidence, folios 7182 and 7183).</w:t>
      </w:r>
    </w:p>
  </w:footnote>
  <w:footnote w:id="130">
    <w:p w14:paraId="1FB5CBD5" w14:textId="70EAD866"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May 14, 2002 (evidence file, volume XVI, annex D.20 to the brief with pleadings, motions and evidence, folios 7185 and 7186), and Order issued by the Jinotega District Criminal Judge on May 15, 2002 (evidence file, volume XVI, annex D.24 to the brief with pleadings, motions and evidence, folio 7197).</w:t>
      </w:r>
    </w:p>
  </w:footnote>
  <w:footnote w:id="131">
    <w:p w14:paraId="1C59698C" w14:textId="7D45226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Official note to the Jinotega District Criminal Judge of May 15, 2002 (evidence file, volume XVI, annex D.25 to the brief with pleadings, motions and evidence, folio 7200).</w:t>
      </w:r>
    </w:p>
  </w:footnote>
  <w:footnote w:id="132">
    <w:p w14:paraId="2D32D80F" w14:textId="59DC346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Brief filed on May 23, 2002 </w:t>
      </w:r>
      <w:r w:rsidRPr="00AC57EA">
        <w:rPr>
          <w:rFonts w:cs="Arial"/>
          <w:sz w:val="16"/>
          <w:szCs w:val="16"/>
          <w:lang w:val="en-US"/>
        </w:rPr>
        <w:t>(file of procedure before</w:t>
      </w:r>
      <w:r w:rsidRPr="00AC57EA">
        <w:rPr>
          <w:sz w:val="16"/>
          <w:szCs w:val="16"/>
          <w:lang w:val="en-US"/>
        </w:rPr>
        <w:t xml:space="preserve"> the Commission, volume VII, folios 2589 to 2591).</w:t>
      </w:r>
    </w:p>
  </w:footnote>
  <w:footnote w:id="133">
    <w:p w14:paraId="129773C5" w14:textId="3651B91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 on July 29, 2002 (evidence file, volume XVI, annex E.41 to the brief with pleadings, motions and evidence, folios 7453 and 7454).</w:t>
      </w:r>
    </w:p>
  </w:footnote>
  <w:footnote w:id="134">
    <w:p w14:paraId="57410882" w14:textId="51BFEAD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Judgment No. 001 delivered by the Northern District Appellate Court, Criminal Chamber, on January 13, 2003 (evidence file, volume XVII, annex 4 to the answering brief, folios 8165 to 8178), and Judicial writ issued by the Northern District Appellate Court on January 17, 2003 (evidence file, volume XV, annex 19 to the submission of the case, folio 6869).</w:t>
      </w:r>
    </w:p>
  </w:footnote>
  <w:footnote w:id="135">
    <w:p w14:paraId="74F0490D" w14:textId="7D5EAB8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Certification issued by the secretariat of the Northern District Appellate Court Sala Penal on October 7, 2002 (evidence file, volume XV, annex 21 to the submission of the case, folio 6873).</w:t>
      </w:r>
    </w:p>
  </w:footnote>
  <w:footnote w:id="136">
    <w:p w14:paraId="412F7228" w14:textId="533B8AB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May 12, 2003 (evidence file, volume XVI, annex D.16 to the brief with pleadings, motions and evidence, folio 7175).</w:t>
      </w:r>
    </w:p>
  </w:footnote>
  <w:footnote w:id="137">
    <w:p w14:paraId="543B3AE0" w14:textId="255DBCA9"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May 19, 2003 (evidence file, volume XVI, annex D.27 to the brief with pleadings, motions and evidence, folios 7205 and 7206).</w:t>
      </w:r>
    </w:p>
  </w:footnote>
  <w:footnote w:id="138">
    <w:p w14:paraId="7F4E951D" w14:textId="3ECD2C9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July 7, 2003 (evidence file, volume XVI, annex D.28 to the brief with pleadings, motions and evidence, folio 7208).</w:t>
      </w:r>
    </w:p>
  </w:footnote>
  <w:footnote w:id="139">
    <w:p w14:paraId="04BB6F67" w14:textId="67DF650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the defense counsel on July 11, 2003 (evidence file, volume XVI, annex D.29 to the brief with pleadings, motions and evidence, folio 7210).</w:t>
      </w:r>
    </w:p>
  </w:footnote>
  <w:footnote w:id="140">
    <w:p w14:paraId="25AD6B41" w14:textId="2DED602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Order issued by the Jinotega Deputy District Criminal Judge on August 12, 2003 (evidence file, volume XVI, annex D.31 to the brief with pleadings, motions and evidence, folio 7214).</w:t>
      </w:r>
    </w:p>
  </w:footnote>
  <w:footnote w:id="141">
    <w:p w14:paraId="08F8763B" w14:textId="26FCF64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October 16, 2003 (evidence file, volume XVI, annex D.32 to the brief with pleadings, motions and evidence, folio 7217).</w:t>
      </w:r>
    </w:p>
  </w:footnote>
  <w:footnote w:id="142">
    <w:p w14:paraId="3EDC7233" w14:textId="4E86E8D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by V.P.C.’s lawyer on November 26, 2003 (evidence file, volume XVI, annex D.33 to the brief with pleadings, motions and evidence, folio 7219).</w:t>
      </w:r>
    </w:p>
  </w:footnote>
  <w:footnote w:id="143">
    <w:p w14:paraId="2A15F448" w14:textId="1AC3FA0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Report of the State of Nicaragua on the case of the child V.R.P., Petition No. P 4408/02, presented on December 13, 2005 (evidence file, volume XV, annex 17 to the submission of the case, folios 6852 and 6853), and Order issued by the Alternate District Civil and Criminal Court by operation of law on March 1, 2004 (evidence file, volume XVI, annex D.36 to the brief with pleadings, motions and evidence, folio 7245).</w:t>
      </w:r>
    </w:p>
  </w:footnote>
  <w:footnote w:id="144">
    <w:p w14:paraId="27493B42" w14:textId="06FDFB0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Petition submitted by V.P.C. to the President of the Supreme Court of Justice on September 23, 2004 (evidence file, volume XV, annex 26 to the submission of the case, folios 6901 and 6902).</w:t>
      </w:r>
    </w:p>
  </w:footnote>
  <w:footnote w:id="145">
    <w:p w14:paraId="3F73294B" w14:textId="6AD4A65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Letter sent by V.P.C. to the President of the Supreme Court of Justice on October 4, 2004 (evidence file, volume XVI, annex D.37 to the brief with pleadings, motions and evidence, folios 7248 and 7249).</w:t>
      </w:r>
    </w:p>
  </w:footnote>
  <w:footnote w:id="146">
    <w:p w14:paraId="400405AD" w14:textId="2E95B9A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Letter sent by V.P.C. to the District Criminal Judge on November 9, 2004 (evidence file, volume XVI, annex D.38 to the brief with pleadings, motions and evidence, folios 7251 and 7252), and Letter sent by V.P.C. to the District Criminal Judge on November 30, 2004 (evidence file, volume XVI, annex D.34 to the brief with pleadings, motions and evidence, folios 7221 to 7225).</w:t>
      </w:r>
    </w:p>
  </w:footnote>
  <w:footnote w:id="147">
    <w:p w14:paraId="755A991B" w14:textId="6626DC6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Order issued by the Jinotega District Criminal Trial Court on January 13, 2005 (evidence file, volume XVI, annex D.39 to the brief with pleadings, motions and evidence, folio 7254), and Report of the State of Nicaragua on the case of the child V.R.P., Petition No. P 4408/02, presented on December 13, 2005 (evidence file, volume XV, annex 17 to the submission of the case, folios 6852 and 6853).</w:t>
      </w:r>
    </w:p>
  </w:footnote>
  <w:footnote w:id="148">
    <w:p w14:paraId="2FB0AA27" w14:textId="14C8627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Record of visual inspection carried out by the Jinotega District Criminal Court on February 4, 2005 (evidence files, volume XVII, annex 37 to the answering brief, folio 8307).</w:t>
      </w:r>
    </w:p>
  </w:footnote>
  <w:footnote w:id="149">
    <w:p w14:paraId="277C7210" w14:textId="67610C8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Record of visual inspection carried out by the Jinotega District Criminal Court on February 9, 2005 (evidence files, volume XVI, annex E.54 to the pleadings and motions brief, folios 7487 to 7490).</w:t>
      </w:r>
    </w:p>
  </w:footnote>
  <w:footnote w:id="150">
    <w:p w14:paraId="6C3085C2" w14:textId="79FAAD6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Judgment delivered by the Jinotega District Criminal Court on August 9, 2005 (evidence file, volume XV, annex 29 to the submission of the case, folios 6915 to 6928).</w:t>
      </w:r>
    </w:p>
  </w:footnote>
  <w:footnote w:id="151">
    <w:p w14:paraId="1C885B4A" w14:textId="300AF78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Appeal filed by the assistant prosecutor of the Public Prosecution Service on August 25, 2005 (evidence file, volume XV, annex 30 to the submission of the case, folio 6930).</w:t>
      </w:r>
    </w:p>
  </w:footnote>
  <w:footnote w:id="152">
    <w:p w14:paraId="3622EA71" w14:textId="56C2197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Judgment delivered by the Criminal Chamber of the Northern District Appellate Court of Matagalpa on October 24, 2007 (evidence file, volume XV, annex 31 to the submission of the case, folios 6932 to 6952).</w:t>
      </w:r>
    </w:p>
  </w:footnote>
  <w:footnote w:id="153">
    <w:p w14:paraId="7488D29B" w14:textId="00B4794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i/>
          <w:sz w:val="16"/>
          <w:szCs w:val="16"/>
          <w:lang w:val="en-US"/>
        </w:rPr>
        <w:t xml:space="preserve"> </w:t>
      </w:r>
      <w:r w:rsidRPr="00AC57EA">
        <w:rPr>
          <w:i/>
          <w:sz w:val="16"/>
          <w:szCs w:val="16"/>
          <w:lang w:val="en-US"/>
        </w:rPr>
        <w:tab/>
      </w:r>
      <w:r w:rsidRPr="00AC57EA">
        <w:rPr>
          <w:sz w:val="16"/>
          <w:szCs w:val="16"/>
          <w:lang w:val="en-US"/>
        </w:rPr>
        <w:t>Certification issued by the Criminal Chamber of the Northern District Appellate Court of January 24, 2007 (evidence file, volume XVI, annex D.42 to the brief with pleadings, motions and evidence, folio 7265).</w:t>
      </w:r>
    </w:p>
  </w:footnote>
  <w:footnote w:id="154">
    <w:p w14:paraId="4004712E" w14:textId="5380193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Judgment delivered by the Criminal Chamber of the Northern District Appellate Court of Matagalpa on October 24, 2007 (evidence file, volume XV, annex 31 to the submission of the case, folios 6932 to 6952).</w:t>
      </w:r>
    </w:p>
  </w:footnote>
  <w:footnote w:id="155">
    <w:p w14:paraId="0576C8B5" w14:textId="0390E23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Death certificate of H.R.A. (evidence file, volume XVII, annex 43 to the answering brief, folio 8344).</w:t>
      </w:r>
    </w:p>
  </w:footnote>
  <w:footnote w:id="156">
    <w:p w14:paraId="38FE76CF" w14:textId="5B0D4A3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Brief filed by V.P.C. with the Director of the Local Comprehensive Health Care System on November 22, 2001 (evidence file, volume XV, annex 9 to the submission of the case, folios 6769 and 6770).</w:t>
      </w:r>
    </w:p>
  </w:footnote>
  <w:footnote w:id="157">
    <w:p w14:paraId="1520BFBD" w14:textId="27594AA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Communication of SILAIS Jinotega sent on November 26, 2001 (evidence file, volume XX, annex 7.b of the helpful evidence, folio 9705).</w:t>
      </w:r>
    </w:p>
  </w:footnote>
  <w:footnote w:id="158">
    <w:p w14:paraId="246875A7" w14:textId="4F0C46B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Complaint filed with Supreme Court of Justice on April 30, 2002 (file of procedure before the Commission, volume VII, folios 2819 and 2820).</w:t>
      </w:r>
    </w:p>
  </w:footnote>
  <w:footnote w:id="159">
    <w:p w14:paraId="56763FCA" w14:textId="65E38E7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Complaint filed with Supreme Court of Justice on July 22, 2002 (evidence file, volume XVI, annex E.27 to the brief with pleadings, motions and evidence, folios 7403 and 7404).</w:t>
      </w:r>
    </w:p>
  </w:footnote>
  <w:footnote w:id="160">
    <w:p w14:paraId="117A0419" w14:textId="27265AA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Presentation made by V.P.C.’s legal representative to the Disciplinary Committee of the Supreme Court of Justice on July 1, 2003 (evidence file, volume XV, annex 25 to the submission of the case, folios 6895 to 6899).</w:t>
      </w:r>
    </w:p>
  </w:footnote>
  <w:footnote w:id="161">
    <w:p w14:paraId="75C2EDA5" w14:textId="492C5B2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Complaint filed with Prosecutor General on July 17, 2002 (evidence files, volume XVI, annex E.34 to the brief with pleadings, motions and evidence, folios 7432 and 7433).</w:t>
      </w:r>
    </w:p>
  </w:footnote>
  <w:footnote w:id="162">
    <w:p w14:paraId="2CABB7E5" w14:textId="0497D06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with the Prosecutor General on July 29, 2002 (evidence files, volume XVI, annex E.35 to the brief with pleadings, motions and evidence, folios 7435 and 7436).</w:t>
      </w:r>
    </w:p>
  </w:footnote>
  <w:footnote w:id="163">
    <w:p w14:paraId="52BAA3C8" w14:textId="62D1DD2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Brief filed with the Prosecutor General on August 26, 2002 (evidence files, volume XVI, annex E.42 to the brief with pleadings, motions and evidence, folio 7456).</w:t>
      </w:r>
    </w:p>
  </w:footnote>
  <w:footnote w:id="164">
    <w:p w14:paraId="7DA421AC" w14:textId="4DE85D76"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Complaint filed with General Inspectorate of the Public Prosecution Service on October 21, 2002 (file of procedure before the Commission, volume VII, folios 2814 to 2818).</w:t>
      </w:r>
    </w:p>
  </w:footnote>
  <w:footnote w:id="165">
    <w:p w14:paraId="32AC6870" w14:textId="749BCED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Certification issued by the General Inspectorate of the Public Prosecution Service on February 15, 2017 (evidence file, volume XX, annex 7.c of the helpful evidence, folio 9730).</w:t>
      </w:r>
    </w:p>
  </w:footnote>
  <w:footnote w:id="166">
    <w:p w14:paraId="1B2F53AD" w14:textId="780A9CC2"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Complaint filed with Supreme Court of Justice on November 8, 2002 (evidence file, volume XX, annex 7.a of the helpful evidence, folios 9649 to 9661).</w:t>
      </w:r>
    </w:p>
  </w:footnote>
  <w:footnote w:id="167">
    <w:p w14:paraId="01A9D62A" w14:textId="627A8D9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Communication addressed to the Attorney General (evidence file, volume XX, annex 7.a of the helpful evidence, folio 9665).</w:t>
      </w:r>
    </w:p>
  </w:footnote>
  <w:footnote w:id="168">
    <w:p w14:paraId="6B89B337" w14:textId="4E20CA6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Complaint filed by V.P.C. with the Disciplinary Committee of the Supreme Court of Justice on November 8, 2002 (evidence file, volume XV, annex 23 to the submission of the case, folios 6881 to 6888).</w:t>
      </w:r>
    </w:p>
  </w:footnote>
  <w:footnote w:id="169">
    <w:p w14:paraId="1CAD3A66" w14:textId="07B8757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Decision adopted by the Disciplinary Committee of the Supreme Court of Justice on February 24, 2003 (evidence file, volume XX, annex 7.a of the helpful evidence, folio 9686).</w:t>
      </w:r>
    </w:p>
  </w:footnote>
  <w:footnote w:id="170">
    <w:p w14:paraId="3CA60BFC" w14:textId="366CC42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In December 2001, the departmental assistant prosecutor filed a criminal action against V.P.C. for defamation. There is no record of the processing of this complaint.</w:t>
      </w:r>
      <w:r w:rsidRPr="00AC57EA">
        <w:rPr>
          <w:i/>
          <w:sz w:val="16"/>
          <w:szCs w:val="16"/>
          <w:lang w:val="en-US"/>
        </w:rPr>
        <w:t xml:space="preserve"> Cf. </w:t>
      </w:r>
      <w:r w:rsidRPr="00AC57EA">
        <w:rPr>
          <w:sz w:val="16"/>
          <w:szCs w:val="16"/>
          <w:lang w:val="en-US"/>
        </w:rPr>
        <w:t xml:space="preserve">Writ summoning V.P.C. to appear to make a statement dated December 19, 2001 (evidence file, volume XVI, annexes E.75 and E.76 to the brief with pleadings, motions and evidence, folios 7553 and 7555). See also, Brief of V.P.C. addressed to the Commission, of April 16, 2009 (evidence file, volume XV, annex 37 to the submission of the case, folio 7006), and Affidavit made by N.R.P. on October 10, 2017 (evidence file, volume XVIII, </w:t>
      </w:r>
      <w:r w:rsidRPr="00AC57EA">
        <w:rPr>
          <w:i/>
          <w:sz w:val="16"/>
          <w:szCs w:val="16"/>
          <w:lang w:val="en-US"/>
        </w:rPr>
        <w:t xml:space="preserve">affidavits, </w:t>
      </w:r>
      <w:r w:rsidRPr="00AC57EA">
        <w:rPr>
          <w:sz w:val="16"/>
          <w:szCs w:val="16"/>
          <w:lang w:val="en-US"/>
        </w:rPr>
        <w:t>folio 8379).</w:t>
      </w:r>
    </w:p>
  </w:footnote>
  <w:footnote w:id="171">
    <w:p w14:paraId="49268D7A" w14:textId="2DC48569" w:rsidR="003C0AC1" w:rsidRPr="00AC57EA" w:rsidRDefault="003C0AC1" w:rsidP="00AC57EA">
      <w:pPr>
        <w:tabs>
          <w:tab w:val="left" w:pos="540"/>
        </w:tabs>
        <w:autoSpaceDE w:val="0"/>
        <w:autoSpaceDN w:val="0"/>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cs="Arial"/>
          <w:sz w:val="16"/>
          <w:szCs w:val="16"/>
          <w:lang w:val="en-US"/>
        </w:rPr>
        <w:t xml:space="preserve">On April 25, 2002, the forensic physician filed a criminal complaint against V.P.C. for defamation owing to the complaints she had filed following his attempt to perform the examination of the child V.R.P. This case ended in “abatement of the instance.” </w:t>
      </w:r>
      <w:r w:rsidRPr="00AC57EA">
        <w:rPr>
          <w:i/>
          <w:sz w:val="16"/>
          <w:szCs w:val="16"/>
          <w:lang w:val="en-US"/>
        </w:rPr>
        <w:t xml:space="preserve">Cf. </w:t>
      </w:r>
      <w:r w:rsidRPr="00AC57EA">
        <w:rPr>
          <w:rFonts w:cs="Arial"/>
          <w:sz w:val="16"/>
          <w:szCs w:val="16"/>
          <w:lang w:val="en-US"/>
        </w:rPr>
        <w:t xml:space="preserve">Brief presented on April 25, 2002 (file of procedure before the Commission, volume VII, folios 2491 to 2493), and </w:t>
      </w:r>
      <w:r w:rsidRPr="00AC57EA">
        <w:rPr>
          <w:sz w:val="16"/>
          <w:szCs w:val="16"/>
          <w:lang w:val="en-US"/>
        </w:rPr>
        <w:t xml:space="preserve">Certification of the Jinotega Local Criminal Court of July 23, 2009 (file of procedure before the Commission, volume XI, folio 4036). In addition, on May 21, 2002, the forensic physician filed a criminal complaint against V.P.C. for defamation. The complainant’s lawyer was the brother </w:t>
      </w:r>
      <w:r w:rsidRPr="00AC57EA">
        <w:rPr>
          <w:rFonts w:cs="Arial"/>
          <w:sz w:val="16"/>
          <w:szCs w:val="16"/>
          <w:lang w:val="en-US"/>
        </w:rPr>
        <w:t xml:space="preserve">of the forensic physician. </w:t>
      </w:r>
      <w:r w:rsidRPr="00AC57EA">
        <w:rPr>
          <w:sz w:val="16"/>
          <w:szCs w:val="16"/>
          <w:lang w:val="en-US"/>
        </w:rPr>
        <w:t xml:space="preserve">There is no record of the processing of this complaint. </w:t>
      </w:r>
      <w:r w:rsidRPr="00AC57EA">
        <w:rPr>
          <w:i/>
          <w:sz w:val="16"/>
          <w:szCs w:val="16"/>
          <w:lang w:val="en-US"/>
        </w:rPr>
        <w:t>Cf.</w:t>
      </w:r>
      <w:r w:rsidRPr="00AC57EA">
        <w:rPr>
          <w:sz w:val="16"/>
          <w:szCs w:val="16"/>
          <w:lang w:val="en-US"/>
        </w:rPr>
        <w:t xml:space="preserve"> Brief presented on May</w:t>
      </w:r>
      <w:r w:rsidRPr="00AC57EA">
        <w:rPr>
          <w:rFonts w:cs="Arial"/>
          <w:sz w:val="16"/>
          <w:szCs w:val="16"/>
          <w:lang w:val="en-US"/>
        </w:rPr>
        <w:t xml:space="preserve"> </w:t>
      </w:r>
      <w:r w:rsidRPr="00AC57EA">
        <w:rPr>
          <w:sz w:val="16"/>
          <w:szCs w:val="16"/>
          <w:lang w:val="en-US"/>
        </w:rPr>
        <w:t xml:space="preserve">21, 2002 (evidence file, volume XV, annex 35 to the submission of the case, folios 6987 to 6990). On May 22, 2002, the forensic physician filed a criminal complaint against V.P.C.’s mother for defamation and libel, for having “disparaged him before the District Criminal Judge” in her testimony. </w:t>
      </w:r>
      <w:r w:rsidRPr="00AC57EA">
        <w:rPr>
          <w:i/>
          <w:sz w:val="16"/>
          <w:szCs w:val="16"/>
          <w:lang w:val="en-US"/>
        </w:rPr>
        <w:t xml:space="preserve">Cf. </w:t>
      </w:r>
      <w:r w:rsidRPr="00AC57EA">
        <w:rPr>
          <w:sz w:val="16"/>
          <w:szCs w:val="16"/>
          <w:lang w:val="en-US"/>
        </w:rPr>
        <w:t xml:space="preserve">Communication of the petitioner addressed to the Commission on April 16, 2009 (evidence file, volume XV, annex 37 to the submission of the case, folio 7027). </w:t>
      </w:r>
      <w:r w:rsidRPr="00AC57EA">
        <w:rPr>
          <w:rFonts w:cs="Arial"/>
          <w:sz w:val="16"/>
          <w:szCs w:val="16"/>
          <w:lang w:val="en-US"/>
        </w:rPr>
        <w:t xml:space="preserve">This case ended in “abatement of the instance.” </w:t>
      </w:r>
      <w:r w:rsidRPr="00AC57EA">
        <w:rPr>
          <w:i/>
          <w:sz w:val="16"/>
          <w:szCs w:val="16"/>
          <w:lang w:val="en-US"/>
        </w:rPr>
        <w:t xml:space="preserve">Cf. </w:t>
      </w:r>
      <w:r w:rsidRPr="00AC57EA">
        <w:rPr>
          <w:sz w:val="16"/>
          <w:szCs w:val="16"/>
          <w:lang w:val="en-US"/>
        </w:rPr>
        <w:t>Certification of the Jinotega Local Criminal Court of July 23, 2009 (file of procedure before the Commission, volume XI, folio 4037).</w:t>
      </w:r>
    </w:p>
  </w:footnote>
  <w:footnote w:id="172">
    <w:p w14:paraId="670E4D5F" w14:textId="5DA5BAA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On May 7, 2002, a member of the Jury Court filed a criminal complaint against V.P.C. and two journalists for the offense of defamation, owing to V.P.C.’s complaints concerning bribery and their publication in the media. In this case, the individual appointed the forensic physician’s brother as their lawyer. </w:t>
      </w:r>
      <w:r w:rsidRPr="00AC57EA">
        <w:rPr>
          <w:i/>
          <w:sz w:val="16"/>
          <w:szCs w:val="16"/>
          <w:lang w:val="en-US"/>
        </w:rPr>
        <w:t>Cf.</w:t>
      </w:r>
      <w:r w:rsidRPr="00AC57EA">
        <w:rPr>
          <w:sz w:val="16"/>
          <w:szCs w:val="16"/>
          <w:lang w:val="en-US"/>
        </w:rPr>
        <w:t xml:space="preserve"> Brief filed with the Jinotega Local Criminal Judge on May 7, 2001 (evidence file, volume XV, annex 34 to the submission of the case, folios 6980 to 6982). The journalists reached an agreement in which they undertook not to mention the complainant in their newspaper articles.</w:t>
      </w:r>
      <w:r w:rsidRPr="00AC57EA">
        <w:rPr>
          <w:i/>
          <w:sz w:val="16"/>
          <w:szCs w:val="16"/>
          <w:lang w:val="en-US"/>
        </w:rPr>
        <w:t xml:space="preserve"> Cf. </w:t>
      </w:r>
      <w:r w:rsidRPr="00AC57EA">
        <w:rPr>
          <w:sz w:val="16"/>
          <w:szCs w:val="16"/>
          <w:lang w:val="en-US"/>
        </w:rPr>
        <w:t xml:space="preserve">Record of mediation process of May 14, 2002 (file of procedure before the Commission, volume VII, folio 2584). On December 17, 2004, the </w:t>
      </w:r>
      <w:r w:rsidRPr="00AC57EA">
        <w:rPr>
          <w:rFonts w:cs="Arial"/>
          <w:sz w:val="16"/>
          <w:szCs w:val="16"/>
          <w:lang w:val="en-US"/>
        </w:rPr>
        <w:t>abatement of the instance and the closure of the complaint for defamation against</w:t>
      </w:r>
      <w:r w:rsidRPr="00AC57EA">
        <w:rPr>
          <w:sz w:val="16"/>
          <w:szCs w:val="16"/>
          <w:lang w:val="en-US"/>
        </w:rPr>
        <w:t xml:space="preserve"> V.P.C.</w:t>
      </w:r>
      <w:r w:rsidRPr="00AC57EA">
        <w:rPr>
          <w:rFonts w:cs="Arial"/>
          <w:sz w:val="16"/>
          <w:szCs w:val="16"/>
          <w:lang w:val="en-US"/>
        </w:rPr>
        <w:t xml:space="preserve"> were declared owing to the lack of procedural action by the parties.</w:t>
      </w:r>
      <w:r w:rsidRPr="00AC57EA">
        <w:rPr>
          <w:i/>
          <w:sz w:val="16"/>
          <w:szCs w:val="16"/>
          <w:lang w:val="en-US"/>
        </w:rPr>
        <w:t xml:space="preserve"> Cf. </w:t>
      </w:r>
      <w:r w:rsidRPr="00AC57EA">
        <w:rPr>
          <w:sz w:val="16"/>
          <w:szCs w:val="16"/>
          <w:lang w:val="en-US"/>
        </w:rPr>
        <w:t>Communication of the Jinotega Local Criminal Judge of February 1, 2005 (evidence file, volume XV, annex 36 to the submission of the case, folio 6992).</w:t>
      </w:r>
    </w:p>
  </w:footnote>
  <w:footnote w:id="173">
    <w:p w14:paraId="2ABB1D5D" w14:textId="77D1E5D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cs="Arial"/>
          <w:sz w:val="16"/>
          <w:szCs w:val="16"/>
          <w:lang w:val="en-US"/>
        </w:rPr>
        <w:t xml:space="preserve">On May 8, 2002, the judge of law who presided the Jury Court filed a criminal complaint against V.P.C. and her sister for defamation and libel. </w:t>
      </w:r>
      <w:r w:rsidRPr="00AC57EA">
        <w:rPr>
          <w:i/>
          <w:sz w:val="16"/>
          <w:szCs w:val="16"/>
          <w:lang w:val="en-US"/>
        </w:rPr>
        <w:t xml:space="preserve">Cf. </w:t>
      </w:r>
      <w:r w:rsidRPr="00AC57EA">
        <w:rPr>
          <w:sz w:val="16"/>
          <w:szCs w:val="16"/>
          <w:lang w:val="en-US"/>
        </w:rPr>
        <w:t>Brief presented on</w:t>
      </w:r>
      <w:r w:rsidRPr="00AC57EA">
        <w:rPr>
          <w:rFonts w:cs="Arial"/>
          <w:sz w:val="16"/>
          <w:szCs w:val="16"/>
          <w:lang w:val="en-US"/>
        </w:rPr>
        <w:t xml:space="preserve"> May 8, 2002 (evidence file, volume XV, annex 34 to the submission of the case, folios 6983 to 6985). The complainant’s lawyer was also H.R.A.’s defense counsel. On August 25, </w:t>
      </w:r>
      <w:r w:rsidRPr="00AC57EA">
        <w:rPr>
          <w:sz w:val="16"/>
          <w:szCs w:val="16"/>
          <w:lang w:val="en-US"/>
        </w:rPr>
        <w:t xml:space="preserve">2003, this action was archived owing to absence of procedural activity. </w:t>
      </w:r>
      <w:r w:rsidRPr="00AC57EA">
        <w:rPr>
          <w:i/>
          <w:sz w:val="16"/>
          <w:szCs w:val="16"/>
          <w:lang w:val="en-US"/>
        </w:rPr>
        <w:t xml:space="preserve">Cf. </w:t>
      </w:r>
      <w:r w:rsidRPr="00AC57EA">
        <w:rPr>
          <w:sz w:val="16"/>
          <w:szCs w:val="16"/>
          <w:lang w:val="en-US"/>
        </w:rPr>
        <w:t>Communication of the Jinotega Local Criminal Judge of February 1, 2005 (evidence file, volume XV, annex 36 to the submission of the case, folio 6992).</w:t>
      </w:r>
    </w:p>
  </w:footnote>
  <w:footnote w:id="174">
    <w:p w14:paraId="409E6618" w14:textId="25B3B5B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Preliminary statement made by H.R.A. on November 21, 2001 (evidence file, volume XV, annex 2.d to the submission of the case, folios 6640 and 6644), and Presentation made by V.P.C.’s legal representative to the Disciplinary Committee of the Supreme Court of Justice on July 1, 2003 (evidence file, volume XV, annex 25 to the submission of the case, folio 6897).</w:t>
      </w:r>
    </w:p>
  </w:footnote>
  <w:footnote w:id="175">
    <w:p w14:paraId="17BF6E47" w14:textId="1EF4AF5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Report on the migratory movements of V.P.C. and V.R.P. issued by the Director of the Nicaraguan Immigration Department on May 6, 2014 (evidence file, volume XVII, annex 41 to the answering brief, folios 8334 to 8336).</w:t>
      </w:r>
    </w:p>
  </w:footnote>
  <w:footnote w:id="176">
    <w:p w14:paraId="25F65F2E" w14:textId="1977EF9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Presentation made by V.P.C.’s legal representative to the Disciplinary Committee of the Supreme Court of Justice on July 1, 2003 (evidence file, volume XV, annex 25 to the submission of the case, folios 6897 and 6898); Decision of the Immigration Court of Miami, Florida, of September 23, 2003 (evidence file, volume XV, annex 40 to the submission of the case, folios 7055 a 7058), and Decisions of the Immigration Court of Miami, Florida, of March 22, 2005 (evidence file, volume XV, annex 39 to the submission of the case, folios 7050 to 7053).</w:t>
      </w:r>
    </w:p>
  </w:footnote>
  <w:footnote w:id="177">
    <w:p w14:paraId="77AE22D4" w14:textId="09DFCB7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Communication of Kristi House, non-governmental organization based in Miami, Florida, of January 3, 2005 (evidence file, volume XV, annex 41 to the submission of the case, folio 7060).</w:t>
      </w:r>
    </w:p>
  </w:footnote>
  <w:footnote w:id="178">
    <w:p w14:paraId="6E7B04EA" w14:textId="26A3453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Communication of the petitioner to the Commission of November 24,, 2003 (evidence file, volume XV, annex 38 to the submission of the case, folio 7048).</w:t>
      </w:r>
    </w:p>
  </w:footnote>
  <w:footnote w:id="179">
    <w:p w14:paraId="0078866A" w14:textId="28AED6A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Certification of hospitalization of V.R.P. in Miami Children’s Hospital dated April 3, 2008 (evidence file, volume XVI, annex E.20 to the brief with pleadings, motions and evidence, folio 7359), and Statement made by V.P.C. before the Inter-American Court during the public hearing held on October 16 and 17, 2017.</w:t>
      </w:r>
    </w:p>
  </w:footnote>
  <w:footnote w:id="180">
    <w:p w14:paraId="2AC9384C" w14:textId="5E87D0F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Psychological report of the Institute of Forensic Medicine, Supreme Court of Justice of Nicaragua, of November 27, 2001 (file of procedure before</w:t>
      </w:r>
      <w:r w:rsidRPr="00AC57EA">
        <w:rPr>
          <w:rFonts w:cs="Verdana"/>
          <w:sz w:val="16"/>
          <w:szCs w:val="16"/>
          <w:lang w:val="en-US"/>
        </w:rPr>
        <w:t xml:space="preserve"> the Commission</w:t>
      </w:r>
      <w:r w:rsidRPr="00AC57EA">
        <w:rPr>
          <w:sz w:val="16"/>
          <w:szCs w:val="16"/>
          <w:lang w:val="en-US"/>
        </w:rPr>
        <w:t>, volume III, folio 1099);</w:t>
      </w:r>
      <w:r w:rsidRPr="00AC57EA">
        <w:rPr>
          <w:rFonts w:cs="Arial-BoldItalicMT"/>
          <w:bCs/>
          <w:iCs/>
          <w:sz w:val="16"/>
          <w:szCs w:val="16"/>
          <w:lang w:val="en-US"/>
        </w:rPr>
        <w:t xml:space="preserve"> Psychiatric diagnosis of January 25, 2002 </w:t>
      </w:r>
      <w:r w:rsidRPr="00AC57EA">
        <w:rPr>
          <w:sz w:val="16"/>
          <w:szCs w:val="16"/>
          <w:lang w:val="en-US"/>
        </w:rPr>
        <w:t>(evidence file, volume XVI, annex E.5 to the brief with pleadings, motions and evidence, folios 7289 and 7290); Follow-up report on the child V.R.P. prepared on February 21, 2002, by Dr. María Delma Terán Caldera, psychiatrist of the Victoria Motta Hospital, Jinotega (evidence file, volume XVII, annex 17 to the answering brief, folios 8232 and 8233), and Psycho-social report on the household of V.P.C. prepared by the Ministry of the Family for the purposes of the proceedings to dissolve the marital ties between V.P.C. and H.R.A. dated July 11, 2002 (file of procedure before the Commission, volume VIII, folios 3281 to 3290).</w:t>
      </w:r>
    </w:p>
  </w:footnote>
  <w:footnote w:id="181">
    <w:p w14:paraId="04818066" w14:textId="744368E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Report on the migratory movements of V.P.C. and V.R.P. issued by the Director of the Nicaraguan Immigration Department on May 6, 2014 (evidence file, volume XVII, annex 41 to the answering brief, folios 8334 to 8336).</w:t>
      </w:r>
    </w:p>
  </w:footnote>
  <w:footnote w:id="182">
    <w:p w14:paraId="77277E4A" w14:textId="36E53180" w:rsidR="003C0AC1" w:rsidRPr="00AC57EA" w:rsidRDefault="003C0AC1" w:rsidP="00AC57EA">
      <w:pPr>
        <w:tabs>
          <w:tab w:val="left" w:pos="540"/>
          <w:tab w:val="left" w:pos="1080"/>
          <w:tab w:val="left" w:pos="1680"/>
          <w:tab w:val="left" w:pos="5400"/>
        </w:tabs>
        <w:suppressAutoHyphen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Articles 5(1) and 5(2) of the Convention establish that: “[e]</w:t>
      </w:r>
      <w:r w:rsidRPr="00AC57EA">
        <w:rPr>
          <w:spacing w:val="-3"/>
          <w:sz w:val="16"/>
          <w:szCs w:val="16"/>
          <w:lang w:val="en-US"/>
        </w:rPr>
        <w:t>very person has the right to have his physical, mental, and moral integrity respected,” and “[n]o one shall be subjected to torture or to cruel, inhuman, or degrading punishment or treatment.</w:t>
      </w:r>
      <w:r w:rsidRPr="00AC57EA">
        <w:rPr>
          <w:sz w:val="16"/>
          <w:szCs w:val="16"/>
          <w:lang w:val="en-US"/>
        </w:rPr>
        <w:t>”</w:t>
      </w:r>
    </w:p>
  </w:footnote>
  <w:footnote w:id="183">
    <w:p w14:paraId="4124CC0A" w14:textId="731DA9F4" w:rsidR="003C0AC1" w:rsidRPr="00AC57EA" w:rsidRDefault="003C0AC1" w:rsidP="00AC57EA">
      <w:pPr>
        <w:pStyle w:val="Textonotapie"/>
        <w:tabs>
          <w:tab w:val="left" w:pos="540"/>
          <w:tab w:val="left" w:pos="72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11(2)</w:t>
      </w:r>
      <w:r w:rsidRPr="00AC57EA">
        <w:rPr>
          <w:rFonts w:cs="Tahoma"/>
          <w:sz w:val="16"/>
          <w:szCs w:val="16"/>
          <w:lang w:val="en-US"/>
        </w:rPr>
        <w:t xml:space="preserve"> of the </w:t>
      </w:r>
      <w:r w:rsidRPr="00AC57EA">
        <w:rPr>
          <w:sz w:val="16"/>
          <w:szCs w:val="16"/>
          <w:lang w:val="en-US"/>
        </w:rPr>
        <w:t xml:space="preserve">Convention establishes that: </w:t>
      </w:r>
      <w:r w:rsidRPr="00AC57EA">
        <w:rPr>
          <w:rFonts w:cs="Tahoma"/>
          <w:sz w:val="16"/>
          <w:szCs w:val="16"/>
          <w:lang w:val="en-US"/>
        </w:rPr>
        <w:t>“</w:t>
      </w:r>
      <w:r w:rsidRPr="00AC57EA">
        <w:rPr>
          <w:sz w:val="16"/>
          <w:szCs w:val="16"/>
          <w:lang w:val="en-US"/>
        </w:rPr>
        <w:t>[n]</w:t>
      </w:r>
      <w:r w:rsidRPr="00AC57EA">
        <w:rPr>
          <w:spacing w:val="-3"/>
          <w:sz w:val="16"/>
          <w:szCs w:val="16"/>
          <w:lang w:val="en-US"/>
        </w:rPr>
        <w:t>o one may be the object of arbitrary or abusive interference with his private life, his family, his home, or his correspondence, or of unlawful attacks on his honor or reputation.</w:t>
      </w:r>
      <w:r w:rsidRPr="00AC57EA">
        <w:rPr>
          <w:sz w:val="16"/>
          <w:szCs w:val="16"/>
          <w:lang w:val="en-US"/>
        </w:rPr>
        <w:t>”</w:t>
      </w:r>
    </w:p>
  </w:footnote>
  <w:footnote w:id="184">
    <w:p w14:paraId="3BB47420" w14:textId="5242E96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19</w:t>
      </w:r>
      <w:r w:rsidRPr="00AC57EA">
        <w:rPr>
          <w:rFonts w:cs="Tahoma"/>
          <w:sz w:val="16"/>
          <w:szCs w:val="16"/>
          <w:lang w:val="en-US"/>
        </w:rPr>
        <w:t xml:space="preserve"> of the </w:t>
      </w:r>
      <w:r w:rsidRPr="00AC57EA">
        <w:rPr>
          <w:sz w:val="16"/>
          <w:szCs w:val="16"/>
          <w:lang w:val="en-US"/>
        </w:rPr>
        <w:t xml:space="preserve">Convention stipulates that: </w:t>
      </w:r>
      <w:r w:rsidRPr="00AC57EA">
        <w:rPr>
          <w:rFonts w:cs="Tahoma"/>
          <w:sz w:val="16"/>
          <w:szCs w:val="16"/>
          <w:lang w:val="en-US"/>
        </w:rPr>
        <w:t>“</w:t>
      </w:r>
      <w:r w:rsidRPr="00AC57EA">
        <w:rPr>
          <w:sz w:val="16"/>
          <w:szCs w:val="16"/>
          <w:lang w:val="en-US"/>
        </w:rPr>
        <w:t>[e]</w:t>
      </w:r>
      <w:r w:rsidRPr="00AC57EA">
        <w:rPr>
          <w:spacing w:val="-3"/>
          <w:sz w:val="16"/>
          <w:szCs w:val="16"/>
          <w:lang w:val="en-US"/>
        </w:rPr>
        <w:t>very minor child has the right to the measures of protection required by his condition as a minor on the part of his family, society, and the State.”</w:t>
      </w:r>
    </w:p>
  </w:footnote>
  <w:footnote w:id="185">
    <w:p w14:paraId="1027D4D2" w14:textId="540DFC9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24 of the Convention establishes that: “[a]</w:t>
      </w:r>
      <w:r w:rsidRPr="00AC57EA">
        <w:rPr>
          <w:spacing w:val="-3"/>
          <w:sz w:val="16"/>
          <w:szCs w:val="16"/>
          <w:lang w:val="en-US"/>
        </w:rPr>
        <w:t>ll persons are equal before the law. Consequently, they are entitled, without discrimination, to equal protection of the law.</w:t>
      </w:r>
      <w:r w:rsidRPr="00AC57EA">
        <w:rPr>
          <w:sz w:val="16"/>
          <w:szCs w:val="16"/>
          <w:lang w:val="en-US"/>
        </w:rPr>
        <w:t>”</w:t>
      </w:r>
    </w:p>
  </w:footnote>
  <w:footnote w:id="186">
    <w:p w14:paraId="14D7B6F6" w14:textId="1C7BF37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8(1) of the Convention stipulates that “[t]</w:t>
      </w:r>
      <w:r w:rsidRPr="00AC57EA">
        <w:rPr>
          <w:spacing w:val="-3"/>
          <w:sz w:val="16"/>
          <w:szCs w:val="16"/>
          <w:lang w:val="en-US"/>
        </w:rPr>
        <w:t xml:space="preserve">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87">
    <w:p w14:paraId="463CC0D7" w14:textId="069FF91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The pertinent part of Article 25 of the Convention establishes that: 1. </w:t>
      </w:r>
      <w:r w:rsidRPr="00AC57EA">
        <w:rPr>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AC57EA">
        <w:rPr>
          <w:sz w:val="16"/>
          <w:szCs w:val="16"/>
          <w:lang w:val="en-US"/>
        </w:rPr>
        <w:t xml:space="preserve">. 2. </w:t>
      </w:r>
      <w:r w:rsidRPr="00AC57EA">
        <w:rPr>
          <w:spacing w:val="-3"/>
          <w:sz w:val="16"/>
          <w:szCs w:val="16"/>
          <w:lang w:val="en-US"/>
        </w:rPr>
        <w:t>The States Parties undertake</w:t>
      </w:r>
      <w:r w:rsidRPr="00AC57EA">
        <w:rPr>
          <w:sz w:val="16"/>
          <w:szCs w:val="16"/>
          <w:lang w:val="en-US"/>
        </w:rPr>
        <w:t xml:space="preserve">: (a) </w:t>
      </w:r>
      <w:r w:rsidRPr="00AC57EA">
        <w:rPr>
          <w:spacing w:val="-3"/>
          <w:sz w:val="16"/>
          <w:szCs w:val="16"/>
          <w:lang w:val="en-US"/>
        </w:rPr>
        <w:t>to ensure that any person claiming such remedy shall have his rights determined by the competent authority provided for by the legal system of the State</w:t>
      </w:r>
      <w:r w:rsidRPr="00AC57EA">
        <w:rPr>
          <w:sz w:val="16"/>
          <w:szCs w:val="16"/>
          <w:lang w:val="en-US"/>
        </w:rPr>
        <w:t>. […]</w:t>
      </w:r>
    </w:p>
  </w:footnote>
  <w:footnote w:id="188">
    <w:p w14:paraId="23BEDDB6" w14:textId="40D267E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1(1)</w:t>
      </w:r>
      <w:r w:rsidRPr="00AC57EA">
        <w:rPr>
          <w:rFonts w:cs="Tahoma"/>
          <w:sz w:val="16"/>
          <w:szCs w:val="16"/>
          <w:lang w:val="en-US"/>
        </w:rPr>
        <w:t xml:space="preserve"> of the </w:t>
      </w:r>
      <w:r w:rsidRPr="00AC57EA">
        <w:rPr>
          <w:sz w:val="16"/>
          <w:szCs w:val="16"/>
          <w:lang w:val="en-US"/>
        </w:rPr>
        <w:t>Convention</w:t>
      </w:r>
      <w:r w:rsidRPr="00AC57EA">
        <w:rPr>
          <w:rFonts w:cs="Tahoma"/>
          <w:sz w:val="16"/>
          <w:szCs w:val="16"/>
          <w:lang w:val="en-US"/>
        </w:rPr>
        <w:t xml:space="preserve"> stipulates that: “</w:t>
      </w:r>
      <w:r w:rsidRPr="00AC57EA">
        <w:rPr>
          <w:sz w:val="16"/>
          <w:szCs w:val="16"/>
          <w:lang w:val="en-US"/>
        </w:rPr>
        <w:t>[t]</w:t>
      </w:r>
      <w:r w:rsidRPr="00AC57EA">
        <w:rPr>
          <w:spacing w:val="-3"/>
          <w:sz w:val="16"/>
          <w:szCs w:val="16"/>
          <w:lang w:val="en-US"/>
        </w:rPr>
        <w: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AC57EA">
        <w:rPr>
          <w:sz w:val="16"/>
          <w:szCs w:val="16"/>
          <w:lang w:val="en-US"/>
        </w:rPr>
        <w:t>”</w:t>
      </w:r>
    </w:p>
  </w:footnote>
  <w:footnote w:id="189">
    <w:p w14:paraId="6C4C4E48" w14:textId="678F6A00" w:rsidR="003C0AC1" w:rsidRPr="00AC57EA" w:rsidRDefault="003C0AC1" w:rsidP="00AC57EA">
      <w:pPr>
        <w:pStyle w:val="Default"/>
        <w:tabs>
          <w:tab w:val="left" w:pos="540"/>
        </w:tabs>
        <w:spacing w:after="60"/>
        <w:jc w:val="both"/>
        <w:rPr>
          <w:rFonts w:ascii="Verdana" w:eastAsiaTheme="minorHAnsi" w:hAnsi="Verdana" w:cs="Calibri"/>
          <w:sz w:val="16"/>
          <w:szCs w:val="16"/>
          <w:lang w:val="en-US" w:eastAsia="en-US"/>
        </w:rPr>
      </w:pPr>
      <w:r w:rsidRPr="00AC57EA">
        <w:rPr>
          <w:rStyle w:val="Refdenotaalpie"/>
          <w:rFonts w:ascii="Verdana" w:hAnsi="Verdana"/>
          <w:sz w:val="16"/>
          <w:szCs w:val="16"/>
          <w:lang w:val="en-US"/>
        </w:rPr>
        <w:footnoteRef/>
      </w:r>
      <w:r w:rsidRPr="00AC57EA">
        <w:rPr>
          <w:rFonts w:ascii="Verdana" w:hAnsi="Verdana"/>
          <w:sz w:val="16"/>
          <w:szCs w:val="16"/>
          <w:lang w:val="en-US"/>
        </w:rPr>
        <w:t xml:space="preserve"> </w:t>
      </w:r>
      <w:r w:rsidRPr="00AC57EA">
        <w:rPr>
          <w:rFonts w:ascii="Verdana" w:hAnsi="Verdana"/>
          <w:sz w:val="16"/>
          <w:szCs w:val="16"/>
          <w:lang w:val="en-US"/>
        </w:rPr>
        <w:tab/>
        <w:t xml:space="preserve">Article 7(b) of the Convention of Belém do Pará establishes that “[t]he States Parties condemn all forms of violence against women and agree to pursue, by all appropriate means and without delay, policies to prevent, punish and eradicate such violence and undertake to: […] (b) </w:t>
      </w:r>
      <w:r w:rsidRPr="00AC57EA">
        <w:rPr>
          <w:rFonts w:ascii="Verdana" w:eastAsiaTheme="minorHAnsi" w:hAnsi="Verdana" w:cs="Calibri"/>
          <w:sz w:val="16"/>
          <w:szCs w:val="16"/>
          <w:lang w:val="en-US" w:eastAsia="en-US"/>
        </w:rPr>
        <w:t>apply due diligence to prevent, investigate and impose penalties for violence against women.</w:t>
      </w:r>
      <w:r w:rsidRPr="00AC57EA">
        <w:rPr>
          <w:rFonts w:ascii="Verdana" w:hAnsi="Verdana"/>
          <w:sz w:val="16"/>
          <w:szCs w:val="16"/>
          <w:lang w:val="en-US"/>
        </w:rPr>
        <w:t>”</w:t>
      </w:r>
    </w:p>
  </w:footnote>
  <w:footnote w:id="190">
    <w:p w14:paraId="4663FEB7" w14:textId="03A7BF4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Although this judgment refers to a female child who was a victim of sexual violence, the jurisprudential criteria developed herein are applicable to all children and adolescents without any distinction.</w:t>
      </w:r>
    </w:p>
  </w:footnote>
  <w:footnote w:id="191">
    <w:p w14:paraId="052F9551" w14:textId="323CD0C8" w:rsidR="003C0AC1" w:rsidRPr="00AC57EA" w:rsidRDefault="003C0AC1" w:rsidP="00AC57EA">
      <w:pPr>
        <w:tabs>
          <w:tab w:val="left" w:pos="540"/>
        </w:tabs>
        <w:spacing w:after="60" w:line="240" w:lineRule="auto"/>
        <w:rPr>
          <w:bCs/>
          <w:i/>
          <w:sz w:val="16"/>
          <w:szCs w:val="16"/>
          <w:lang w:val="en-US"/>
        </w:rPr>
      </w:pPr>
      <w:r w:rsidRPr="00AC57EA">
        <w:rPr>
          <w:rStyle w:val="Refdenotaalpie"/>
          <w:rFonts w:eastAsia="MS Mincho"/>
          <w:sz w:val="16"/>
          <w:szCs w:val="16"/>
          <w:lang w:val="en-US"/>
        </w:rPr>
        <w:footnoteRef/>
      </w:r>
      <w:r w:rsidRPr="00AC57EA">
        <w:rPr>
          <w:sz w:val="16"/>
          <w:szCs w:val="16"/>
        </w:rPr>
        <w:t xml:space="preserve"> </w:t>
      </w:r>
      <w:r w:rsidRPr="00AC57EA">
        <w:rPr>
          <w:sz w:val="16"/>
          <w:szCs w:val="16"/>
        </w:rPr>
        <w:tab/>
      </w:r>
      <w:r w:rsidRPr="00AC57EA">
        <w:rPr>
          <w:i/>
          <w:sz w:val="16"/>
          <w:szCs w:val="16"/>
        </w:rPr>
        <w:t xml:space="preserve">Cf. </w:t>
      </w:r>
      <w:r w:rsidRPr="00AC57EA">
        <w:rPr>
          <w:bCs/>
          <w:i/>
          <w:sz w:val="16"/>
          <w:szCs w:val="16"/>
        </w:rPr>
        <w:t xml:space="preserve">Case of Velásquez Rodríguez v. Honduras. </w:t>
      </w:r>
      <w:r w:rsidRPr="00AC57EA">
        <w:rPr>
          <w:bCs/>
          <w:i/>
          <w:sz w:val="16"/>
          <w:szCs w:val="16"/>
          <w:lang w:val="en-US"/>
        </w:rPr>
        <w:t>Preliminary objections, supra</w:t>
      </w:r>
      <w:r w:rsidRPr="00AC57EA">
        <w:rPr>
          <w:bCs/>
          <w:sz w:val="16"/>
          <w:szCs w:val="16"/>
          <w:lang w:val="en-US"/>
        </w:rPr>
        <w:t>, para. 91</w:t>
      </w:r>
      <w:r w:rsidRPr="00AC57EA">
        <w:rPr>
          <w:sz w:val="16"/>
          <w:szCs w:val="16"/>
          <w:lang w:val="en-US"/>
        </w:rPr>
        <w:t>,</w:t>
      </w:r>
      <w:r w:rsidRPr="00AC57EA">
        <w:rPr>
          <w:i/>
          <w:sz w:val="16"/>
          <w:szCs w:val="16"/>
          <w:lang w:val="en-US"/>
        </w:rPr>
        <w:t xml:space="preserve"> and </w:t>
      </w:r>
      <w:r w:rsidRPr="00AC57EA">
        <w:rPr>
          <w:bCs/>
          <w:i/>
          <w:sz w:val="16"/>
          <w:szCs w:val="16"/>
          <w:lang w:val="en-US"/>
        </w:rPr>
        <w:t xml:space="preserve">Case of Gutiérrez Hernández et al. v. Guatemala. Preliminary objections, merits, reparations and costs. </w:t>
      </w:r>
      <w:r w:rsidRPr="00AC57EA">
        <w:rPr>
          <w:bCs/>
          <w:sz w:val="16"/>
          <w:szCs w:val="16"/>
          <w:lang w:val="en-US"/>
        </w:rPr>
        <w:t>Judgment of August 24, 2017. Series C No. 339</w:t>
      </w:r>
      <w:r w:rsidRPr="00AC57EA">
        <w:rPr>
          <w:sz w:val="16"/>
          <w:szCs w:val="16"/>
          <w:lang w:val="en-US"/>
        </w:rPr>
        <w:t>, para. 147</w:t>
      </w:r>
      <w:r w:rsidRPr="00AC57EA">
        <w:rPr>
          <w:i/>
          <w:sz w:val="16"/>
          <w:szCs w:val="16"/>
          <w:lang w:val="en-US"/>
        </w:rPr>
        <w:t>.</w:t>
      </w:r>
    </w:p>
  </w:footnote>
  <w:footnote w:id="192">
    <w:p w14:paraId="34F0E98D" w14:textId="2EA29CD3" w:rsidR="003C0AC1" w:rsidRPr="00D22834" w:rsidRDefault="003C0AC1" w:rsidP="00AC57EA">
      <w:pPr>
        <w:tabs>
          <w:tab w:val="left" w:pos="540"/>
        </w:tabs>
        <w:spacing w:after="60" w:line="240" w:lineRule="auto"/>
        <w:rPr>
          <w:sz w:val="16"/>
          <w:szCs w:val="16"/>
        </w:rPr>
      </w:pPr>
      <w:r w:rsidRPr="00AC57EA">
        <w:rPr>
          <w:rStyle w:val="Refdenotaalpie"/>
          <w:rFonts w:eastAsia="MS Mincho"/>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t>
      </w:r>
      <w:r w:rsidRPr="00AC57EA">
        <w:rPr>
          <w:i/>
          <w:iCs/>
          <w:sz w:val="16"/>
          <w:szCs w:val="16"/>
          <w:lang w:val="en-US"/>
        </w:rPr>
        <w:t xml:space="preserve">Case of Bulacio v. Argentina. Merits, reparations and costs. </w:t>
      </w:r>
      <w:r w:rsidRPr="00AC57EA">
        <w:rPr>
          <w:iCs/>
          <w:sz w:val="16"/>
          <w:szCs w:val="16"/>
          <w:lang w:val="en-US"/>
        </w:rPr>
        <w:t xml:space="preserve">Judgment of September 18, 2003. </w:t>
      </w:r>
      <w:r w:rsidRPr="00D22834">
        <w:rPr>
          <w:iCs/>
          <w:sz w:val="16"/>
          <w:szCs w:val="16"/>
          <w:lang w:val="en-US"/>
        </w:rPr>
        <w:t>Series C No. 100,</w:t>
      </w:r>
      <w:r w:rsidRPr="00D22834">
        <w:rPr>
          <w:i/>
          <w:iCs/>
          <w:sz w:val="16"/>
          <w:szCs w:val="16"/>
          <w:lang w:val="en-US"/>
        </w:rPr>
        <w:t xml:space="preserve"> </w:t>
      </w:r>
      <w:r w:rsidRPr="00D22834">
        <w:rPr>
          <w:sz w:val="16"/>
          <w:szCs w:val="16"/>
          <w:lang w:val="en-US"/>
        </w:rPr>
        <w:t xml:space="preserve">para. 114, and </w:t>
      </w:r>
      <w:r w:rsidRPr="00D22834">
        <w:rPr>
          <w:i/>
          <w:sz w:val="16"/>
          <w:szCs w:val="16"/>
          <w:lang w:val="en-US"/>
        </w:rPr>
        <w:t>Case of Gutiérrez Hernández et al. v. Guatemala, supra</w:t>
      </w:r>
      <w:r w:rsidRPr="00D22834">
        <w:rPr>
          <w:sz w:val="16"/>
          <w:szCs w:val="16"/>
          <w:lang w:val="en-US"/>
        </w:rPr>
        <w:t xml:space="preserve">, para. </w:t>
      </w:r>
      <w:r w:rsidRPr="00D22834">
        <w:rPr>
          <w:sz w:val="16"/>
          <w:szCs w:val="16"/>
        </w:rPr>
        <w:t>147.</w:t>
      </w:r>
    </w:p>
  </w:footnote>
  <w:footnote w:id="193">
    <w:p w14:paraId="7EF1E622" w14:textId="1B3DA5C0" w:rsidR="003C0AC1" w:rsidRPr="00AC57EA" w:rsidRDefault="003C0AC1" w:rsidP="00AC57EA">
      <w:pPr>
        <w:pStyle w:val="Textonotapie"/>
        <w:tabs>
          <w:tab w:val="left" w:pos="540"/>
        </w:tabs>
        <w:spacing w:after="60"/>
        <w:rPr>
          <w:sz w:val="16"/>
          <w:szCs w:val="16"/>
          <w:lang w:val="en-US"/>
        </w:rPr>
      </w:pPr>
      <w:r w:rsidRPr="00AC57EA">
        <w:rPr>
          <w:rStyle w:val="Refdenotaalpie"/>
          <w:rFonts w:eastAsia="MS Mincho"/>
          <w:sz w:val="16"/>
          <w:szCs w:val="16"/>
          <w:lang w:val="en-US"/>
        </w:rPr>
        <w:footnoteRef/>
      </w:r>
      <w:r w:rsidRPr="00AC57EA">
        <w:rPr>
          <w:sz w:val="16"/>
          <w:szCs w:val="16"/>
          <w:lang w:val="es-CR"/>
        </w:rPr>
        <w:t xml:space="preserve"> </w:t>
      </w:r>
      <w:r w:rsidRPr="00AC57EA">
        <w:rPr>
          <w:sz w:val="16"/>
          <w:szCs w:val="16"/>
          <w:lang w:val="es-CR"/>
        </w:rPr>
        <w:tab/>
      </w:r>
      <w:r w:rsidRPr="00AC57EA">
        <w:rPr>
          <w:i/>
          <w:sz w:val="16"/>
          <w:szCs w:val="16"/>
          <w:lang w:val="es-CR"/>
        </w:rPr>
        <w:t xml:space="preserve">Case of Velásquez Rodríguez v. Honduras. </w:t>
      </w:r>
      <w:r w:rsidRPr="00D22834">
        <w:rPr>
          <w:i/>
          <w:sz w:val="16"/>
          <w:szCs w:val="16"/>
          <w:lang w:val="es-CR"/>
        </w:rPr>
        <w:t>Merits, supra</w:t>
      </w:r>
      <w:r w:rsidRPr="00D22834">
        <w:rPr>
          <w:sz w:val="16"/>
          <w:szCs w:val="16"/>
          <w:lang w:val="es-CR"/>
        </w:rPr>
        <w:t xml:space="preserve">, para. 177, and </w:t>
      </w:r>
      <w:r w:rsidRPr="00D22834">
        <w:rPr>
          <w:i/>
          <w:sz w:val="16"/>
          <w:szCs w:val="16"/>
          <w:lang w:val="es-CR"/>
        </w:rPr>
        <w:t>Case of Velásquez Paiz et al. v. Guatemala</w:t>
      </w:r>
      <w:r w:rsidRPr="00D22834">
        <w:rPr>
          <w:sz w:val="16"/>
          <w:szCs w:val="16"/>
          <w:lang w:val="es-CR"/>
        </w:rPr>
        <w:t xml:space="preserve">. </w:t>
      </w:r>
      <w:r w:rsidRPr="00AC57EA">
        <w:rPr>
          <w:i/>
          <w:sz w:val="16"/>
          <w:szCs w:val="16"/>
          <w:lang w:val="en-US"/>
        </w:rPr>
        <w:t>Preliminary objections, merits, reparations and costs.</w:t>
      </w:r>
      <w:r w:rsidRPr="00AC57EA">
        <w:rPr>
          <w:sz w:val="16"/>
          <w:szCs w:val="16"/>
          <w:lang w:val="en-US"/>
        </w:rPr>
        <w:t xml:space="preserve"> Judgment of November 19, 2015. Series C No. 307, para. 143.</w:t>
      </w:r>
    </w:p>
  </w:footnote>
  <w:footnote w:id="194">
    <w:p w14:paraId="2116A189" w14:textId="5826C2D8" w:rsidR="003C0AC1" w:rsidRPr="00AC57EA" w:rsidRDefault="003C0AC1" w:rsidP="00AC57EA">
      <w:pPr>
        <w:tabs>
          <w:tab w:val="left" w:pos="540"/>
        </w:tabs>
        <w:spacing w:after="60" w:line="240" w:lineRule="auto"/>
        <w:rPr>
          <w:sz w:val="16"/>
          <w:szCs w:val="16"/>
          <w:lang w:val="en-US"/>
        </w:rPr>
      </w:pPr>
      <w:r w:rsidRPr="00AC57EA">
        <w:rPr>
          <w:rStyle w:val="Refdenotaalpie"/>
          <w:rFonts w:eastAsia="MS Mincho"/>
          <w:sz w:val="16"/>
          <w:szCs w:val="16"/>
          <w:lang w:val="en-US"/>
        </w:rPr>
        <w:footnoteRef/>
      </w:r>
      <w:r w:rsidRPr="00AC57EA">
        <w:rPr>
          <w:sz w:val="16"/>
          <w:szCs w:val="16"/>
          <w:lang w:val="en-US"/>
        </w:rPr>
        <w:tab/>
      </w:r>
      <w:r w:rsidRPr="00AC57EA">
        <w:rPr>
          <w:i/>
          <w:sz w:val="16"/>
          <w:szCs w:val="16"/>
          <w:lang w:val="en-US"/>
        </w:rPr>
        <w:t>Cf.</w:t>
      </w:r>
      <w:r w:rsidRPr="00AC57EA">
        <w:rPr>
          <w:sz w:val="16"/>
          <w:szCs w:val="16"/>
          <w:lang w:val="en-US"/>
        </w:rPr>
        <w:t xml:space="preserve"> </w:t>
      </w:r>
      <w:r w:rsidRPr="00AC57EA">
        <w:rPr>
          <w:bCs/>
          <w:i/>
          <w:sz w:val="16"/>
          <w:szCs w:val="16"/>
          <w:lang w:val="en-US"/>
        </w:rPr>
        <w:t xml:space="preserve">Case of the Serrano Cruz Sisters v. El Salvador. Merits, reparations and costs. </w:t>
      </w:r>
      <w:r w:rsidRPr="00AC57EA">
        <w:rPr>
          <w:bCs/>
          <w:sz w:val="16"/>
          <w:szCs w:val="16"/>
          <w:lang w:val="en-US"/>
        </w:rPr>
        <w:t>Judgment of March 1, 2005. Series C No. 120</w:t>
      </w:r>
      <w:r w:rsidRPr="00AC57EA">
        <w:rPr>
          <w:bCs/>
          <w:i/>
          <w:sz w:val="16"/>
          <w:szCs w:val="16"/>
          <w:lang w:val="en-US"/>
        </w:rPr>
        <w:t xml:space="preserve">, </w:t>
      </w:r>
      <w:r w:rsidRPr="00AC57EA">
        <w:rPr>
          <w:sz w:val="16"/>
          <w:szCs w:val="16"/>
          <w:lang w:val="en-US"/>
        </w:rPr>
        <w:t xml:space="preserve">para. 83, and </w:t>
      </w:r>
      <w:r w:rsidRPr="00AC57EA">
        <w:rPr>
          <w:rFonts w:eastAsiaTheme="minorHAnsi" w:cstheme="minorBidi"/>
          <w:i/>
          <w:sz w:val="16"/>
          <w:szCs w:val="16"/>
          <w:lang w:val="en-US" w:eastAsia="en-US"/>
        </w:rPr>
        <w:t>Case of Pacheco León et al. v. Honduras, supra</w:t>
      </w:r>
      <w:r w:rsidRPr="00AC57EA">
        <w:rPr>
          <w:rFonts w:eastAsiaTheme="minorHAnsi" w:cstheme="minorBidi"/>
          <w:sz w:val="16"/>
          <w:szCs w:val="16"/>
          <w:lang w:val="en-US" w:eastAsia="en-US"/>
        </w:rPr>
        <w:t>, para. 75.</w:t>
      </w:r>
    </w:p>
  </w:footnote>
  <w:footnote w:id="195">
    <w:p w14:paraId="7FDA5D44" w14:textId="6F810FD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sz w:val="16"/>
          <w:szCs w:val="16"/>
          <w:lang w:val="en-US"/>
        </w:rPr>
        <w:t xml:space="preserve">Cf. Case of Fernández Ortega et al. v. Mexico. </w:t>
      </w:r>
      <w:r w:rsidRPr="00AC57EA">
        <w:rPr>
          <w:i/>
          <w:sz w:val="16"/>
          <w:szCs w:val="16"/>
          <w:lang w:val="en-US"/>
        </w:rPr>
        <w:t xml:space="preserve">Preliminary objection, merits, reparations and costs. </w:t>
      </w:r>
      <w:r w:rsidRPr="00AC57EA">
        <w:rPr>
          <w:sz w:val="16"/>
          <w:szCs w:val="16"/>
          <w:lang w:val="en-US"/>
        </w:rPr>
        <w:t xml:space="preserve">Judgment of August 30, 2010. Series C No. 215, para. 193, and </w:t>
      </w:r>
      <w:r w:rsidRPr="00AC57EA">
        <w:rPr>
          <w:i/>
          <w:sz w:val="16"/>
          <w:szCs w:val="16"/>
          <w:lang w:val="en-US"/>
        </w:rPr>
        <w:t>Case of Gutiérrez Hernández et al. v. Guatemala, supra</w:t>
      </w:r>
      <w:r w:rsidRPr="00AC57EA">
        <w:rPr>
          <w:rStyle w:val="Textoennegrita"/>
          <w:b w:val="0"/>
          <w:sz w:val="16"/>
          <w:szCs w:val="16"/>
          <w:shd w:val="clear" w:color="auto" w:fill="FFFFFF"/>
          <w:lang w:val="en-US"/>
        </w:rPr>
        <w:t>,</w:t>
      </w:r>
      <w:r w:rsidRPr="00AC57EA">
        <w:rPr>
          <w:i/>
          <w:sz w:val="16"/>
          <w:szCs w:val="16"/>
          <w:lang w:val="en-US"/>
        </w:rPr>
        <w:t xml:space="preserve"> </w:t>
      </w:r>
      <w:r w:rsidRPr="00AC57EA">
        <w:rPr>
          <w:sz w:val="16"/>
          <w:szCs w:val="16"/>
          <w:lang w:val="en-US"/>
        </w:rPr>
        <w:t>para. 149.</w:t>
      </w:r>
    </w:p>
  </w:footnote>
  <w:footnote w:id="196">
    <w:p w14:paraId="4DF1BF84" w14:textId="3A73691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González et al. </w:t>
      </w:r>
      <w:r w:rsidRPr="00AC57EA">
        <w:rPr>
          <w:i/>
          <w:sz w:val="16"/>
          <w:szCs w:val="16"/>
          <w:lang w:val="es-CR"/>
        </w:rPr>
        <w:t>(“Cotton Field”) v. Mexico, supra</w:t>
      </w:r>
      <w:r w:rsidRPr="00AC57EA">
        <w:rPr>
          <w:sz w:val="16"/>
          <w:szCs w:val="16"/>
          <w:lang w:val="es-CR"/>
        </w:rPr>
        <w:t>, para. 258</w:t>
      </w:r>
      <w:r w:rsidRPr="00AC57EA">
        <w:rPr>
          <w:i/>
          <w:sz w:val="16"/>
          <w:szCs w:val="16"/>
          <w:lang w:val="es-CR"/>
        </w:rPr>
        <w:t>, and Case of Favela Nova Brasilia v. Brazil, supra</w:t>
      </w:r>
      <w:r w:rsidRPr="00AC57EA">
        <w:rPr>
          <w:sz w:val="16"/>
          <w:szCs w:val="16"/>
          <w:lang w:val="es-CR"/>
        </w:rPr>
        <w:t xml:space="preserve">, </w:t>
      </w:r>
      <w:r w:rsidRPr="00AC57EA">
        <w:rPr>
          <w:rFonts w:cs="Verdana"/>
          <w:sz w:val="16"/>
          <w:szCs w:val="16"/>
          <w:lang w:val="es-CR"/>
        </w:rPr>
        <w:t xml:space="preserve">para. </w:t>
      </w:r>
      <w:r w:rsidRPr="00AC57EA">
        <w:rPr>
          <w:rFonts w:cs="Verdana"/>
          <w:sz w:val="16"/>
          <w:szCs w:val="16"/>
          <w:lang w:val="en-US"/>
        </w:rPr>
        <w:t>243</w:t>
      </w:r>
      <w:r w:rsidRPr="00AC57EA">
        <w:rPr>
          <w:sz w:val="16"/>
          <w:szCs w:val="16"/>
          <w:lang w:val="en-US"/>
        </w:rPr>
        <w:t>.</w:t>
      </w:r>
    </w:p>
  </w:footnote>
  <w:footnote w:id="197">
    <w:p w14:paraId="4E4D023E" w14:textId="7D0AE40A" w:rsidR="003C0AC1" w:rsidRPr="00AC57EA" w:rsidRDefault="003C0AC1" w:rsidP="00AC57EA">
      <w:pPr>
        <w:pStyle w:val="Prrafodelista"/>
        <w:tabs>
          <w:tab w:val="left" w:pos="540"/>
        </w:tabs>
        <w:spacing w:after="60" w:line="240" w:lineRule="auto"/>
        <w:ind w:left="0"/>
        <w:rPr>
          <w:rFonts w:cs="Arial"/>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Among other matters, a criminal investigation into rape requires: </w:t>
      </w:r>
      <w:bookmarkStart w:id="118" w:name="_Hlk48224538"/>
      <w:r w:rsidRPr="00AC57EA">
        <w:rPr>
          <w:rFonts w:cs="Arial"/>
          <w:sz w:val="16"/>
          <w:szCs w:val="16"/>
          <w:lang w:val="en-US"/>
        </w:rPr>
        <w:t xml:space="preserve">(i) the victim’s statement should be taken in a safe and </w:t>
      </w:r>
      <w:r w:rsidRPr="00AC57EA">
        <w:rPr>
          <w:rStyle w:val="highlight"/>
          <w:rFonts w:eastAsia="Calibri" w:cs="Arial"/>
          <w:sz w:val="16"/>
          <w:szCs w:val="16"/>
          <w:lang w:val="en-US"/>
        </w:rPr>
        <w:t>comfortable</w:t>
      </w:r>
      <w:r w:rsidRPr="00AC57EA">
        <w:rPr>
          <w:rFonts w:cs="Arial"/>
          <w:sz w:val="16"/>
          <w:szCs w:val="16"/>
          <w:lang w:val="en-US"/>
        </w:rPr>
        <w:t xml:space="preserve"> environment, providing privacy and inspiring confidence; (ii) the victim’s statement should be recorded to avoid the need to repeat it, or to limit this to the strictly necessary; (iii) the victim should be provided with medical, psychological and hygienic treatment, both on an emergency basis, and continuously if required, under a protocol for such attention aimed at reducing the consequences of the rape; (iv) a complete and detailed medical and psychological examination should be made immediately by appropriate trained personnel, of the sex preferred by the victim insofar as this is possible, and the victim should be informed that she can be accompanied by a person of confidence if she so wishes; (v) the investigative measures should be coordinated and documented and the evidence handled with care, including taking sufficient samples and performing all possible tests to determine the possible perpetrator of the act, and obtaining other evidence such as the victim’s clothes, immediate examination of the scene of the incident, and the proper chain of custody of the evidence, and (vi) access to advisory services or, if applicable, free legal assistance at all stages of the proceedings should be provided. </w:t>
      </w:r>
      <w:bookmarkEnd w:id="118"/>
      <w:r w:rsidRPr="00AC57EA">
        <w:rPr>
          <w:rFonts w:cs="Arial"/>
          <w:sz w:val="16"/>
          <w:szCs w:val="16"/>
          <w:lang w:val="en-US"/>
        </w:rPr>
        <w:t>Also, in cases of presumed acts of violence against women, the criminal investigation should include a gender perspective and be conducted by official who have received training on similar cases and on providing attention to victims of discrimination and gender-based violence</w:t>
      </w:r>
      <w:r w:rsidRPr="00AC57EA">
        <w:rPr>
          <w:rFonts w:cs="Verdana"/>
          <w:bCs/>
          <w:sz w:val="16"/>
          <w:szCs w:val="16"/>
          <w:lang w:val="en-US"/>
        </w:rPr>
        <w:t xml:space="preserve">. </w:t>
      </w:r>
      <w:r w:rsidRPr="00AC57EA">
        <w:rPr>
          <w:i/>
          <w:sz w:val="16"/>
          <w:szCs w:val="16"/>
        </w:rPr>
        <w:t>Cf. Case of González et al. (“Cotton Field”) v. Mexico, supra</w:t>
      </w:r>
      <w:r w:rsidRPr="00AC57EA">
        <w:rPr>
          <w:sz w:val="16"/>
          <w:szCs w:val="16"/>
        </w:rPr>
        <w:t>, para. 455;</w:t>
      </w:r>
      <w:r w:rsidRPr="00AC57EA">
        <w:rPr>
          <w:i/>
          <w:sz w:val="16"/>
          <w:szCs w:val="16"/>
        </w:rPr>
        <w:t xml:space="preserve"> Case of Fernández Ortega et al. v. Mexico, supra</w:t>
      </w:r>
      <w:r w:rsidRPr="00AC57EA">
        <w:rPr>
          <w:sz w:val="16"/>
          <w:szCs w:val="16"/>
        </w:rPr>
        <w:t>, paras.</w:t>
      </w:r>
      <w:r w:rsidRPr="00AC57EA">
        <w:rPr>
          <w:i/>
          <w:sz w:val="16"/>
          <w:szCs w:val="16"/>
        </w:rPr>
        <w:t xml:space="preserve"> </w:t>
      </w:r>
      <w:r w:rsidRPr="00AC57EA">
        <w:rPr>
          <w:sz w:val="16"/>
          <w:szCs w:val="16"/>
          <w:lang w:val="en-US"/>
        </w:rPr>
        <w:t>194, 251 and 252;</w:t>
      </w:r>
      <w:r w:rsidRPr="00AC57EA">
        <w:rPr>
          <w:i/>
          <w:sz w:val="16"/>
          <w:szCs w:val="16"/>
          <w:lang w:val="en-US"/>
        </w:rPr>
        <w:t xml:space="preserve"> Case of Espinoza Gonzáles v. Peru. Preliminary objections, merits, reparations and costs. </w:t>
      </w:r>
      <w:r w:rsidRPr="00AC57EA">
        <w:rPr>
          <w:sz w:val="16"/>
          <w:szCs w:val="16"/>
          <w:lang w:val="en-US"/>
        </w:rPr>
        <w:t>Judgment of November 20, 2014. Series C No. 289, paras. 242 and 252</w:t>
      </w:r>
      <w:r w:rsidRPr="00AC57EA">
        <w:rPr>
          <w:i/>
          <w:sz w:val="16"/>
          <w:szCs w:val="16"/>
          <w:lang w:val="en-US"/>
        </w:rPr>
        <w:t>, and Case of Favela Nova Brasilia v. Brazil, supra</w:t>
      </w:r>
      <w:r w:rsidRPr="00AC57EA">
        <w:rPr>
          <w:sz w:val="16"/>
          <w:szCs w:val="16"/>
          <w:lang w:val="en-US"/>
        </w:rPr>
        <w:t>, para. 254.</w:t>
      </w:r>
    </w:p>
  </w:footnote>
  <w:footnote w:id="198">
    <w:p w14:paraId="4540A59D" w14:textId="77777777" w:rsidR="003C0AC1" w:rsidRPr="00AC57EA" w:rsidRDefault="003C0AC1" w:rsidP="00AC57EA">
      <w:pPr>
        <w:tabs>
          <w:tab w:val="left" w:pos="540"/>
        </w:tabs>
        <w:spacing w:after="60" w:line="240" w:lineRule="auto"/>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eastAsia="x-none"/>
        </w:rPr>
        <w:t>Cf. Case of the “Street Children” (Villagrán Morales et al.) v. Guatemala. Merits, supra</w:t>
      </w:r>
      <w:r w:rsidRPr="00AC57EA">
        <w:rPr>
          <w:sz w:val="16"/>
          <w:szCs w:val="16"/>
          <w:lang w:val="en-US" w:eastAsia="x-none"/>
        </w:rPr>
        <w:t xml:space="preserve">, paras. 194 and 195, and </w:t>
      </w:r>
      <w:r w:rsidRPr="00AC57EA">
        <w:rPr>
          <w:i/>
          <w:sz w:val="16"/>
          <w:szCs w:val="16"/>
          <w:lang w:val="en-US" w:eastAsia="x-none"/>
        </w:rPr>
        <w:t xml:space="preserve">Case of the Pacheco Tineo Family v. Bolivia. Preliminary objections, merits, reparations and costs. </w:t>
      </w:r>
      <w:r w:rsidRPr="00AC57EA">
        <w:rPr>
          <w:sz w:val="16"/>
          <w:szCs w:val="16"/>
          <w:lang w:val="en-US" w:eastAsia="x-none"/>
        </w:rPr>
        <w:t>Judgment of November 25, 2013. Series C No. 272, para. 217</w:t>
      </w:r>
      <w:r w:rsidRPr="00AC57EA">
        <w:rPr>
          <w:i/>
          <w:sz w:val="16"/>
          <w:szCs w:val="16"/>
          <w:lang w:val="en-US" w:eastAsia="x-none"/>
        </w:rPr>
        <w:t>.</w:t>
      </w:r>
    </w:p>
  </w:footnote>
  <w:footnote w:id="199">
    <w:p w14:paraId="11F21EFB" w14:textId="00B9F6AA" w:rsidR="003C0AC1" w:rsidRPr="00AC57EA" w:rsidRDefault="003C0AC1" w:rsidP="00AC57EA">
      <w:pPr>
        <w:pStyle w:val="Textonotapie"/>
        <w:tabs>
          <w:tab w:val="left" w:pos="540"/>
          <w:tab w:val="left" w:pos="8654"/>
        </w:tabs>
        <w:spacing w:after="60"/>
        <w:rPr>
          <w:bC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w:t>
      </w:r>
      <w:r w:rsidRPr="00AC57EA">
        <w:rPr>
          <w:bCs/>
          <w:sz w:val="16"/>
          <w:szCs w:val="16"/>
          <w:lang w:val="en-US"/>
        </w:rPr>
        <w:t xml:space="preserve"> 2 of the Convention on the Rights of the Child establishes the obligation of the States to respect and ensure the rights set forth in that instrument to each child within their jurisdiction without discrimination of any kind, which “requires States actively to identify individual children and groups of children the recognition and realization of whose rights may demand special measures.</w:t>
      </w:r>
      <w:r w:rsidRPr="00AC57EA">
        <w:rPr>
          <w:sz w:val="16"/>
          <w:szCs w:val="16"/>
          <w:lang w:val="en-US"/>
        </w:rPr>
        <w:t xml:space="preserve">” </w:t>
      </w:r>
      <w:r w:rsidRPr="00AC57EA">
        <w:rPr>
          <w:sz w:val="16"/>
          <w:szCs w:val="16"/>
          <w:shd w:val="clear" w:color="auto" w:fill="FFFFFF"/>
          <w:lang w:val="en-US"/>
        </w:rPr>
        <w:t xml:space="preserve">Committee on the Rights of the Child, </w:t>
      </w:r>
      <w:r w:rsidRPr="00AC57EA">
        <w:rPr>
          <w:i/>
          <w:sz w:val="16"/>
          <w:szCs w:val="16"/>
          <w:lang w:val="en-US"/>
        </w:rPr>
        <w:t>General Comment No. 5: General measures of implementation of the Convention on the Rights of the Child (arts. 4, 42 and 44, para 6)</w:t>
      </w:r>
      <w:r w:rsidRPr="00AC57EA">
        <w:rPr>
          <w:sz w:val="16"/>
          <w:szCs w:val="16"/>
          <w:lang w:val="en-US"/>
        </w:rPr>
        <w:t xml:space="preserve">, UN Doc. CRC/GC/2003/5, November 2003, para. 12, and Committee on the Rights of the Child, </w:t>
      </w:r>
      <w:r w:rsidRPr="00AC57EA">
        <w:rPr>
          <w:i/>
          <w:sz w:val="16"/>
          <w:szCs w:val="16"/>
          <w:lang w:val="en-US"/>
        </w:rPr>
        <w:t>General Comment No. 13:</w:t>
      </w:r>
      <w:r w:rsidRPr="00AC57EA">
        <w:rPr>
          <w:sz w:val="16"/>
          <w:szCs w:val="16"/>
          <w:lang w:val="en-US"/>
        </w:rPr>
        <w:t xml:space="preserve"> </w:t>
      </w:r>
      <w:r w:rsidRPr="00AC57EA">
        <w:rPr>
          <w:i/>
          <w:iCs/>
          <w:sz w:val="16"/>
          <w:szCs w:val="16"/>
          <w:lang w:val="en-US"/>
        </w:rPr>
        <w:t>The right of the child to freedom from all violence</w:t>
      </w:r>
      <w:r w:rsidRPr="00AC57EA">
        <w:rPr>
          <w:sz w:val="16"/>
          <w:szCs w:val="16"/>
          <w:lang w:val="en-US"/>
        </w:rPr>
        <w:t>, UN Doc. CRC/C/GC/13, April 18, 2011, para. 60.</w:t>
      </w:r>
    </w:p>
  </w:footnote>
  <w:footnote w:id="200">
    <w:p w14:paraId="109B44C0" w14:textId="1DEAC51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Article 3(1) of the </w:t>
      </w:r>
      <w:r w:rsidRPr="00AC57EA">
        <w:rPr>
          <w:bCs/>
          <w:sz w:val="16"/>
          <w:szCs w:val="16"/>
          <w:lang w:val="en-US"/>
        </w:rPr>
        <w:t xml:space="preserve">Convention on the Rights of the Child establishes the obligation that the best interest of the child are a primary consideration in all actions concerning children. </w:t>
      </w:r>
      <w:r w:rsidRPr="00AC57EA">
        <w:rPr>
          <w:i/>
          <w:sz w:val="16"/>
          <w:szCs w:val="16"/>
          <w:lang w:val="en-US"/>
        </w:rPr>
        <w:t>Cf.</w:t>
      </w:r>
      <w:r w:rsidRPr="00AC57EA">
        <w:rPr>
          <w:sz w:val="16"/>
          <w:szCs w:val="16"/>
          <w:lang w:val="en-US"/>
        </w:rPr>
        <w:t xml:space="preserve"> </w:t>
      </w:r>
      <w:r w:rsidRPr="00AC57EA">
        <w:rPr>
          <w:sz w:val="16"/>
          <w:szCs w:val="16"/>
          <w:shd w:val="clear" w:color="auto" w:fill="FFFFFF"/>
          <w:lang w:val="en-US"/>
        </w:rPr>
        <w:t xml:space="preserve">Committee on the Rights of the Child, </w:t>
      </w:r>
      <w:r w:rsidRPr="00AC57EA">
        <w:rPr>
          <w:i/>
          <w:sz w:val="16"/>
          <w:szCs w:val="16"/>
          <w:lang w:val="en-US"/>
        </w:rPr>
        <w:t>General Comment No. 5: General measures of implementation of the Convention on the Rights of the Child (Arti arts. 4, 42 and 44, para 6)</w:t>
      </w:r>
      <w:r w:rsidRPr="00AC57EA">
        <w:rPr>
          <w:sz w:val="16"/>
          <w:szCs w:val="16"/>
          <w:lang w:val="en-US"/>
        </w:rPr>
        <w:t xml:space="preserve">, </w:t>
      </w:r>
      <w:r w:rsidRPr="00AC57EA">
        <w:rPr>
          <w:i/>
          <w:sz w:val="16"/>
          <w:szCs w:val="16"/>
          <w:lang w:val="en-US"/>
        </w:rPr>
        <w:t>supra</w:t>
      </w:r>
      <w:r w:rsidRPr="00AC57EA">
        <w:rPr>
          <w:sz w:val="16"/>
          <w:szCs w:val="16"/>
          <w:lang w:val="en-US"/>
        </w:rPr>
        <w:t xml:space="preserve">, para. 12;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xml:space="preserve">, para. 61, and </w:t>
      </w:r>
      <w:r w:rsidRPr="00AC57EA">
        <w:rPr>
          <w:sz w:val="16"/>
          <w:szCs w:val="16"/>
          <w:shd w:val="clear" w:color="auto" w:fill="FFFFFF"/>
          <w:lang w:val="en-US"/>
        </w:rPr>
        <w:t>Committee on the Rights of the Child</w:t>
      </w:r>
      <w:r w:rsidRPr="00AC57EA">
        <w:rPr>
          <w:sz w:val="16"/>
          <w:szCs w:val="16"/>
          <w:lang w:val="en-US"/>
        </w:rPr>
        <w:t xml:space="preserve">, </w:t>
      </w:r>
      <w:r w:rsidRPr="00AC57EA">
        <w:rPr>
          <w:i/>
          <w:sz w:val="16"/>
          <w:szCs w:val="16"/>
          <w:lang w:val="en-US"/>
        </w:rPr>
        <w:t>General Comment No. 14 on the right of the child to have his or her best interests taken as a primary consideration (art.3, para.1)</w:t>
      </w:r>
      <w:r w:rsidRPr="00AC57EA">
        <w:rPr>
          <w:sz w:val="16"/>
          <w:szCs w:val="16"/>
          <w:lang w:val="en-US"/>
        </w:rPr>
        <w:t>, UN Doc. CRC/C/CG/14, May 29, 2013.</w:t>
      </w:r>
    </w:p>
  </w:footnote>
  <w:footnote w:id="201">
    <w:p w14:paraId="2FA92AC1" w14:textId="347A8364" w:rsidR="003C0AC1" w:rsidRPr="00AC57EA" w:rsidRDefault="003C0AC1" w:rsidP="00AC57EA">
      <w:pPr>
        <w:pStyle w:val="Textonotapie"/>
        <w:tabs>
          <w:tab w:val="left" w:pos="540"/>
        </w:tabs>
        <w:spacing w:after="60"/>
        <w:rPr>
          <w:bC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w:t>
      </w:r>
      <w:r w:rsidRPr="00AC57EA">
        <w:rPr>
          <w:bCs/>
          <w:sz w:val="16"/>
          <w:szCs w:val="16"/>
          <w:lang w:val="en-US"/>
        </w:rPr>
        <w:t xml:space="preserve"> 6 of the Convention on the Rights of the Child recognizes the child’s inherent right to life and the States parties’ obligation to ensure to the maximum extent possible the survival and development of the child, in its broadest sense as a holistic concept, embracing the child’s physical, mental, spiritual, moral, psychological and social development. </w:t>
      </w:r>
      <w:r w:rsidRPr="00AC57EA">
        <w:rPr>
          <w:i/>
          <w:sz w:val="16"/>
          <w:szCs w:val="16"/>
          <w:lang w:val="en-US"/>
        </w:rPr>
        <w:t>Cf.</w:t>
      </w:r>
      <w:r w:rsidRPr="00AC57EA">
        <w:rPr>
          <w:sz w:val="16"/>
          <w:szCs w:val="16"/>
          <w:lang w:val="en-US"/>
        </w:rPr>
        <w:t xml:space="preserve"> </w:t>
      </w:r>
      <w:r w:rsidRPr="00AC57EA">
        <w:rPr>
          <w:sz w:val="16"/>
          <w:szCs w:val="16"/>
          <w:shd w:val="clear" w:color="auto" w:fill="FFFFFF"/>
          <w:lang w:val="en-US"/>
        </w:rPr>
        <w:t xml:space="preserve">Committee on the Rights of the Child, </w:t>
      </w:r>
      <w:r w:rsidRPr="00AC57EA">
        <w:rPr>
          <w:i/>
          <w:sz w:val="16"/>
          <w:szCs w:val="16"/>
          <w:lang w:val="en-US"/>
        </w:rPr>
        <w:t>General Comment No. 5: General measures of implementation of the Convention on the Rights of the Child (arts. 4, 42 and 44, para 6)</w:t>
      </w:r>
      <w:r w:rsidRPr="00AC57EA">
        <w:rPr>
          <w:sz w:val="16"/>
          <w:szCs w:val="16"/>
          <w:lang w:val="en-US"/>
        </w:rPr>
        <w:t xml:space="preserve">, </w:t>
      </w:r>
      <w:r w:rsidRPr="00AC57EA">
        <w:rPr>
          <w:i/>
          <w:sz w:val="16"/>
          <w:szCs w:val="16"/>
          <w:lang w:val="en-US"/>
        </w:rPr>
        <w:t>supra</w:t>
      </w:r>
      <w:r w:rsidRPr="00AC57EA">
        <w:rPr>
          <w:sz w:val="16"/>
          <w:szCs w:val="16"/>
          <w:lang w:val="en-US"/>
        </w:rPr>
        <w:t xml:space="preserve">, para. 12, and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 62.</w:t>
      </w:r>
    </w:p>
  </w:footnote>
  <w:footnote w:id="202">
    <w:p w14:paraId="07DA0003" w14:textId="67AD8E32" w:rsidR="003C0AC1" w:rsidRPr="00AC57EA" w:rsidRDefault="003C0AC1" w:rsidP="00AC57EA">
      <w:pPr>
        <w:pStyle w:val="Textonotapie"/>
        <w:tabs>
          <w:tab w:val="left" w:pos="540"/>
        </w:tabs>
        <w:spacing w:after="60"/>
        <w:rPr>
          <w:bC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w:t>
      </w:r>
      <w:r w:rsidRPr="00AC57EA">
        <w:rPr>
          <w:bCs/>
          <w:sz w:val="16"/>
          <w:szCs w:val="16"/>
          <w:lang w:val="en-US"/>
        </w:rPr>
        <w:t xml:space="preserve"> 12 of the Convention on the Rights of the Child establishes the child’s right to express his or her views freely in “all matters affecting the child,” those views being given due weight, taking into account their age and level of maturity. </w:t>
      </w:r>
      <w:r w:rsidRPr="00AC57EA">
        <w:rPr>
          <w:bCs/>
          <w:i/>
          <w:sz w:val="16"/>
          <w:szCs w:val="16"/>
          <w:lang w:val="en-US"/>
        </w:rPr>
        <w:t>Cf.</w:t>
      </w:r>
      <w:r w:rsidRPr="00AC57EA">
        <w:rPr>
          <w:b/>
          <w:bCs/>
          <w:i/>
          <w:sz w:val="16"/>
          <w:szCs w:val="16"/>
          <w:lang w:val="en-US"/>
        </w:rPr>
        <w:t xml:space="preserve"> </w:t>
      </w:r>
      <w:r w:rsidRPr="00AC57EA">
        <w:rPr>
          <w:sz w:val="16"/>
          <w:szCs w:val="16"/>
          <w:shd w:val="clear" w:color="auto" w:fill="FFFFFF"/>
          <w:lang w:val="en-US"/>
        </w:rPr>
        <w:t xml:space="preserve">Committee on the Rights of the Child, </w:t>
      </w:r>
      <w:r w:rsidRPr="00AC57EA">
        <w:rPr>
          <w:i/>
          <w:sz w:val="16"/>
          <w:szCs w:val="16"/>
          <w:lang w:val="en-US"/>
        </w:rPr>
        <w:t>General Comment No. 5: General measures of implementation of the Convention on the Rights of the Child (arts. 4, 42 and 44, para 6)</w:t>
      </w:r>
      <w:r w:rsidRPr="00AC57EA">
        <w:rPr>
          <w:sz w:val="16"/>
          <w:szCs w:val="16"/>
          <w:lang w:val="en-US"/>
        </w:rPr>
        <w:t xml:space="preserve">, </w:t>
      </w:r>
      <w:r w:rsidRPr="00AC57EA">
        <w:rPr>
          <w:i/>
          <w:sz w:val="16"/>
          <w:szCs w:val="16"/>
          <w:lang w:val="en-US"/>
        </w:rPr>
        <w:t>supra</w:t>
      </w:r>
      <w:r w:rsidRPr="00AC57EA">
        <w:rPr>
          <w:sz w:val="16"/>
          <w:szCs w:val="16"/>
          <w:lang w:val="en-US"/>
        </w:rPr>
        <w:t xml:space="preserve">, para. 12; </w:t>
      </w:r>
      <w:r w:rsidRPr="00AC57EA">
        <w:rPr>
          <w:sz w:val="16"/>
          <w:szCs w:val="16"/>
          <w:shd w:val="clear" w:color="auto" w:fill="FFFFFF"/>
          <w:lang w:val="en-US"/>
        </w:rPr>
        <w:t>Committee on the Rights of the Child</w:t>
      </w:r>
      <w:r w:rsidRPr="00AC57EA">
        <w:rPr>
          <w:sz w:val="16"/>
          <w:szCs w:val="16"/>
          <w:lang w:val="en-US"/>
        </w:rPr>
        <w:t xml:space="preserve">, </w:t>
      </w:r>
      <w:r w:rsidRPr="00AC57EA">
        <w:rPr>
          <w:i/>
          <w:sz w:val="16"/>
          <w:szCs w:val="16"/>
          <w:lang w:val="en-US"/>
        </w:rPr>
        <w:t xml:space="preserve">General Comment No. 12: The right of the child to be heard, </w:t>
      </w:r>
      <w:r w:rsidRPr="00AC57EA">
        <w:rPr>
          <w:sz w:val="16"/>
          <w:szCs w:val="16"/>
          <w:lang w:val="en-US"/>
        </w:rPr>
        <w:t xml:space="preserve">UN Doc. CRC/C/GC/12, July 20, 2009, and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 63.</w:t>
      </w:r>
    </w:p>
  </w:footnote>
  <w:footnote w:id="203">
    <w:p w14:paraId="78CB1C4F" w14:textId="137CBC42" w:rsidR="003C0AC1" w:rsidRPr="00AC57EA" w:rsidRDefault="003C0AC1" w:rsidP="00AC57EA">
      <w:pPr>
        <w:pStyle w:val="Prrafodelista"/>
        <w:tabs>
          <w:tab w:val="left" w:pos="540"/>
          <w:tab w:val="left" w:pos="810"/>
        </w:tabs>
        <w:spacing w:after="60" w:line="240" w:lineRule="auto"/>
        <w:ind w:left="0" w:right="23"/>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The Committee on the Rights of the Child has indicated that “[a]t a universal level all children aged 0-18 years are considered vulnerable until the completion of their neural, psychological, social and physical growth and development. Babies and young children are at higher risk due to the immaturity of their developing brain and their complete dependency on adults. Both girls and boys are at risk, but violence often has a gender component.”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 72.f).</w:t>
      </w:r>
    </w:p>
  </w:footnote>
  <w:footnote w:id="204">
    <w:p w14:paraId="01C8170C" w14:textId="780501F1" w:rsidR="003C0AC1" w:rsidRPr="00AC57EA" w:rsidRDefault="003C0AC1" w:rsidP="00AC57EA">
      <w:pPr>
        <w:pStyle w:val="Prrafodelista"/>
        <w:tabs>
          <w:tab w:val="left" w:pos="540"/>
          <w:tab w:val="left" w:pos="810"/>
        </w:tabs>
        <w:spacing w:after="60" w:line="240" w:lineRule="auto"/>
        <w:ind w:left="0" w:right="23"/>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Juridical Status and Human Rights of the Child.</w:t>
      </w:r>
      <w:r w:rsidRPr="00AC57EA">
        <w:rPr>
          <w:sz w:val="16"/>
          <w:szCs w:val="16"/>
          <w:lang w:val="en-US"/>
        </w:rPr>
        <w:t xml:space="preserve"> Advisory Opinion OC-17/02, </w:t>
      </w:r>
      <w:r w:rsidRPr="00AC57EA">
        <w:rPr>
          <w:i/>
          <w:sz w:val="16"/>
          <w:szCs w:val="16"/>
          <w:lang w:val="en-US"/>
        </w:rPr>
        <w:t>supra</w:t>
      </w:r>
      <w:r w:rsidRPr="00AC57EA">
        <w:rPr>
          <w:sz w:val="16"/>
          <w:szCs w:val="16"/>
          <w:lang w:val="en-US"/>
        </w:rPr>
        <w:t xml:space="preserve">, para. 61, and </w:t>
      </w:r>
      <w:r w:rsidRPr="00AC57EA">
        <w:rPr>
          <w:rStyle w:val="Textoennegrita"/>
          <w:b w:val="0"/>
          <w:i/>
          <w:sz w:val="16"/>
          <w:szCs w:val="16"/>
          <w:lang w:val="en-US"/>
        </w:rPr>
        <w:t>Rights and Guarantees of Children in the Context of Migration and/or in Need of International Protection.</w:t>
      </w:r>
      <w:r w:rsidRPr="00AC57EA">
        <w:rPr>
          <w:rStyle w:val="Textoennegrita"/>
          <w:b w:val="0"/>
          <w:sz w:val="16"/>
          <w:szCs w:val="16"/>
          <w:lang w:val="en-US"/>
        </w:rPr>
        <w:t xml:space="preserve">. Advisory Opinion OC-21/14, </w:t>
      </w:r>
      <w:r w:rsidRPr="00AC57EA">
        <w:rPr>
          <w:rStyle w:val="Textoennegrita"/>
          <w:b w:val="0"/>
          <w:i/>
          <w:sz w:val="16"/>
          <w:szCs w:val="16"/>
          <w:lang w:val="en-US"/>
        </w:rPr>
        <w:t>supra</w:t>
      </w:r>
      <w:r w:rsidRPr="00AC57EA">
        <w:rPr>
          <w:rStyle w:val="Textoennegrita"/>
          <w:b w:val="0"/>
          <w:sz w:val="16"/>
          <w:szCs w:val="16"/>
          <w:lang w:val="en-US"/>
        </w:rPr>
        <w:t>, para. 71</w:t>
      </w:r>
      <w:r w:rsidRPr="00AC57EA">
        <w:rPr>
          <w:sz w:val="16"/>
          <w:szCs w:val="16"/>
          <w:lang w:val="en-US"/>
        </w:rPr>
        <w:t>.</w:t>
      </w:r>
    </w:p>
  </w:footnote>
  <w:footnote w:id="205">
    <w:p w14:paraId="1B59F36D" w14:textId="0CF83D9B" w:rsidR="003C0AC1" w:rsidRPr="00AC57EA" w:rsidRDefault="003C0AC1" w:rsidP="00AC57EA">
      <w:pPr>
        <w:tabs>
          <w:tab w:val="left" w:pos="540"/>
        </w:tabs>
        <w:spacing w:after="60" w:line="240" w:lineRule="auto"/>
        <w:rPr>
          <w:i/>
          <w:sz w:val="16"/>
          <w:szCs w:val="16"/>
          <w:lang w:val="en-US"/>
        </w:rPr>
      </w:pPr>
      <w:r w:rsidRPr="00AC57EA">
        <w:rPr>
          <w:rStyle w:val="Refdenotaalpie"/>
          <w:rFonts w:eastAsia="MS ????"/>
          <w:sz w:val="16"/>
          <w:szCs w:val="16"/>
          <w:lang w:val="en-US"/>
        </w:rPr>
        <w:footnoteRef/>
      </w:r>
      <w:r w:rsidRPr="00AC57EA">
        <w:rPr>
          <w:sz w:val="16"/>
          <w:szCs w:val="16"/>
          <w:lang w:val="en-US"/>
        </w:rPr>
        <w:t xml:space="preserve"> </w:t>
      </w:r>
      <w:r w:rsidRPr="00AC57EA">
        <w:rPr>
          <w:sz w:val="16"/>
          <w:szCs w:val="16"/>
          <w:lang w:val="en-US"/>
        </w:rPr>
        <w:tab/>
        <w:t xml:space="preserve">In this regard, the preamble to the Declaration on the Elimination of Violence against Women adopted by the United Nations General Assembly in Resolution 48/104 of December 20, 1993, recognizes “that </w:t>
      </w:r>
      <w:r w:rsidRPr="00AC57EA">
        <w:rPr>
          <w:rFonts w:cs="Arial"/>
          <w:sz w:val="16"/>
          <w:szCs w:val="16"/>
          <w:lang w:val="en-US"/>
        </w:rPr>
        <w:t>violence against women is a manifestation of historically unequal power relations between men and women, which have led to domination over and discrimination against women by men and to the prevention of the full advancement of women, and that violence against women is one of the crucial social mechanisms by which women are forced into a subordinate position compared with men.” Also, the United Nations Special Rapporteur on violence against women, its causes and consequences identified the factors of historical discrimination that maintain the situation of greater vulnerability of women to acts of violence, when indicating that, “[t]he Convention on the Elimination of All Forms of Discrimination against Women and the Declaration on the Elimination of Violence against Women provide a comprehensive international framework in which gender-based violence against women is the manifestation of the historical unequal power relationship between women and men. […] The persistence of systemic gender-based violence against women, even in States that have proclaimed zero tolerance of violence against women, indicates that gender-based violence is deeply entrenched in our still predominantly patriarchal societies and accepted as “just the way things are.</w:t>
      </w:r>
      <w:r w:rsidRPr="00AC57EA">
        <w:rPr>
          <w:sz w:val="16"/>
          <w:szCs w:val="16"/>
          <w:lang w:val="en-US"/>
        </w:rPr>
        <w:t xml:space="preserve">” </w:t>
      </w:r>
      <w:r w:rsidRPr="00AC57EA">
        <w:rPr>
          <w:i/>
          <w:sz w:val="16"/>
          <w:szCs w:val="16"/>
          <w:lang w:val="en-US"/>
        </w:rPr>
        <w:t xml:space="preserve">Report of the </w:t>
      </w:r>
      <w:r w:rsidRPr="00AC57EA">
        <w:rPr>
          <w:rFonts w:cs="Arial"/>
          <w:i/>
          <w:iCs/>
          <w:sz w:val="16"/>
          <w:szCs w:val="16"/>
          <w:lang w:val="en-US"/>
        </w:rPr>
        <w:t xml:space="preserve">Special Rapporteur on violence against women, its causes and consequences, </w:t>
      </w:r>
      <w:r w:rsidRPr="00AC57EA">
        <w:rPr>
          <w:sz w:val="16"/>
          <w:szCs w:val="16"/>
          <w:lang w:val="en-US"/>
        </w:rPr>
        <w:t>June 13, 2017, UN Doc. A/HRC/35/30, paras. 21 and 100. The Committee on the Elimination of Discrimination against Women has also referred to this when asserting that: “</w:t>
      </w:r>
      <w:r w:rsidRPr="00AC57EA">
        <w:rPr>
          <w:rFonts w:cs="Arial"/>
          <w:sz w:val="16"/>
          <w:szCs w:val="16"/>
          <w:lang w:val="en-US"/>
        </w:rPr>
        <w:t>gender-based violence against women is one of the fundamental social, political and economic means by which the subordinate position of women with respect to men and their stereotyped roles are perpetuated</w:t>
      </w:r>
      <w:r w:rsidRPr="00AC57EA">
        <w:rPr>
          <w:sz w:val="16"/>
          <w:szCs w:val="16"/>
          <w:lang w:val="en-US"/>
        </w:rPr>
        <w:t>.” Committee on the Elimination of Discrimination against Women,</w:t>
      </w:r>
      <w:r w:rsidRPr="00AC57EA">
        <w:rPr>
          <w:i/>
          <w:sz w:val="16"/>
          <w:szCs w:val="16"/>
          <w:lang w:val="en-US"/>
        </w:rPr>
        <w:t xml:space="preserve"> </w:t>
      </w:r>
      <w:r w:rsidRPr="00AC57EA">
        <w:rPr>
          <w:rFonts w:cs="Arial"/>
          <w:i/>
          <w:iCs/>
          <w:sz w:val="16"/>
          <w:szCs w:val="16"/>
          <w:lang w:val="en-US"/>
        </w:rPr>
        <w:t>General recommendation No. 35 on gender-based violence against women, updating general recommendation No. 19. July 26,</w:t>
      </w:r>
      <w:r w:rsidRPr="00AC57EA">
        <w:rPr>
          <w:i/>
          <w:sz w:val="16"/>
          <w:szCs w:val="16"/>
          <w:lang w:val="en-US"/>
        </w:rPr>
        <w:t xml:space="preserve"> </w:t>
      </w:r>
      <w:r w:rsidRPr="00AC57EA">
        <w:rPr>
          <w:sz w:val="16"/>
          <w:szCs w:val="16"/>
          <w:lang w:val="en-US"/>
        </w:rPr>
        <w:t>2017, UN Doc. CEDAW/C/GC/35, para. 10.</w:t>
      </w:r>
    </w:p>
  </w:footnote>
  <w:footnote w:id="206">
    <w:p w14:paraId="5C6ECBCA" w14:textId="2E8AA11A" w:rsidR="003C0AC1" w:rsidRPr="00AC57EA" w:rsidRDefault="003C0AC1" w:rsidP="00AC57EA">
      <w:pPr>
        <w:pStyle w:val="Textonotapie"/>
        <w:tabs>
          <w:tab w:val="left" w:pos="540"/>
        </w:tabs>
        <w:spacing w:after="60"/>
        <w:rPr>
          <w:sz w:val="16"/>
          <w:szCs w:val="16"/>
          <w:lang w:val="en-US"/>
        </w:rPr>
      </w:pPr>
      <w:r w:rsidRPr="00AC57EA">
        <w:rPr>
          <w:rStyle w:val="Refdenotaalpie"/>
          <w:rFonts w:eastAsia="MS ????"/>
          <w:sz w:val="16"/>
          <w:szCs w:val="16"/>
          <w:lang w:val="en-US"/>
        </w:rPr>
        <w:footnoteRef/>
      </w:r>
      <w:r w:rsidRPr="00AC57EA">
        <w:rPr>
          <w:sz w:val="16"/>
          <w:szCs w:val="16"/>
          <w:lang w:val="en-US"/>
        </w:rPr>
        <w:t xml:space="preserve"> </w:t>
      </w:r>
      <w:r w:rsidRPr="00AC57EA">
        <w:rPr>
          <w:sz w:val="16"/>
          <w:szCs w:val="16"/>
          <w:lang w:val="en-US"/>
        </w:rPr>
        <w:tab/>
        <w:t xml:space="preserve">The Committee on the Rights of the Child has indicated that the gender component implicit in all forms of violence determines that “girls may experience more sexual violence at home than boys.”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xml:space="preserve">, para. 19. In the case of Nicaragua, according to data provided by the Model for comprehensive care for victims of gender-based violence in Nicaragua, citing figures from the Institute of Forensic Medicine, “sexual and intrafamily violence, owing to its dimensions, should be considered a public health problem, as revealed by the following indicators from 2011: […] 84% of the victims of [sexual violence] are under the age of 18 years. […]  The statistics from the Police Stations for Women and Children indicate that the departments where there is most violence against women and children are Managua, Chinandega, Matagalpa, León, Granada, Carazo, Masaya, Esteli, Jinotega, RAAN and RAAS.” UNFPA, Model for comprehensive care for victims of gender-based violence in Nicaragua, Managua, 2012 (evidence file, volume XXI, annex 9.d to the helpful evidence, folio 10976). In addition, according to UNICEF data, “[i]n Nicaragua, girls and adolescents are at greater risk of being victims of sexual violence. The Institute of Forensic Medicine reported 6,069 cases of sexual violence in 2013. 88% of the victims were women and 82% were children and adolescents. 51% children of 13 years of age and 83% were female children.” </w:t>
      </w:r>
      <w:r w:rsidRPr="00AC57EA">
        <w:rPr>
          <w:i/>
          <w:sz w:val="16"/>
          <w:szCs w:val="16"/>
          <w:lang w:val="en-US"/>
        </w:rPr>
        <w:t>Cf.</w:t>
      </w:r>
      <w:r w:rsidRPr="00AC57EA">
        <w:rPr>
          <w:sz w:val="16"/>
          <w:szCs w:val="16"/>
          <w:lang w:val="en-US"/>
        </w:rPr>
        <w:t xml:space="preserve"> UNICEF, “La violencia existe aun cuando no la puedas ver. Iniciativas de fin a la violencia” [Violence exists, even when you cannot see it: Initiatives to end violence]. Available at http://www.unicef.org.ni/publicacion/180/iniciativas-de-fin-la-violencia-en-nicaragua/ </w:t>
      </w:r>
    </w:p>
  </w:footnote>
  <w:footnote w:id="207">
    <w:p w14:paraId="218CE4D1" w14:textId="680A2B3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Juridical Status and Human Rights of the Child.</w:t>
      </w:r>
      <w:r w:rsidRPr="00AC57EA">
        <w:rPr>
          <w:sz w:val="16"/>
          <w:szCs w:val="16"/>
          <w:lang w:val="en-US"/>
        </w:rPr>
        <w:t xml:space="preserve"> Advisory Opinion OC-17/02, </w:t>
      </w:r>
      <w:r w:rsidRPr="00AC57EA">
        <w:rPr>
          <w:i/>
          <w:sz w:val="16"/>
          <w:szCs w:val="16"/>
          <w:lang w:val="en-US"/>
        </w:rPr>
        <w:t>supra</w:t>
      </w:r>
      <w:r w:rsidRPr="00AC57EA">
        <w:rPr>
          <w:sz w:val="16"/>
          <w:szCs w:val="16"/>
          <w:lang w:val="en-US"/>
        </w:rPr>
        <w:t xml:space="preserve">, para. 96, and </w:t>
      </w:r>
      <w:r w:rsidRPr="00AC57EA">
        <w:rPr>
          <w:rStyle w:val="Textoennegrita"/>
          <w:b w:val="0"/>
          <w:i/>
          <w:sz w:val="16"/>
          <w:szCs w:val="16"/>
          <w:lang w:val="en-US"/>
        </w:rPr>
        <w:t xml:space="preserve">Rights and Guarantees of Children in the Context of Migration and/or in Need of International Protection. </w:t>
      </w:r>
      <w:r w:rsidRPr="00AC57EA">
        <w:rPr>
          <w:rStyle w:val="Textoennegrita"/>
          <w:b w:val="0"/>
          <w:sz w:val="16"/>
          <w:szCs w:val="16"/>
          <w:lang w:val="en-US"/>
        </w:rPr>
        <w:t xml:space="preserve"> Advisory Opinion OC-21/14, </w:t>
      </w:r>
      <w:r w:rsidRPr="00AC57EA">
        <w:rPr>
          <w:rStyle w:val="Textoennegrita"/>
          <w:b w:val="0"/>
          <w:i/>
          <w:sz w:val="16"/>
          <w:szCs w:val="16"/>
          <w:lang w:val="en-US"/>
        </w:rPr>
        <w:t>supra</w:t>
      </w:r>
      <w:r w:rsidRPr="00AC57EA">
        <w:rPr>
          <w:rStyle w:val="Textoennegrita"/>
          <w:b w:val="0"/>
          <w:sz w:val="16"/>
          <w:szCs w:val="16"/>
          <w:lang w:val="en-US"/>
        </w:rPr>
        <w:t>, para. 114</w:t>
      </w:r>
      <w:r w:rsidRPr="00AC57EA">
        <w:rPr>
          <w:sz w:val="16"/>
          <w:szCs w:val="16"/>
          <w:lang w:val="en-US"/>
        </w:rPr>
        <w:t>.</w:t>
      </w:r>
    </w:p>
  </w:footnote>
  <w:footnote w:id="208">
    <w:p w14:paraId="7F3A8301" w14:textId="743BA18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Juridical Status and Human Rights of the Child.</w:t>
      </w:r>
      <w:r w:rsidRPr="00AC57EA">
        <w:rPr>
          <w:sz w:val="16"/>
          <w:szCs w:val="16"/>
          <w:lang w:val="en-US"/>
        </w:rPr>
        <w:t xml:space="preserve"> Advisory Opinion OC-17/02, </w:t>
      </w:r>
      <w:r w:rsidRPr="00AC57EA">
        <w:rPr>
          <w:i/>
          <w:sz w:val="16"/>
          <w:szCs w:val="16"/>
          <w:lang w:val="en-US"/>
        </w:rPr>
        <w:t>supra</w:t>
      </w:r>
      <w:r w:rsidRPr="00AC57EA">
        <w:rPr>
          <w:sz w:val="16"/>
          <w:szCs w:val="16"/>
          <w:lang w:val="en-US"/>
        </w:rPr>
        <w:t xml:space="preserve">, paras. 96 and 98, and </w:t>
      </w:r>
      <w:r w:rsidRPr="00AC57EA">
        <w:rPr>
          <w:rStyle w:val="Textoennegrita"/>
          <w:b w:val="0"/>
          <w:i/>
          <w:sz w:val="16"/>
          <w:szCs w:val="16"/>
          <w:lang w:val="en-US"/>
        </w:rPr>
        <w:t>Rights and Guarantees of Children in the Context of Migration and/or in Need of International Protection.</w:t>
      </w:r>
      <w:r w:rsidRPr="00AC57EA">
        <w:rPr>
          <w:rStyle w:val="Textoennegrita"/>
          <w:b w:val="0"/>
          <w:sz w:val="16"/>
          <w:szCs w:val="16"/>
          <w:lang w:val="en-US"/>
        </w:rPr>
        <w:t xml:space="preserve"> Advisory Opinion OC-21/14, </w:t>
      </w:r>
      <w:r w:rsidRPr="00AC57EA">
        <w:rPr>
          <w:rStyle w:val="Textoennegrita"/>
          <w:b w:val="0"/>
          <w:i/>
          <w:sz w:val="16"/>
          <w:szCs w:val="16"/>
          <w:lang w:val="en-US"/>
        </w:rPr>
        <w:t>supra</w:t>
      </w:r>
      <w:r w:rsidRPr="00AC57EA">
        <w:rPr>
          <w:sz w:val="16"/>
          <w:szCs w:val="16"/>
          <w:lang w:val="en-US"/>
        </w:rPr>
        <w:t>, para. 115.</w:t>
      </w:r>
    </w:p>
  </w:footnote>
  <w:footnote w:id="209">
    <w:p w14:paraId="0D6E229F" w14:textId="0B0BD3B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Article 12 of the Convention on the Rights of the Child establishes that: “1. States Parties shall assure to the child who is capable of forming his or her own views the right to express those views freely in all matters affecting the child, the views of the child being given due weight in accordance with the age and maturity of the child. </w:t>
      </w:r>
      <w:r w:rsidRPr="00AC57EA">
        <w:rPr>
          <w:sz w:val="16"/>
          <w:szCs w:val="16"/>
          <w:lang w:val="en-US" w:eastAsia="en-US"/>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p w14:paraId="15E23069" w14:textId="2B9D1D68" w:rsidR="003C0AC1" w:rsidRPr="00AC57EA" w:rsidRDefault="003C0AC1" w:rsidP="00AC57EA">
      <w:pPr>
        <w:pStyle w:val="Textonotapie"/>
        <w:tabs>
          <w:tab w:val="left" w:pos="540"/>
        </w:tabs>
        <w:spacing w:after="60"/>
        <w:rPr>
          <w:sz w:val="16"/>
          <w:szCs w:val="16"/>
          <w:lang w:val="en-US"/>
        </w:rPr>
      </w:pPr>
      <w:r w:rsidRPr="00AC57EA">
        <w:rPr>
          <w:bCs/>
          <w:sz w:val="16"/>
          <w:szCs w:val="16"/>
          <w:lang w:val="en-US"/>
        </w:rPr>
        <w:t xml:space="preserve">See also, </w:t>
      </w:r>
      <w:r w:rsidRPr="00AC57EA">
        <w:rPr>
          <w:sz w:val="16"/>
          <w:szCs w:val="16"/>
          <w:shd w:val="clear" w:color="auto" w:fill="FFFFFF"/>
          <w:lang w:val="en-US"/>
        </w:rPr>
        <w:t>Committee on the Rights of the Child</w:t>
      </w:r>
      <w:r w:rsidRPr="00AC57EA">
        <w:rPr>
          <w:sz w:val="16"/>
          <w:szCs w:val="16"/>
          <w:lang w:val="en-US"/>
        </w:rPr>
        <w:t xml:space="preserve">, </w:t>
      </w:r>
      <w:r w:rsidRPr="00AC57EA">
        <w:rPr>
          <w:i/>
          <w:sz w:val="16"/>
          <w:szCs w:val="16"/>
          <w:lang w:val="en-US"/>
        </w:rPr>
        <w:t>General Comment No. 12: The right of the child to be heard, supra</w:t>
      </w:r>
      <w:r w:rsidRPr="00AC57EA">
        <w:rPr>
          <w:sz w:val="16"/>
          <w:szCs w:val="16"/>
          <w:lang w:val="en-US"/>
        </w:rPr>
        <w:t>, paras. 62 to 64, which indicates that “[t]he child victim and child witness of a crime must be given an opportunity to fully exercise her or his right to freely express her or his view in accordance with United Nations Economic and Social Council resolution 2005/20, ‘Guidelines on Justice in Matters involving Child Victims and Witnesses of Crime.’”</w:t>
      </w:r>
    </w:p>
  </w:footnote>
  <w:footnote w:id="210">
    <w:p w14:paraId="2167E89D" w14:textId="50AC1201"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Juridical Status and Human Rights of the Child.</w:t>
      </w:r>
      <w:r w:rsidRPr="00AC57EA">
        <w:rPr>
          <w:sz w:val="16"/>
          <w:szCs w:val="16"/>
          <w:lang w:val="en-US"/>
        </w:rPr>
        <w:t xml:space="preserve"> Advisory Opinion OC-17/02, </w:t>
      </w:r>
      <w:r w:rsidRPr="00AC57EA">
        <w:rPr>
          <w:i/>
          <w:sz w:val="16"/>
          <w:szCs w:val="16"/>
          <w:lang w:val="en-US"/>
        </w:rPr>
        <w:t>supra</w:t>
      </w:r>
      <w:r w:rsidRPr="00AC57EA">
        <w:rPr>
          <w:sz w:val="16"/>
          <w:szCs w:val="16"/>
          <w:lang w:val="en-US"/>
        </w:rPr>
        <w:t xml:space="preserve">, para. 99, and </w:t>
      </w:r>
      <w:r w:rsidRPr="00AC57EA">
        <w:rPr>
          <w:rStyle w:val="Textoennegrita"/>
          <w:b w:val="0"/>
          <w:i/>
          <w:sz w:val="16"/>
          <w:szCs w:val="16"/>
          <w:lang w:val="en-US"/>
        </w:rPr>
        <w:t>Rights and Guarantees of Children in the Context of Migration and/or in Need of International Protection.</w:t>
      </w:r>
      <w:r w:rsidRPr="00AC57EA">
        <w:rPr>
          <w:rStyle w:val="Textoennegrita"/>
          <w:b w:val="0"/>
          <w:sz w:val="16"/>
          <w:szCs w:val="16"/>
          <w:lang w:val="en-US"/>
        </w:rPr>
        <w:t xml:space="preserve"> Advisory Opinion OC-21/14, </w:t>
      </w:r>
      <w:r w:rsidRPr="00AC57EA">
        <w:rPr>
          <w:rStyle w:val="Textoennegrita"/>
          <w:b w:val="0"/>
          <w:i/>
          <w:sz w:val="16"/>
          <w:szCs w:val="16"/>
          <w:lang w:val="en-US"/>
        </w:rPr>
        <w:t>supra</w:t>
      </w:r>
      <w:r w:rsidRPr="00AC57EA">
        <w:rPr>
          <w:sz w:val="16"/>
          <w:szCs w:val="16"/>
          <w:lang w:val="en-US"/>
        </w:rPr>
        <w:t>, para. 122.</w:t>
      </w:r>
    </w:p>
  </w:footnote>
  <w:footnote w:id="211">
    <w:p w14:paraId="2A5398EB" w14:textId="18184F96"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opinion provided by Miguel Cillero Bruñol before the Inter-American Court during the public hearing held on October 16 and 17, 2017.</w:t>
      </w:r>
    </w:p>
  </w:footnote>
  <w:footnote w:id="212">
    <w:p w14:paraId="641E2697" w14:textId="32C111E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Economic and Social Council Resolution 2005/20, </w:t>
      </w:r>
      <w:r w:rsidRPr="00AC57EA">
        <w:rPr>
          <w:i/>
          <w:sz w:val="16"/>
          <w:szCs w:val="16"/>
          <w:lang w:val="en-US"/>
        </w:rPr>
        <w:t>Guidelines on Justice in Matters involving Child Victims and Witnesses of Crime</w:t>
      </w:r>
      <w:r w:rsidRPr="00AC57EA">
        <w:rPr>
          <w:sz w:val="16"/>
          <w:szCs w:val="16"/>
          <w:lang w:val="en-US"/>
        </w:rPr>
        <w:t>, UN Doc. E/2005/INF/2/Add.1, July 22, 2005, guidelines 19 and 20;</w:t>
      </w:r>
      <w:r w:rsidRPr="00AC57EA">
        <w:rPr>
          <w:i/>
          <w:sz w:val="16"/>
          <w:szCs w:val="16"/>
          <w:lang w:val="en-US"/>
        </w:rPr>
        <w:t xml:space="preserve"> </w:t>
      </w:r>
      <w:r w:rsidRPr="00AC57EA">
        <w:rPr>
          <w:sz w:val="16"/>
          <w:szCs w:val="16"/>
          <w:shd w:val="clear" w:color="auto" w:fill="FFFFFF"/>
          <w:lang w:val="en-US"/>
        </w:rPr>
        <w:t xml:space="preserve">Committee on the Rights of the Child, </w:t>
      </w:r>
      <w:r w:rsidRPr="00AC57EA">
        <w:rPr>
          <w:i/>
          <w:sz w:val="16"/>
          <w:szCs w:val="16"/>
          <w:lang w:val="en-US"/>
        </w:rPr>
        <w:t>General Comment No. 5: General measures of implementation of the Convention on the Rights of the Child (arts. 4, 42 and 44, para 6)</w:t>
      </w:r>
      <w:r w:rsidRPr="00AC57EA">
        <w:rPr>
          <w:sz w:val="16"/>
          <w:szCs w:val="16"/>
          <w:lang w:val="en-US"/>
        </w:rPr>
        <w:t xml:space="preserve">, </w:t>
      </w:r>
      <w:r w:rsidRPr="00AC57EA">
        <w:rPr>
          <w:i/>
          <w:sz w:val="16"/>
          <w:szCs w:val="16"/>
          <w:lang w:val="en-US"/>
        </w:rPr>
        <w:t>supra</w:t>
      </w:r>
      <w:r w:rsidRPr="00AC57EA">
        <w:rPr>
          <w:bCs/>
          <w:sz w:val="16"/>
          <w:szCs w:val="16"/>
          <w:lang w:val="en-US"/>
        </w:rPr>
        <w:t xml:space="preserve">, para. 24, and </w:t>
      </w:r>
      <w:r w:rsidRPr="00AC57EA">
        <w:rPr>
          <w:sz w:val="16"/>
          <w:szCs w:val="16"/>
          <w:shd w:val="clear" w:color="auto" w:fill="FFFFFF"/>
          <w:lang w:val="en-US"/>
        </w:rPr>
        <w:t>Committee on the Rights of the Child</w:t>
      </w:r>
      <w:r w:rsidRPr="00AC57EA">
        <w:rPr>
          <w:sz w:val="16"/>
          <w:szCs w:val="16"/>
          <w:lang w:val="en-US"/>
        </w:rPr>
        <w:t xml:space="preserve">, </w:t>
      </w:r>
      <w:r w:rsidRPr="00AC57EA">
        <w:rPr>
          <w:i/>
          <w:sz w:val="16"/>
          <w:szCs w:val="16"/>
          <w:lang w:val="en-US"/>
        </w:rPr>
        <w:t>General Comment No. 12: The right of the child to be heard, supra</w:t>
      </w:r>
      <w:r w:rsidRPr="00AC57EA">
        <w:rPr>
          <w:bCs/>
          <w:sz w:val="16"/>
          <w:szCs w:val="16"/>
          <w:lang w:val="en-US"/>
        </w:rPr>
        <w:t>, para. 64.</w:t>
      </w:r>
    </w:p>
  </w:footnote>
  <w:footnote w:id="213">
    <w:p w14:paraId="73BB6A09" w14:textId="5D7F8C96" w:rsidR="003C0AC1" w:rsidRPr="00AC57EA" w:rsidRDefault="003C0AC1" w:rsidP="00AC57EA">
      <w:pPr>
        <w:tabs>
          <w:tab w:val="left" w:pos="540"/>
        </w:tabs>
        <w:spacing w:after="60" w:line="240" w:lineRule="auto"/>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 xml:space="preserve">In this regard, see: </w:t>
      </w:r>
      <w:r w:rsidRPr="00AC57EA">
        <w:rPr>
          <w:bCs/>
          <w:sz w:val="16"/>
          <w:szCs w:val="16"/>
          <w:lang w:val="en-US"/>
        </w:rPr>
        <w:t xml:space="preserve">Human Rights Council, UN Doc. A/HRC/25/L.10, March 25, 2014, </w:t>
      </w:r>
      <w:r w:rsidRPr="00AC57EA">
        <w:rPr>
          <w:sz w:val="16"/>
          <w:szCs w:val="16"/>
          <w:lang w:val="en-US"/>
        </w:rPr>
        <w:t xml:space="preserve">paragraph 9 [“Reaffirms the need to respect all legal guarantees and safeguards at all stages of all justice processes concerning children, including due process, the right to privacy, the guarantee of legal aid and other appropriate assistance under the same or more lenient conditions as adults, and the right to challenge decisions with a higher judicial authority”] and paragraph 13(k) [Ensuring that all children have access to legal and other appropriate assistance, including by supporting the establishment of child-sensitive legal aid systems”]. </w:t>
      </w:r>
      <w:r w:rsidRPr="00AC57EA">
        <w:rPr>
          <w:bCs/>
          <w:sz w:val="16"/>
          <w:szCs w:val="16"/>
          <w:lang w:val="en-US"/>
        </w:rPr>
        <w:t xml:space="preserve">Committee on the Rights of the Child, </w:t>
      </w:r>
      <w:r w:rsidRPr="00AC57EA">
        <w:rPr>
          <w:bCs/>
          <w:i/>
          <w:sz w:val="16"/>
          <w:szCs w:val="16"/>
          <w:lang w:val="en-US"/>
        </w:rPr>
        <w:t>General Comment No. 12: The right of the child to be heard, supra</w:t>
      </w:r>
      <w:r w:rsidRPr="00AC57EA">
        <w:rPr>
          <w:bCs/>
          <w:sz w:val="16"/>
          <w:szCs w:val="16"/>
          <w:lang w:val="en-US"/>
        </w:rPr>
        <w:t>, para. 64</w:t>
      </w:r>
      <w:r w:rsidRPr="00AC57EA">
        <w:rPr>
          <w:sz w:val="16"/>
          <w:szCs w:val="16"/>
          <w:lang w:val="en-US"/>
        </w:rPr>
        <w:t xml:space="preserve"> [“The right of the child victim and witness is also linked to the right to be informed about issues such as availability of health, psychological and social services, the role of a child victim and/or witness, the ways in which “questioning” is conducted, existing support mechanisms in place for the child when submitting a complaint and participating in investigations and court proceedings, the specific places and times of hearings, the availability of protective measures, the possibilities of receiving reparation, and the provisions for appeal”]; </w:t>
      </w:r>
      <w:r w:rsidRPr="00AC57EA">
        <w:rPr>
          <w:sz w:val="16"/>
          <w:szCs w:val="16"/>
          <w:shd w:val="clear" w:color="auto" w:fill="FFFFFF"/>
          <w:lang w:val="en-US"/>
        </w:rPr>
        <w:t xml:space="preserve">Committee on the Rights of the Child, </w:t>
      </w:r>
      <w:r w:rsidRPr="00AC57EA">
        <w:rPr>
          <w:i/>
          <w:sz w:val="16"/>
          <w:szCs w:val="16"/>
          <w:lang w:val="en-US"/>
        </w:rPr>
        <w:t>General Comment No. 5: General measures of implementation of the Convention on the Rights of the Child (arts. 4, 42 and 44, para 6)</w:t>
      </w:r>
      <w:r w:rsidRPr="00AC57EA">
        <w:rPr>
          <w:sz w:val="16"/>
          <w:szCs w:val="16"/>
          <w:lang w:val="en-US"/>
        </w:rPr>
        <w:t xml:space="preserve">, </w:t>
      </w:r>
      <w:r w:rsidRPr="00AC57EA">
        <w:rPr>
          <w:i/>
          <w:sz w:val="16"/>
          <w:szCs w:val="16"/>
          <w:lang w:val="en-US"/>
        </w:rPr>
        <w:t>supra,</w:t>
      </w:r>
      <w:r w:rsidRPr="00AC57EA">
        <w:rPr>
          <w:sz w:val="16"/>
          <w:szCs w:val="16"/>
          <w:lang w:val="en-US"/>
        </w:rPr>
        <w:t xml:space="preserve"> para. 24 [“</w:t>
      </w:r>
      <w:r w:rsidRPr="00AC57EA">
        <w:rPr>
          <w:rFonts w:eastAsiaTheme="minorHAnsi"/>
          <w:sz w:val="16"/>
          <w:szCs w:val="16"/>
          <w:lang w:val="en-US"/>
        </w:rPr>
        <w:t xml:space="preserve">For rights to have meaning, effective remedies must be available to redress violations. This requirement is implicit in the Convention and consistently referred to in the other six major international human rights treaties. Children’s special and dependent status creates real difficulties for them in pursuing remedies for breaches of their rights. So States need to give particular attention to ensuring that there are effective, child-sensitive procedures available to children and their representatives. These should include the provision of child-friendly information, advice, advocacy, including support for self-advocacy, and access to independent complaints procedures and to the courts with necessary legal and other assistance”]; </w:t>
      </w:r>
      <w:r w:rsidRPr="00AC57EA">
        <w:rPr>
          <w:sz w:val="16"/>
          <w:szCs w:val="16"/>
          <w:shd w:val="clear" w:color="auto" w:fill="FFFFFF"/>
          <w:lang w:val="en-US"/>
        </w:rPr>
        <w:t>Committee on the Rights of the Child</w:t>
      </w:r>
      <w:r w:rsidRPr="00AC57EA">
        <w:rPr>
          <w:sz w:val="16"/>
          <w:szCs w:val="16"/>
          <w:lang w:val="en-US"/>
        </w:rPr>
        <w:t xml:space="preserve">, </w:t>
      </w:r>
      <w:r w:rsidRPr="00AC57EA">
        <w:rPr>
          <w:i/>
          <w:sz w:val="16"/>
          <w:szCs w:val="16"/>
          <w:lang w:val="en-US"/>
        </w:rPr>
        <w:t>General Comment No. 14 on the right of the child to have his or her best interests taken as a primary consideration (art.3, para.1)</w:t>
      </w:r>
      <w:r w:rsidRPr="00AC57EA">
        <w:rPr>
          <w:sz w:val="16"/>
          <w:szCs w:val="16"/>
          <w:lang w:val="en-US"/>
        </w:rPr>
        <w:t>, UN Doc. CRC/C/GC/14, May 29, 2013, para. 96 [“</w:t>
      </w:r>
      <w:r w:rsidRPr="00AC57EA">
        <w:rPr>
          <w:rFonts w:cs="Arial"/>
          <w:sz w:val="16"/>
          <w:szCs w:val="16"/>
          <w:lang w:val="en-US"/>
        </w:rPr>
        <w:t>The child will need appropriate legal representation when his or her best interests are to be formally assessed and determined by courts and equivalent bodies.. In particular, in cases where a child is referred to an administrative or judicial procedure involving the determination of his or her best interests, he or she should be provided with a legal representative, in addition to a guardian or representative of his or her views, when there is a potential conflict between the parties in the decision</w:t>
      </w:r>
      <w:r w:rsidRPr="00AC57EA">
        <w:rPr>
          <w:sz w:val="16"/>
          <w:szCs w:val="16"/>
          <w:lang w:val="en-US"/>
        </w:rPr>
        <w:t xml:space="preserve">”], and </w:t>
      </w:r>
      <w:r w:rsidRPr="00AC57EA">
        <w:rPr>
          <w:sz w:val="16"/>
          <w:szCs w:val="16"/>
          <w:shd w:val="clear" w:color="auto" w:fill="FFFFFF"/>
          <w:lang w:val="en-US"/>
        </w:rPr>
        <w:t>Committee on the Rights of the Child</w:t>
      </w:r>
      <w:r w:rsidRPr="00AC57EA">
        <w:rPr>
          <w:sz w:val="16"/>
          <w:szCs w:val="16"/>
          <w:lang w:val="en-US"/>
        </w:rPr>
        <w:t xml:space="preserve">, </w:t>
      </w:r>
      <w:r w:rsidRPr="00AC57EA">
        <w:rPr>
          <w:i/>
          <w:sz w:val="16"/>
          <w:szCs w:val="16"/>
          <w:lang w:val="en-US"/>
        </w:rPr>
        <w:t>General Comment No. 20 on the implementation of the rights of the child during adolescence</w:t>
      </w:r>
      <w:r w:rsidRPr="00AC57EA">
        <w:rPr>
          <w:sz w:val="16"/>
          <w:szCs w:val="16"/>
          <w:lang w:val="en-US"/>
        </w:rPr>
        <w:t>, UN Doc. CRC/C/GC/20, December 6, 2016, para. 23 [“</w:t>
      </w:r>
      <w:r w:rsidRPr="00AC57EA">
        <w:rPr>
          <w:rFonts w:cs="Arial"/>
          <w:sz w:val="16"/>
          <w:szCs w:val="16"/>
          <w:lang w:val="en-US"/>
        </w:rPr>
        <w:t>In accordance with article 12 of the Convention, States parties should introduce measures to guarantee adolescents the right to express views on all matters of concern to them, in accordance with their age and maturity, and ensure they are given due weight, for example, in decisions relating to their education, health, sexuality, family life and judicial and administrative proceedings. […] The measures should be accompanied by the introduction of safe and accessible complaint and redress mechanisms with the authority to adjudicate claims made by adolescents, and by access to subsidized or free legal services and other appropriate assistance</w:t>
      </w:r>
      <w:r w:rsidRPr="00AC57EA">
        <w:rPr>
          <w:sz w:val="16"/>
          <w:szCs w:val="16"/>
          <w:lang w:val="en-US"/>
        </w:rPr>
        <w:t xml:space="preserve">”], and </w:t>
      </w:r>
      <w:r w:rsidRPr="00AC57EA">
        <w:rPr>
          <w:bCs/>
          <w:sz w:val="16"/>
          <w:szCs w:val="16"/>
          <w:lang w:val="en-US"/>
        </w:rPr>
        <w:t xml:space="preserve">UNICEF-UNODC, </w:t>
      </w:r>
      <w:r w:rsidRPr="00AC57EA">
        <w:rPr>
          <w:bCs/>
          <w:i/>
          <w:sz w:val="16"/>
          <w:szCs w:val="16"/>
          <w:lang w:val="en-US"/>
        </w:rPr>
        <w:t>Handbook for Professionals and Policymakers on Justice in matters involving child victims and witnesses of crime</w:t>
      </w:r>
      <w:r w:rsidRPr="00AC57EA">
        <w:rPr>
          <w:bCs/>
          <w:sz w:val="16"/>
          <w:szCs w:val="16"/>
          <w:lang w:val="en-US"/>
        </w:rPr>
        <w:t xml:space="preserve">, 2010, </w:t>
      </w:r>
      <w:r w:rsidRPr="00AC57EA">
        <w:rPr>
          <w:sz w:val="16"/>
          <w:szCs w:val="16"/>
          <w:lang w:val="en-US"/>
        </w:rPr>
        <w:t>pp. 54-5 [“Assistance during the participation of child victims and witnesses in the justice process should include access to legal assistance. […] However, child victims’ and witnesses’ right to effective assistance goes further than the presence of such support persons. […] Most civil law countries recognize the right of child victims to legal assistance. The assistance is free of charge for beneficiaries who cannot afford to pay their counsel”].</w:t>
      </w:r>
    </w:p>
  </w:footnote>
  <w:footnote w:id="214">
    <w:p w14:paraId="5FC01C0D" w14:textId="2B24CA7A" w:rsidR="003C0AC1" w:rsidRPr="00AC57EA" w:rsidRDefault="003C0AC1" w:rsidP="00AC57EA">
      <w:pPr>
        <w:pStyle w:val="Textonotapie"/>
        <w:tabs>
          <w:tab w:val="left" w:pos="540"/>
        </w:tabs>
        <w:spacing w:after="60"/>
        <w:rPr>
          <w:iCs/>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UNODC, </w:t>
      </w:r>
      <w:r w:rsidRPr="00AC57EA">
        <w:rPr>
          <w:i/>
          <w:sz w:val="16"/>
          <w:szCs w:val="16"/>
          <w:lang w:val="en-US"/>
        </w:rPr>
        <w:t xml:space="preserve">United Nations Principles and Guidelines on Access to Legal Aid in Criminal Justice Systems, </w:t>
      </w:r>
      <w:r w:rsidRPr="00AC57EA">
        <w:rPr>
          <w:sz w:val="16"/>
          <w:szCs w:val="16"/>
          <w:lang w:val="en-US"/>
        </w:rPr>
        <w:t xml:space="preserve">2013, </w:t>
      </w:r>
      <w:r w:rsidRPr="00AC57EA">
        <w:rPr>
          <w:iCs/>
          <w:sz w:val="16"/>
          <w:szCs w:val="16"/>
          <w:lang w:val="en-US"/>
        </w:rPr>
        <w:t>Principle 2</w:t>
      </w:r>
      <w:r w:rsidRPr="00AC57EA">
        <w:rPr>
          <w:i/>
          <w:iCs/>
          <w:sz w:val="16"/>
          <w:szCs w:val="16"/>
          <w:lang w:val="en-US"/>
        </w:rPr>
        <w:t xml:space="preserve"> </w:t>
      </w:r>
      <w:r w:rsidRPr="00AC57EA">
        <w:rPr>
          <w:iCs/>
          <w:sz w:val="16"/>
          <w:szCs w:val="16"/>
          <w:lang w:val="en-US"/>
        </w:rPr>
        <w:t xml:space="preserve">[“Responsibilities of the State. 15. </w:t>
      </w:r>
      <w:r w:rsidRPr="00AC57EA">
        <w:rPr>
          <w:sz w:val="16"/>
          <w:szCs w:val="16"/>
          <w:lang w:val="en-US"/>
        </w:rPr>
        <w:t>States should consider the provision of legal aid their duty and responsibility. To that end, they should consider, where appropriate, enacting specific legislation and regulations and ensure that a comprehensive legal aid system is in place that is accessible, effective, sustainable and credible. States should allocate the necessary human and financial resources to the legal aid system”] and Guideline 1 [“Provision of Legal Aid. 41. Whenever States apply a means test to determine eligibility for legal aid, they should ensure that: […] (C) Persons urgently requiring legal aid at police stations, detention centres or courts should be provided preliminary legal aid while their eligibility is being determined. Children are always exempted from the means test</w:t>
      </w:r>
      <w:r w:rsidRPr="00AC57EA">
        <w:rPr>
          <w:bCs/>
          <w:sz w:val="16"/>
          <w:szCs w:val="16"/>
          <w:lang w:val="en-US"/>
        </w:rPr>
        <w:t>”</w:t>
      </w:r>
      <w:r w:rsidRPr="00AC57EA">
        <w:rPr>
          <w:sz w:val="16"/>
          <w:szCs w:val="16"/>
          <w:lang w:val="en-US"/>
        </w:rPr>
        <w:t>].</w:t>
      </w:r>
    </w:p>
  </w:footnote>
  <w:footnote w:id="215">
    <w:p w14:paraId="68010140" w14:textId="2E654B6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opinion provided by Miguel Cillero Bruñol before the Inter-American Court during the public hearing held on October 16 and 17, 2017.</w:t>
      </w:r>
    </w:p>
  </w:footnote>
  <w:footnote w:id="216">
    <w:p w14:paraId="0999EEFC" w14:textId="2FF2AA1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Case of Rosendo Cantú et al. v. Mexico.</w:t>
      </w:r>
      <w:r w:rsidRPr="00AC57EA">
        <w:rPr>
          <w:sz w:val="16"/>
          <w:szCs w:val="16"/>
          <w:lang w:val="en-US"/>
        </w:rPr>
        <w:t xml:space="preserve"> </w:t>
      </w:r>
      <w:r w:rsidRPr="00AC57EA">
        <w:rPr>
          <w:i/>
          <w:sz w:val="16"/>
          <w:szCs w:val="16"/>
          <w:lang w:val="en-US"/>
        </w:rPr>
        <w:t>Preliminary objection, merits, reparations and costs</w:t>
      </w:r>
      <w:r w:rsidRPr="00AC57EA">
        <w:rPr>
          <w:sz w:val="16"/>
          <w:szCs w:val="16"/>
          <w:lang w:val="en-US"/>
        </w:rPr>
        <w:t xml:space="preserve">. Judgment of August 31, 2010. Series C No. 216, para. 201, and Economic and Social Council Resolution 2005/20, </w:t>
      </w:r>
      <w:r w:rsidRPr="00AC57EA">
        <w:rPr>
          <w:i/>
          <w:sz w:val="16"/>
          <w:szCs w:val="16"/>
          <w:lang w:val="en-US"/>
        </w:rPr>
        <w:t>Guidelines on Justice in Matters involving Child Victims and Witnesses of Crime</w:t>
      </w:r>
      <w:r w:rsidRPr="00AC57EA">
        <w:rPr>
          <w:sz w:val="16"/>
          <w:szCs w:val="16"/>
          <w:lang w:val="en-US"/>
        </w:rPr>
        <w:t>, UN Doc. E/2005/INF/2/Add.1, July 22, 2005, guideline 31.b). See also,</w:t>
      </w:r>
      <w:r w:rsidRPr="00AC57EA">
        <w:rPr>
          <w:i/>
          <w:sz w:val="16"/>
          <w:szCs w:val="16"/>
          <w:lang w:val="en-US"/>
        </w:rPr>
        <w:t xml:space="preserve"> </w:t>
      </w:r>
      <w:r w:rsidRPr="00AC57EA">
        <w:rPr>
          <w:sz w:val="16"/>
          <w:szCs w:val="16"/>
          <w:lang w:val="en-US"/>
        </w:rPr>
        <w:t>Expert opinions provided by Enrique Oscar Stola and Miguel Cillero Bruñol before the Inter-American Court during the public hearing held on October 16 and 17, 2017.</w:t>
      </w:r>
    </w:p>
  </w:footnote>
  <w:footnote w:id="217">
    <w:p w14:paraId="71720140" w14:textId="28A72993" w:rsidR="003C0AC1" w:rsidRPr="00AC57EA" w:rsidRDefault="003C0AC1" w:rsidP="00AC57EA">
      <w:pPr>
        <w:tabs>
          <w:tab w:val="left" w:pos="540"/>
        </w:tabs>
        <w:spacing w:after="60" w:line="240" w:lineRule="auto"/>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the Miguel Castro Castro Prison v. Peru. Merits, reparations and costs. </w:t>
      </w:r>
      <w:r w:rsidRPr="00AC57EA">
        <w:rPr>
          <w:sz w:val="16"/>
          <w:szCs w:val="16"/>
          <w:lang w:val="en-US"/>
        </w:rPr>
        <w:t xml:space="preserve">Judgment of November 25, 2006. </w:t>
      </w:r>
      <w:r w:rsidRPr="00AC57EA">
        <w:rPr>
          <w:sz w:val="16"/>
          <w:szCs w:val="16"/>
        </w:rPr>
        <w:t>Series C No. 160, para. 311,</w:t>
      </w:r>
      <w:r w:rsidRPr="00AC57EA">
        <w:rPr>
          <w:i/>
          <w:sz w:val="16"/>
          <w:szCs w:val="16"/>
        </w:rPr>
        <w:t xml:space="preserve"> and Case of Favela Nova Brasilia v. Brazil, supra</w:t>
      </w:r>
      <w:r w:rsidRPr="00AC57EA">
        <w:rPr>
          <w:sz w:val="16"/>
          <w:szCs w:val="16"/>
        </w:rPr>
        <w:t xml:space="preserve">, para. </w:t>
      </w:r>
      <w:r w:rsidRPr="00AC57EA">
        <w:rPr>
          <w:sz w:val="16"/>
          <w:szCs w:val="16"/>
          <w:lang w:val="en-US"/>
        </w:rPr>
        <w:t>255.</w:t>
      </w:r>
    </w:p>
  </w:footnote>
  <w:footnote w:id="218">
    <w:p w14:paraId="3DA6EDEF" w14:textId="6F1849A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Expert opinion provided by Enrique Oscar Stola before the Inter-American Court during the public hearing held on October 16 and 17, 2017. </w:t>
      </w:r>
    </w:p>
  </w:footnote>
  <w:footnote w:id="219">
    <w:p w14:paraId="5AA89845" w14:textId="278B492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 57(b)</w:t>
      </w:r>
    </w:p>
  </w:footnote>
  <w:footnote w:id="220">
    <w:p w14:paraId="4802C310" w14:textId="4BEB7DF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Economic and Social Council Resolution 2005/20, </w:t>
      </w:r>
      <w:r w:rsidRPr="00AC57EA">
        <w:rPr>
          <w:i/>
          <w:sz w:val="16"/>
          <w:szCs w:val="16"/>
          <w:lang w:val="en-US"/>
        </w:rPr>
        <w:t>Guidelines on Justice in Matters involving Child Victims and Witnesses of Crime</w:t>
      </w:r>
      <w:r w:rsidRPr="00AC57EA">
        <w:rPr>
          <w:sz w:val="16"/>
          <w:szCs w:val="16"/>
          <w:lang w:val="en-US"/>
        </w:rPr>
        <w:t xml:space="preserve">, UN Doc. E/2005/INF/2/Add.1, July 22, 2005, guideline 23, and UNODC, </w:t>
      </w:r>
      <w:r w:rsidRPr="00AC57EA">
        <w:rPr>
          <w:i/>
          <w:sz w:val="16"/>
          <w:szCs w:val="16"/>
          <w:lang w:val="en-US"/>
        </w:rPr>
        <w:t>United Nations Principles and Guidelines on Access to Legal Aid in Criminal Justice Systems,</w:t>
      </w:r>
      <w:r w:rsidRPr="00AC57EA">
        <w:rPr>
          <w:sz w:val="16"/>
          <w:szCs w:val="16"/>
          <w:lang w:val="en-US"/>
        </w:rPr>
        <w:t>, 2013, guideline 11.c). See also, Expert opinion provided by Miguel Cillero Bruñol before the Inter-American Court during the public hearing held on October 16 and 17, 2017.</w:t>
      </w:r>
    </w:p>
  </w:footnote>
  <w:footnote w:id="221">
    <w:p w14:paraId="4617603A" w14:textId="2903CFD4" w:rsidR="003C0AC1" w:rsidRPr="00AC57EA" w:rsidRDefault="003C0AC1" w:rsidP="00AC57EA">
      <w:pPr>
        <w:pStyle w:val="Textonotapie"/>
        <w:tabs>
          <w:tab w:val="left" w:pos="540"/>
        </w:tabs>
        <w:spacing w:after="60"/>
        <w:rPr>
          <w:rFonts w:cs="Arial"/>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The Court has indicated that, in cases of violence against women, as soon as the alleged acts have been reported it is necessary that </w:t>
      </w:r>
      <w:r w:rsidRPr="00AC57EA">
        <w:rPr>
          <w:rFonts w:cs="Arial"/>
          <w:sz w:val="16"/>
          <w:szCs w:val="16"/>
          <w:lang w:val="en-US"/>
        </w:rPr>
        <w:t>a complete and detailed medical and psychological examination should be made immediately by appropriate trained personnel, of the sex preferred by the victim insofar as this is possible, and the victim should be informed that she can be accompanied by a person of confidence if she so wishes</w:t>
      </w:r>
      <w:r w:rsidRPr="00AC57EA">
        <w:rPr>
          <w:rFonts w:eastAsia="Batang"/>
          <w:sz w:val="16"/>
          <w:szCs w:val="16"/>
          <w:lang w:val="en-US"/>
        </w:rPr>
        <w:t xml:space="preserve">. This examination must be performed in accordance with protocols specifically addressed at documenting evidence in cases of gender-based violence. </w:t>
      </w:r>
      <w:r w:rsidRPr="00AC57EA">
        <w:rPr>
          <w:i/>
          <w:sz w:val="16"/>
          <w:szCs w:val="16"/>
          <w:lang w:val="es-CR"/>
        </w:rPr>
        <w:t>Cf. Case of Fernández Ortega et al. v. Mexico, supra</w:t>
      </w:r>
      <w:r w:rsidRPr="00AC57EA">
        <w:rPr>
          <w:sz w:val="16"/>
          <w:szCs w:val="16"/>
          <w:lang w:val="es-CR"/>
        </w:rPr>
        <w:t xml:space="preserve">, para. 194, and </w:t>
      </w:r>
      <w:r w:rsidRPr="00AC57EA">
        <w:rPr>
          <w:i/>
          <w:sz w:val="16"/>
          <w:szCs w:val="16"/>
          <w:lang w:val="es-CR"/>
        </w:rPr>
        <w:t>Case of Favela Nova Brasilia v. Brazil, supra</w:t>
      </w:r>
      <w:r w:rsidRPr="00AC57EA">
        <w:rPr>
          <w:sz w:val="16"/>
          <w:szCs w:val="16"/>
          <w:lang w:val="es-CR"/>
        </w:rPr>
        <w:t xml:space="preserve">, para. </w:t>
      </w:r>
      <w:r w:rsidRPr="00AC57EA">
        <w:rPr>
          <w:sz w:val="16"/>
          <w:szCs w:val="16"/>
          <w:lang w:val="en-US"/>
        </w:rPr>
        <w:t>254.</w:t>
      </w:r>
      <w:r w:rsidRPr="00AC57EA">
        <w:rPr>
          <w:i/>
          <w:sz w:val="16"/>
          <w:szCs w:val="16"/>
          <w:lang w:val="en-US"/>
        </w:rPr>
        <w:t xml:space="preserve"> </w:t>
      </w:r>
      <w:r w:rsidRPr="00AC57EA">
        <w:rPr>
          <w:sz w:val="16"/>
          <w:szCs w:val="16"/>
          <w:lang w:val="en-US"/>
        </w:rPr>
        <w:t>See also,</w:t>
      </w:r>
      <w:r w:rsidRPr="00AC57EA">
        <w:rPr>
          <w:i/>
          <w:sz w:val="16"/>
          <w:szCs w:val="16"/>
          <w:lang w:val="en-US"/>
        </w:rPr>
        <w:t xml:space="preserve"> </w:t>
      </w:r>
      <w:r w:rsidRPr="00AC57EA">
        <w:rPr>
          <w:sz w:val="16"/>
          <w:szCs w:val="16"/>
          <w:lang w:val="en-US"/>
        </w:rPr>
        <w:t xml:space="preserve">World Health Organization, </w:t>
      </w:r>
      <w:r w:rsidRPr="00AC57EA">
        <w:rPr>
          <w:i/>
          <w:sz w:val="16"/>
          <w:szCs w:val="16"/>
          <w:lang w:val="en-US"/>
        </w:rPr>
        <w:t>Guidelines for medico-legal care for victims of sexual violence</w:t>
      </w:r>
      <w:r w:rsidRPr="00AC57EA">
        <w:rPr>
          <w:sz w:val="16"/>
          <w:szCs w:val="16"/>
          <w:lang w:val="en-US"/>
        </w:rPr>
        <w:t xml:space="preserve">, 2003, pp. 81 and 82 and </w:t>
      </w:r>
      <w:r w:rsidRPr="00AC57EA">
        <w:rPr>
          <w:i/>
          <w:sz w:val="16"/>
          <w:szCs w:val="16"/>
          <w:lang w:val="en-US"/>
        </w:rPr>
        <w:t>Responding to children and adolescents who have been sexually abused. WHO Clinical Guidelines</w:t>
      </w:r>
      <w:r w:rsidRPr="00AC57EA">
        <w:rPr>
          <w:sz w:val="16"/>
          <w:szCs w:val="16"/>
          <w:lang w:val="en-US"/>
        </w:rPr>
        <w:t>, 2017, p. 18.</w:t>
      </w:r>
    </w:p>
  </w:footnote>
  <w:footnote w:id="222">
    <w:p w14:paraId="09D35C4D" w14:textId="73841BE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Committee on the Rights of the Child, </w:t>
      </w:r>
      <w:r w:rsidRPr="00AC57EA">
        <w:rPr>
          <w:i/>
          <w:sz w:val="16"/>
          <w:szCs w:val="16"/>
          <w:lang w:val="en-US"/>
        </w:rPr>
        <w:t>General Comment No. 13: The right of the child to freedom from all violence, supra</w:t>
      </w:r>
      <w:r w:rsidRPr="00AC57EA">
        <w:rPr>
          <w:sz w:val="16"/>
          <w:szCs w:val="16"/>
          <w:lang w:val="en-US"/>
        </w:rPr>
        <w:t>, para. 54(b).</w:t>
      </w:r>
    </w:p>
  </w:footnote>
  <w:footnote w:id="223">
    <w:p w14:paraId="0C88B78A" w14:textId="00E4D00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Economic and Social Council Resolution 2005/20, </w:t>
      </w:r>
      <w:r w:rsidRPr="00AC57EA">
        <w:rPr>
          <w:i/>
          <w:sz w:val="16"/>
          <w:szCs w:val="16"/>
          <w:lang w:val="en-US"/>
        </w:rPr>
        <w:t>Guidelines on Justice in Matters involving Child Victims and Witnesses of Crime</w:t>
      </w:r>
      <w:r w:rsidRPr="00AC57EA">
        <w:rPr>
          <w:sz w:val="16"/>
          <w:szCs w:val="16"/>
          <w:lang w:val="en-US"/>
        </w:rPr>
        <w:t xml:space="preserve">, UN Doc. E/2005/INF/2/Add.1, July 22, 2005, guidelines 8, 10 to 14, 16, 17, 19, 21 to 31 and 40;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paras. 51 and 54, and World Health Organization,</w:t>
      </w:r>
      <w:r w:rsidRPr="00AC57EA">
        <w:rPr>
          <w:i/>
          <w:sz w:val="16"/>
          <w:szCs w:val="16"/>
          <w:lang w:val="en-US"/>
        </w:rPr>
        <w:t xml:space="preserve"> Responding to children and adolescents who have been sexually abused. WHO Clinical Guidelines</w:t>
      </w:r>
      <w:r w:rsidRPr="00AC57EA">
        <w:rPr>
          <w:sz w:val="16"/>
          <w:szCs w:val="16"/>
          <w:lang w:val="en-US"/>
        </w:rPr>
        <w:t>, 2017, pp. 15 to 22.</w:t>
      </w:r>
    </w:p>
  </w:footnote>
  <w:footnote w:id="224">
    <w:p w14:paraId="39BE429D" w14:textId="467F7A0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sz w:val="16"/>
          <w:szCs w:val="16"/>
          <w:lang w:val="en-US"/>
        </w:rPr>
        <w:t>Cf. Case of Rosendo Cantú et al. v. Mexico, supra</w:t>
      </w:r>
      <w:r w:rsidRPr="00D22834">
        <w:rPr>
          <w:sz w:val="16"/>
          <w:szCs w:val="16"/>
          <w:lang w:val="en-US"/>
        </w:rPr>
        <w:t xml:space="preserve">, para. </w:t>
      </w:r>
      <w:r w:rsidRPr="00AC57EA">
        <w:rPr>
          <w:sz w:val="16"/>
          <w:szCs w:val="16"/>
          <w:lang w:val="en-US"/>
        </w:rPr>
        <w:t xml:space="preserve">201, and </w:t>
      </w:r>
      <w:r w:rsidRPr="00AC57EA">
        <w:rPr>
          <w:rStyle w:val="Textoennegrita"/>
          <w:b w:val="0"/>
          <w:i/>
          <w:sz w:val="16"/>
          <w:szCs w:val="16"/>
          <w:lang w:val="en-US"/>
        </w:rPr>
        <w:t>Rights and Guarantees of Children in the Context of Migration and/or in Need of International Protection.</w:t>
      </w:r>
      <w:r w:rsidRPr="00AC57EA">
        <w:rPr>
          <w:rStyle w:val="Textoennegrita"/>
          <w:b w:val="0"/>
          <w:sz w:val="16"/>
          <w:szCs w:val="16"/>
          <w:lang w:val="en-US"/>
        </w:rPr>
        <w:t xml:space="preserve"> Advisory Opinion OC-21/14, </w:t>
      </w:r>
      <w:r w:rsidRPr="00AC57EA">
        <w:rPr>
          <w:rStyle w:val="Textoennegrita"/>
          <w:b w:val="0"/>
          <w:i/>
          <w:sz w:val="16"/>
          <w:szCs w:val="16"/>
          <w:lang w:val="en-US"/>
        </w:rPr>
        <w:t>supra</w:t>
      </w:r>
      <w:r w:rsidRPr="00AC57EA">
        <w:rPr>
          <w:rFonts w:eastAsia="Arial" w:cs="Arial"/>
          <w:sz w:val="16"/>
          <w:szCs w:val="16"/>
          <w:lang w:val="en-US"/>
        </w:rPr>
        <w:t>, para. 123.</w:t>
      </w:r>
      <w:r w:rsidRPr="00AC57EA">
        <w:rPr>
          <w:sz w:val="16"/>
          <w:szCs w:val="16"/>
          <w:shd w:val="clear" w:color="auto" w:fill="FFFFFF"/>
          <w:lang w:val="en-US"/>
        </w:rPr>
        <w:t xml:space="preserve"> See also, Committee on the Rights of the Child</w:t>
      </w:r>
      <w:r w:rsidRPr="00AC57EA">
        <w:rPr>
          <w:sz w:val="16"/>
          <w:szCs w:val="16"/>
          <w:lang w:val="en-US"/>
        </w:rPr>
        <w:t xml:space="preserve">, </w:t>
      </w:r>
      <w:r w:rsidRPr="00AC57EA">
        <w:rPr>
          <w:i/>
          <w:sz w:val="16"/>
          <w:szCs w:val="16"/>
          <w:lang w:val="en-US"/>
        </w:rPr>
        <w:t>General Comment No. 12: The right of the child to be heard, supra</w:t>
      </w:r>
      <w:r w:rsidRPr="00AC57EA">
        <w:rPr>
          <w:sz w:val="16"/>
          <w:szCs w:val="16"/>
          <w:lang w:val="en-US"/>
        </w:rPr>
        <w:t xml:space="preserve">, para. 34, and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 supra</w:t>
      </w:r>
      <w:r w:rsidRPr="00AC57EA">
        <w:rPr>
          <w:sz w:val="16"/>
          <w:szCs w:val="16"/>
          <w:lang w:val="en-US"/>
        </w:rPr>
        <w:t>, paras. 51 and 54(b).</w:t>
      </w:r>
    </w:p>
  </w:footnote>
  <w:footnote w:id="225">
    <w:p w14:paraId="6BF3911F" w14:textId="2B4AC64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Guidelines on Justice in Matters involving Child Victims and Witnesses of Crime</w:t>
      </w:r>
      <w:r w:rsidRPr="00AC57EA">
        <w:rPr>
          <w:sz w:val="16"/>
          <w:szCs w:val="16"/>
          <w:lang w:val="en-US"/>
        </w:rPr>
        <w:t xml:space="preserve">, UN Doc. E/2005/INF/2/Add.1, July 22, 2005, guideline 10, and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 54(b).</w:t>
      </w:r>
    </w:p>
  </w:footnote>
  <w:footnote w:id="226">
    <w:p w14:paraId="36282A06" w14:textId="0066813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Guidelines on Justice in Matters involving Child Victims and Witnesses of Crime</w:t>
      </w:r>
      <w:r w:rsidRPr="00AC57EA">
        <w:rPr>
          <w:sz w:val="16"/>
          <w:szCs w:val="16"/>
          <w:lang w:val="en-US"/>
        </w:rPr>
        <w:t>, UN Doc. E/2005/INF/2/Add.1, July 22, 2005, guidelines 19 and 30.b).</w:t>
      </w:r>
    </w:p>
  </w:footnote>
  <w:footnote w:id="227">
    <w:p w14:paraId="530E490A" w14:textId="03B5172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 51.</w:t>
      </w:r>
    </w:p>
  </w:footnote>
  <w:footnote w:id="228">
    <w:p w14:paraId="6614F3D3" w14:textId="4968030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World Health Organization,</w:t>
      </w:r>
      <w:r w:rsidRPr="00AC57EA" w:rsidDel="00EA458A">
        <w:rPr>
          <w:i/>
          <w:sz w:val="16"/>
          <w:szCs w:val="16"/>
          <w:lang w:val="en-US"/>
        </w:rPr>
        <w:t xml:space="preserve"> </w:t>
      </w:r>
      <w:r w:rsidRPr="00AC57EA">
        <w:rPr>
          <w:i/>
          <w:sz w:val="16"/>
          <w:szCs w:val="16"/>
          <w:lang w:val="en-US"/>
        </w:rPr>
        <w:t>Responding to children and adolescents who have been sexually abused. WHO Clinical Guidelines</w:t>
      </w:r>
      <w:r w:rsidRPr="00AC57EA">
        <w:rPr>
          <w:sz w:val="16"/>
          <w:szCs w:val="16"/>
          <w:lang w:val="en-US"/>
        </w:rPr>
        <w:t>, 2017, pp. 20 and 21.</w:t>
      </w:r>
    </w:p>
  </w:footnote>
  <w:footnote w:id="229">
    <w:p w14:paraId="6B806BEE" w14:textId="118FFED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Economic and Social Council Resolution 2005/20, </w:t>
      </w:r>
      <w:r w:rsidRPr="00AC57EA">
        <w:rPr>
          <w:i/>
          <w:sz w:val="16"/>
          <w:szCs w:val="16"/>
          <w:lang w:val="en-US"/>
        </w:rPr>
        <w:t>Guidelines on Justice in Matters involving Child Victims and Witnesses of Crime</w:t>
      </w:r>
      <w:r w:rsidRPr="00AC57EA">
        <w:rPr>
          <w:sz w:val="16"/>
          <w:szCs w:val="16"/>
          <w:lang w:val="en-US"/>
        </w:rPr>
        <w:t xml:space="preserve">, UN Doc. E/2005/INF/2/Add.1, July 22, 2005, guideline 31(c). See also, UNICEF and Asociación por los Derechos Civiles (ADC), </w:t>
      </w:r>
      <w:r w:rsidRPr="00AC57EA">
        <w:rPr>
          <w:i/>
          <w:sz w:val="16"/>
          <w:szCs w:val="16"/>
          <w:lang w:val="en-US"/>
        </w:rPr>
        <w:t xml:space="preserve">Guía de buenas prácticas para el abordaje de niños/as, adolescentes víctimas o testigos de abuso sexual y otros delitos </w:t>
      </w:r>
      <w:r w:rsidRPr="00AC57EA">
        <w:rPr>
          <w:iCs/>
          <w:sz w:val="16"/>
          <w:szCs w:val="16"/>
          <w:lang w:val="en-US"/>
        </w:rPr>
        <w:t>[Manual of best practices for treating child and adolescent victims or witness of sexual and other offenses]</w:t>
      </w:r>
      <w:r w:rsidRPr="00AC57EA">
        <w:rPr>
          <w:sz w:val="16"/>
          <w:szCs w:val="16"/>
          <w:lang w:val="en-US"/>
        </w:rPr>
        <w:t>, September 2013, pp. 41 and 42.</w:t>
      </w:r>
    </w:p>
  </w:footnote>
  <w:footnote w:id="230">
    <w:p w14:paraId="3B255A5D" w14:textId="0836EEDB"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The Court has indicated, in cases of adult women, that it is necessary that the statement of a victim of acts of sexual violence or rape </w:t>
      </w:r>
      <w:r w:rsidRPr="00AC57EA">
        <w:rPr>
          <w:rFonts w:cs="Arial"/>
          <w:sz w:val="16"/>
          <w:szCs w:val="16"/>
          <w:lang w:val="en-US"/>
        </w:rPr>
        <w:t xml:space="preserve">the victim’s statement should be taken in a safe and </w:t>
      </w:r>
      <w:r w:rsidRPr="00AC57EA">
        <w:rPr>
          <w:rStyle w:val="highlight"/>
          <w:rFonts w:eastAsia="Calibri" w:cs="Arial"/>
          <w:sz w:val="16"/>
          <w:szCs w:val="16"/>
          <w:lang w:val="en-US"/>
        </w:rPr>
        <w:t>comfortable</w:t>
      </w:r>
      <w:r w:rsidRPr="00AC57EA">
        <w:rPr>
          <w:rFonts w:cs="Arial"/>
          <w:sz w:val="16"/>
          <w:szCs w:val="16"/>
          <w:lang w:val="en-US"/>
        </w:rPr>
        <w:t xml:space="preserve"> environment, providing privacy and inspiring confidence, and that the victim’s statement should be recorded to avoid the need to repeat it, or to limit this to the strictly necessary. This statement should include, with the victim’s consent: </w:t>
      </w:r>
      <w:r w:rsidRPr="00AC57EA">
        <w:rPr>
          <w:sz w:val="16"/>
          <w:szCs w:val="16"/>
          <w:lang w:val="en-US"/>
        </w:rPr>
        <w:t xml:space="preserve">(i) the date, time and location of the act of sexual violence perpetrated, including a description of the type of surface on which the assault occurred;(ii) the name, identity and number of assailants; (iii) the nature of the physical contacts and detailed account of violence inflicted; (iv) use of weapons and restraints; (v) use of medications, drugs, alcohol, or other substances; (vi) how clothing was removed, if applicable; (vii) details of actual or attempted sexual activity; (viii) use of condoms or lubricants; (ix) any subsequent activities that may alter evidence, and (x) details of any symptoms that have developed since the assault. </w:t>
      </w:r>
      <w:r w:rsidRPr="00AC57EA">
        <w:rPr>
          <w:i/>
          <w:sz w:val="16"/>
          <w:szCs w:val="16"/>
        </w:rPr>
        <w:t>Cf. Case of Fernández Ortega et al. v. Mexico, supra</w:t>
      </w:r>
      <w:r w:rsidRPr="00AC57EA">
        <w:rPr>
          <w:sz w:val="16"/>
          <w:szCs w:val="16"/>
        </w:rPr>
        <w:t xml:space="preserve">, para. </w:t>
      </w:r>
      <w:r w:rsidRPr="00AC57EA">
        <w:rPr>
          <w:sz w:val="16"/>
          <w:szCs w:val="16"/>
          <w:lang w:val="en-US"/>
        </w:rPr>
        <w:t xml:space="preserve">194, and </w:t>
      </w:r>
      <w:r w:rsidRPr="00AC57EA">
        <w:rPr>
          <w:i/>
          <w:sz w:val="16"/>
          <w:szCs w:val="16"/>
          <w:lang w:val="en-US"/>
        </w:rPr>
        <w:t>Case of Espinoza Gonzáles v. Peru, supra</w:t>
      </w:r>
      <w:r w:rsidRPr="00AC57EA">
        <w:rPr>
          <w:sz w:val="16"/>
          <w:szCs w:val="16"/>
          <w:lang w:val="en-US"/>
        </w:rPr>
        <w:t xml:space="preserve">, para. 249. See also, World Health Organization, </w:t>
      </w:r>
      <w:r w:rsidRPr="00AC57EA">
        <w:rPr>
          <w:i/>
          <w:sz w:val="16"/>
          <w:szCs w:val="16"/>
          <w:lang w:val="en-US"/>
        </w:rPr>
        <w:t>Guidelines for medico-legal care for victims of sexual violence</w:t>
      </w:r>
      <w:r w:rsidRPr="00AC57EA">
        <w:rPr>
          <w:sz w:val="16"/>
          <w:szCs w:val="16"/>
          <w:lang w:val="en-US"/>
        </w:rPr>
        <w:t>, 2003</w:t>
      </w:r>
      <w:r w:rsidRPr="00AC57EA">
        <w:rPr>
          <w:i/>
          <w:sz w:val="16"/>
          <w:szCs w:val="16"/>
          <w:lang w:val="en-US"/>
        </w:rPr>
        <w:t>,</w:t>
      </w:r>
      <w:r w:rsidRPr="00AC57EA">
        <w:rPr>
          <w:sz w:val="16"/>
          <w:szCs w:val="16"/>
          <w:lang w:val="en-US"/>
        </w:rPr>
        <w:t xml:space="preserve"> </w:t>
      </w:r>
      <w:r w:rsidRPr="00AC57EA">
        <w:rPr>
          <w:rStyle w:val="shorttext"/>
          <w:sz w:val="16"/>
          <w:szCs w:val="16"/>
          <w:lang w:val="en-US"/>
        </w:rPr>
        <w:t xml:space="preserve">pp. 36 and 37. The Court considers that, although these standards may be applicable in cases of violence against children and adolescents, other increased standards must be taken not account when interviewing the such as the obligation of non-revictimization. In this regard, see, </w:t>
      </w:r>
      <w:r w:rsidRPr="00AC57EA">
        <w:rPr>
          <w:sz w:val="16"/>
          <w:szCs w:val="16"/>
          <w:lang w:val="en-US"/>
        </w:rPr>
        <w:t>World Health Organization,</w:t>
      </w:r>
      <w:r w:rsidRPr="00AC57EA">
        <w:rPr>
          <w:i/>
          <w:sz w:val="16"/>
          <w:szCs w:val="16"/>
          <w:lang w:val="en-US"/>
        </w:rPr>
        <w:t xml:space="preserve"> Responding to children and adolescents who have been sexually abused. WHO Clinical Guidelines</w:t>
      </w:r>
      <w:r w:rsidRPr="00AC57EA">
        <w:rPr>
          <w:sz w:val="16"/>
          <w:szCs w:val="16"/>
          <w:lang w:val="en-US"/>
        </w:rPr>
        <w:t>, 2017, p. 20.</w:t>
      </w:r>
    </w:p>
  </w:footnote>
  <w:footnote w:id="231">
    <w:p w14:paraId="23087662" w14:textId="4ED61DD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sz w:val="16"/>
          <w:szCs w:val="16"/>
          <w:lang w:val="en-US"/>
        </w:rPr>
        <w:t>Cf.</w:t>
      </w:r>
      <w:r w:rsidRPr="00D22834">
        <w:rPr>
          <w:sz w:val="16"/>
          <w:szCs w:val="16"/>
          <w:lang w:val="en-US"/>
        </w:rPr>
        <w:t xml:space="preserve"> </w:t>
      </w:r>
      <w:r w:rsidRPr="00D22834">
        <w:rPr>
          <w:i/>
          <w:sz w:val="16"/>
          <w:szCs w:val="16"/>
          <w:lang w:val="en-US"/>
        </w:rPr>
        <w:t>Case of Rosendo Cantú v. Mexico, supra,</w:t>
      </w:r>
      <w:r w:rsidRPr="00D22834">
        <w:rPr>
          <w:sz w:val="16"/>
          <w:szCs w:val="16"/>
          <w:lang w:val="en-US"/>
        </w:rPr>
        <w:t xml:space="preserve"> para. </w:t>
      </w:r>
      <w:r w:rsidRPr="00AC57EA">
        <w:rPr>
          <w:sz w:val="16"/>
          <w:szCs w:val="16"/>
          <w:lang w:val="en-US"/>
        </w:rPr>
        <w:t xml:space="preserve">201; Committee on the Rights of the Child, </w:t>
      </w:r>
      <w:r w:rsidRPr="00AC57EA">
        <w:rPr>
          <w:i/>
          <w:sz w:val="16"/>
          <w:szCs w:val="16"/>
          <w:lang w:val="en-US"/>
        </w:rPr>
        <w:t>General Comment No. 12: The right of the child to be heard,</w:t>
      </w:r>
      <w:r w:rsidRPr="00AC57EA">
        <w:rPr>
          <w:sz w:val="16"/>
          <w:szCs w:val="16"/>
          <w:lang w:val="en-US"/>
        </w:rPr>
        <w:t xml:space="preserve"> </w:t>
      </w:r>
      <w:r w:rsidRPr="00AC57EA">
        <w:rPr>
          <w:i/>
          <w:sz w:val="16"/>
          <w:szCs w:val="16"/>
          <w:lang w:val="en-US"/>
        </w:rPr>
        <w:t>supra</w:t>
      </w:r>
      <w:r w:rsidRPr="00AC57EA">
        <w:rPr>
          <w:sz w:val="16"/>
          <w:szCs w:val="16"/>
          <w:lang w:val="en-US"/>
        </w:rPr>
        <w:t xml:space="preserve">, para. 24; Economic and Social Council Resolution 2005/20, </w:t>
      </w:r>
      <w:r w:rsidRPr="00AC57EA">
        <w:rPr>
          <w:i/>
          <w:sz w:val="16"/>
          <w:szCs w:val="16"/>
          <w:lang w:val="en-US"/>
        </w:rPr>
        <w:t>Guidelines on Justice in Matters involving Child Victims and Witnesses of Crime</w:t>
      </w:r>
      <w:r w:rsidRPr="00AC57EA">
        <w:rPr>
          <w:sz w:val="16"/>
          <w:szCs w:val="16"/>
          <w:lang w:val="en-US"/>
        </w:rPr>
        <w:t>, UN Doc. E/2005/INF/2/Add.1, July 22, 2005, guidelines 23 and 31(a), and World Health Organization,</w:t>
      </w:r>
      <w:r w:rsidRPr="00AC57EA">
        <w:rPr>
          <w:i/>
          <w:sz w:val="16"/>
          <w:szCs w:val="16"/>
          <w:lang w:val="en-US"/>
        </w:rPr>
        <w:t xml:space="preserve"> Responding to children and adolescents who have been sexually abused. WHO Clinical Guidelines</w:t>
      </w:r>
      <w:r w:rsidRPr="00AC57EA">
        <w:rPr>
          <w:sz w:val="16"/>
          <w:szCs w:val="16"/>
          <w:lang w:val="en-US"/>
        </w:rPr>
        <w:t>, 2017, p. 20.</w:t>
      </w:r>
    </w:p>
  </w:footnote>
  <w:footnote w:id="232">
    <w:p w14:paraId="30349C3F" w14:textId="2C13C4B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Guidelines on Justice in Matters involving Child Victims and Witnesses of Crime</w:t>
      </w:r>
      <w:r w:rsidRPr="00AC57EA">
        <w:rPr>
          <w:sz w:val="16"/>
          <w:szCs w:val="16"/>
          <w:lang w:val="en-US"/>
        </w:rPr>
        <w:t>, UN Doc. E/2005/INF/2/Add.1, July 22, 2005, guideline 30(d).</w:t>
      </w:r>
    </w:p>
  </w:footnote>
  <w:footnote w:id="233">
    <w:p w14:paraId="6E07A194" w14:textId="723BD204" w:rsidR="003C0AC1" w:rsidRPr="00AC57EA" w:rsidRDefault="003C0AC1" w:rsidP="00AC57EA">
      <w:pPr>
        <w:pStyle w:val="Textonotapie"/>
        <w:tabs>
          <w:tab w:val="left" w:pos="540"/>
        </w:tabs>
        <w:spacing w:after="60"/>
        <w:rPr>
          <w:sz w:val="16"/>
          <w:szCs w:val="16"/>
          <w:lang w:val="es-CR"/>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 xml:space="preserve">In Argentina, the use of the Gesell Chamber was incorporated into the Code of Criminal Procedure in articles 250 bis and 250 ter by Law 25,852, adopted on December 4, 2003, promulgated on January 6, 2004. </w:t>
      </w:r>
      <w:r w:rsidRPr="00AC57EA">
        <w:rPr>
          <w:sz w:val="16"/>
          <w:szCs w:val="16"/>
          <w:lang w:val="es-CR"/>
        </w:rPr>
        <w:t>See also, UNICEF and Asociación por los Derechos Civiles (ADC),</w:t>
      </w:r>
      <w:r w:rsidRPr="00AC57EA">
        <w:rPr>
          <w:i/>
          <w:iCs/>
          <w:sz w:val="16"/>
          <w:szCs w:val="16"/>
          <w:lang w:val="es-CR"/>
        </w:rPr>
        <w:t xml:space="preserve"> Guía de buenas prácticas para el abordaje de niños/as adolescentes víctimas o testigos de abuso sexual y otros delitos</w:t>
      </w:r>
      <w:r w:rsidRPr="00AC57EA">
        <w:rPr>
          <w:sz w:val="16"/>
          <w:szCs w:val="16"/>
          <w:lang w:val="es-CR"/>
        </w:rPr>
        <w:t>, September 2013.</w:t>
      </w:r>
    </w:p>
  </w:footnote>
  <w:footnote w:id="234">
    <w:p w14:paraId="35CE9517" w14:textId="5AACE9A6"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Bolivia, the use of the Gesell Chamber was regulated by the Comprehensive Law against the smuggling and trafficking of persons, Law No. 263 of July 31, 2012, especially in articles 29(2) and 30(7).</w:t>
      </w:r>
    </w:p>
  </w:footnote>
  <w:footnote w:id="235">
    <w:p w14:paraId="480BF964" w14:textId="508F9F47" w:rsidR="003C0AC1" w:rsidRPr="00AC57EA" w:rsidRDefault="003C0AC1" w:rsidP="00AC57EA">
      <w:pPr>
        <w:tabs>
          <w:tab w:val="left" w:pos="540"/>
        </w:tabs>
        <w:spacing w:after="60" w:line="240" w:lineRule="auto"/>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Brazil, closed circuit television (CCTV) is used. In 2003, the Children and Adolescents Court of Porto Alegre, Rio Grande do Sul, initiated a procedure called “</w:t>
      </w:r>
      <w:r w:rsidRPr="00AC57EA">
        <w:rPr>
          <w:i/>
          <w:iCs/>
          <w:sz w:val="16"/>
          <w:szCs w:val="16"/>
          <w:lang w:val="en-US"/>
        </w:rPr>
        <w:t>Testimony without harm</w:t>
      </w:r>
      <w:r w:rsidRPr="00AC57EA">
        <w:rPr>
          <w:sz w:val="16"/>
          <w:szCs w:val="16"/>
          <w:lang w:val="en-US"/>
        </w:rPr>
        <w:t>.” On November 23, 2010, the National Council of the Judiciary issued Recommendation No. 33, advising the use of the “Special deposition” in judicial proceedings for child victims or witnesses of violence. On April 4, 2017, Brazil adopted Law No. 13,431 which regulates special interviews by means of the “Special deposition.”</w:t>
      </w:r>
    </w:p>
  </w:footnote>
  <w:footnote w:id="236">
    <w:p w14:paraId="0E6B4121" w14:textId="56205625" w:rsidR="003C0AC1" w:rsidRPr="00AC57EA" w:rsidRDefault="003C0AC1" w:rsidP="00AC57EA">
      <w:pPr>
        <w:tabs>
          <w:tab w:val="left" w:pos="540"/>
        </w:tabs>
        <w:spacing w:after="60" w:line="240" w:lineRule="auto"/>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Chile, the first Gesell Chamber was implemented in 2012 as a pilot project. On January 9, 2018, Law No. 21, 057 was promulgated establishing video recorded interviews and other safeguard measures for child victims of sexual offenses.</w:t>
      </w:r>
    </w:p>
  </w:footnote>
  <w:footnote w:id="237">
    <w:p w14:paraId="43AE539F" w14:textId="2A47E079"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In Colombia, the Gesell Chamber and video recording were implemented on July 12, 2013, by Law No. 1652.</w:t>
      </w:r>
    </w:p>
  </w:footnote>
  <w:footnote w:id="238">
    <w:p w14:paraId="2F7E5045" w14:textId="214C823A" w:rsidR="003C0AC1" w:rsidRPr="00AC57EA" w:rsidRDefault="003C0AC1" w:rsidP="00AC57EA">
      <w:pPr>
        <w:pStyle w:val="Textonotapie"/>
        <w:tabs>
          <w:tab w:val="left" w:pos="540"/>
        </w:tabs>
        <w:spacing w:after="60"/>
        <w:rPr>
          <w:sz w:val="16"/>
          <w:szCs w:val="16"/>
          <w:u w:val="single"/>
          <w:lang w:val="en-US" w:eastAsia="es-CR"/>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Costa Rica, the Gesell Chamber has been implemented since 2005. Also, in Circular No. 24 – 2012 of February 14, 2012, the Supreme Court of Justice adopted the Manual on the use of Gesell Chambers. There is also a protocol for the use of interview rooms.</w:t>
      </w:r>
    </w:p>
  </w:footnote>
  <w:footnote w:id="239">
    <w:p w14:paraId="1BDA3E5C" w14:textId="07E4B130"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Ecuador, in 2014, the Council of the Judicature in Resolution 117-2014 established the “Protocol for the use of the Gesell Chamber”.</w:t>
      </w:r>
    </w:p>
  </w:footnote>
  <w:footnote w:id="240">
    <w:p w14:paraId="1E971A5A" w14:textId="5F074568"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2009, El Salvador inaugurated its first Gesell Chambers.</w:t>
      </w:r>
    </w:p>
  </w:footnote>
  <w:footnote w:id="241">
    <w:p w14:paraId="25DABAC0" w14:textId="0163D175"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 xml:space="preserve">In 2013, the Supreme Court of Justice of Guatemala, in Decision No. 16-2013, issued the manual for the use and functioning of the Gesell Chamber, closed circuit television and other tools to receive the statements of children and adolescents who were victims and/or witnesses. </w:t>
      </w:r>
    </w:p>
  </w:footnote>
  <w:footnote w:id="242">
    <w:p w14:paraId="533B193D" w14:textId="4AFFD4C7"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2015, in Decree No. 22-2015, Honduras amended its Code of Criminal Procedure, and article 237(b) established that: “[v]ulnerable persons shall participate in the proceedings in a space or room with a unidirectional mirror or one that is especially conditioned or in the Gesell Chamber or by other similar means, providing a psychologist and, in those places where there are none, a professional trained in this field, and also a translator when necessary. These procedures shall be video-recorded, or conducted or recorded using closed circuit television, Gesell Chambers or other similar means and recorded by any audiovisual or technical means. This procedure shall be conducted in accordance with the formalities of evidence submitted prior to trial.”</w:t>
      </w:r>
    </w:p>
  </w:footnote>
  <w:footnote w:id="243">
    <w:p w14:paraId="158F04A8" w14:textId="2EE102CB"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Mexico, according to information provided by the Federal Council of the Judicature, some of the country’s justice centers have special rooms with Gesell Chambers. Also, Mexico’s laws on human trafficking offenses mention the appearance of victims using the Gesell Chamber in article 74 of the General Law to prevent, punish and eradicate offenses related to the trafficking of persons and for to protect and assist victims of such offenses of June 14, 2012.</w:t>
      </w:r>
    </w:p>
  </w:footnote>
  <w:footnote w:id="244">
    <w:p w14:paraId="1D440990" w14:textId="00CE85F5" w:rsidR="003C0AC1" w:rsidRPr="00AC57EA" w:rsidRDefault="003C0AC1" w:rsidP="00AC57EA">
      <w:pPr>
        <w:tabs>
          <w:tab w:val="left" w:pos="540"/>
        </w:tabs>
        <w:spacing w:after="60" w:line="240" w:lineRule="auto"/>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Nicaragua, the first Gesell Chambers was created in 2012 in the North Atlantic Autonomous Region.</w:t>
      </w:r>
    </w:p>
  </w:footnote>
  <w:footnote w:id="245">
    <w:p w14:paraId="562F88F7" w14:textId="67E24195"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Paraguay, under the organic law of the Public Prosecution Service No. 1562/00, the Victims’ Assistance Center, which performs “all the functions of assisting victims of punishable acts in the corresponding criminal proceedings,” has four Gesell Chambers. Also, according to Forensics Office of the Supreme Court of Justice of Paraguay, “[t]he Gesell Chamber is designed to avoid the revictimization of vulnerable persons, thus complying with the provisions of Decision No. 633 [2010] ratifying the 100 Brasilia Rules, in order to produce pre-trial evidence effectively and/or take statements in oral trials, thus avoiding the need for such persons to make repeated statements with the aforementioned consequences.”</w:t>
      </w:r>
    </w:p>
  </w:footnote>
  <w:footnote w:id="246">
    <w:p w14:paraId="20CA210E" w14:textId="259EE157"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Peru, in 2016, the Public Prosecution Service prepared a procedural manual for the single interview with victims under Law No. 30364 to prevent, punish and eradicate violence against women and members of the family group, and male child and adolescent victims of violence. Article 242 of this law, adopted on November 23, 2015, established that the statements of children and adolescents shall be taken with the intervention of psychologists in Gesell Chambers or interview rooms set up by the Public Prosecution Service, and that they shall be film ed and recorded to avoid the revictimization of the victims.</w:t>
      </w:r>
    </w:p>
  </w:footnote>
  <w:footnote w:id="247">
    <w:p w14:paraId="0562D135" w14:textId="72CE23B2"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On December 20, 2007, the Supreme Court of Justice of the Dominican Republic, in Resolution No. 3687-2007 on the adoption of minimum procedural rules to obtain the statements of child victims, witnesses or co-accused in ordinary criminal proceedings, required the implementation of the Gesell Chamber and closed circuit television.</w:t>
      </w:r>
    </w:p>
  </w:footnote>
  <w:footnote w:id="248">
    <w:p w14:paraId="3B009DCB" w14:textId="4FA32A11"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In Uruguay, the Code of Criminal Procedure adopted by Law No. 19,293 of December 19, 2014, establishes, in its articles 160 and 164 on underage witnesses and the statement of the victim, that in order to respect their rights and obtain their testimony in the proceedings, one or more of the following mechanisms must be adopted: “glass screens to hide the witness from the accused or other elements that constitute a physical barrier to this end [or] providing testimony from a room adjacent to the court by closed circuit television or another technology with a similar effect.” Gesell Chambers exist in the offices of the Forensic Institute, the special family courts, and the Social Welfare Department.</w:t>
      </w:r>
    </w:p>
  </w:footnote>
  <w:footnote w:id="249">
    <w:p w14:paraId="04B307DC" w14:textId="77777777"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Expert opinion provided by Miguel Cillero Bruñol before the Inter-American Court during the public hearing held on October 16 and 17, 2017, and World Health Organization,</w:t>
      </w:r>
      <w:r w:rsidRPr="00AC57EA">
        <w:rPr>
          <w:i/>
          <w:sz w:val="16"/>
          <w:szCs w:val="16"/>
          <w:lang w:val="en-US"/>
        </w:rPr>
        <w:t xml:space="preserve"> Responding to children and adolescents who have been sexually abused. WHO Clinical Guidelines</w:t>
      </w:r>
      <w:r w:rsidRPr="00AC57EA">
        <w:rPr>
          <w:sz w:val="16"/>
          <w:szCs w:val="16"/>
          <w:lang w:val="en-US"/>
        </w:rPr>
        <w:t>, 2017, p. 21.</w:t>
      </w:r>
    </w:p>
  </w:footnote>
  <w:footnote w:id="250">
    <w:p w14:paraId="6F9189E7" w14:textId="7777777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Expert opinion provided by Miguel Cillero Bruñol before the Inter-American Court during the public hearing held on October 16 and 17, 2017.</w:t>
      </w:r>
    </w:p>
  </w:footnote>
  <w:footnote w:id="251">
    <w:p w14:paraId="16584B22" w14:textId="79C834AA" w:rsidR="003C0AC1" w:rsidRPr="00AC57EA" w:rsidRDefault="003C0AC1" w:rsidP="00AC57EA">
      <w:pPr>
        <w:pStyle w:val="Textonotapie"/>
        <w:tabs>
          <w:tab w:val="left" w:pos="540"/>
        </w:tabs>
        <w:spacing w:after="60"/>
        <w:rPr>
          <w:sz w:val="16"/>
          <w:szCs w:val="16"/>
          <w:lang w:val="es-CR"/>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According to the World Health Organization, “[i]n conducting physical examinations, health care providers should seek to minimize additional harm, trauma, fear and distress and respect the autonomy and wishes of children or adolescents.” </w:t>
      </w:r>
      <w:r w:rsidRPr="00AC57EA">
        <w:rPr>
          <w:i/>
          <w:sz w:val="16"/>
          <w:szCs w:val="16"/>
          <w:lang w:val="en-US"/>
        </w:rPr>
        <w:t xml:space="preserve">Cf. </w:t>
      </w:r>
      <w:r w:rsidRPr="00AC57EA">
        <w:rPr>
          <w:sz w:val="16"/>
          <w:szCs w:val="16"/>
          <w:lang w:val="en-US"/>
        </w:rPr>
        <w:t>World Health Organization,</w:t>
      </w:r>
      <w:r w:rsidRPr="00AC57EA">
        <w:rPr>
          <w:i/>
          <w:sz w:val="16"/>
          <w:szCs w:val="16"/>
          <w:lang w:val="en-US"/>
        </w:rPr>
        <w:t xml:space="preserve"> Responding to children and adolescents who have been sexually abused. </w:t>
      </w:r>
      <w:r w:rsidRPr="00AC57EA">
        <w:rPr>
          <w:i/>
          <w:sz w:val="16"/>
          <w:szCs w:val="16"/>
          <w:lang w:val="es-CR"/>
        </w:rPr>
        <w:t>WHO Clinical Guidelines</w:t>
      </w:r>
      <w:r w:rsidRPr="00AC57EA">
        <w:rPr>
          <w:sz w:val="16"/>
          <w:szCs w:val="16"/>
          <w:lang w:val="es-CR"/>
        </w:rPr>
        <w:t xml:space="preserve">, 2017, p. 21. See also, UNICEF and Asociación por los Derechos Civiles (ADC), </w:t>
      </w:r>
      <w:r w:rsidRPr="00AC57EA">
        <w:rPr>
          <w:i/>
          <w:sz w:val="16"/>
          <w:szCs w:val="16"/>
          <w:lang w:val="es-CR"/>
        </w:rPr>
        <w:t>Guía de buenas prácticas para el abordaje de niños/as, adolescentes víctimas o testigos de abuso sexual y otros delitos</w:t>
      </w:r>
      <w:r w:rsidRPr="00AC57EA">
        <w:rPr>
          <w:sz w:val="16"/>
          <w:szCs w:val="16"/>
          <w:lang w:val="es-CR"/>
        </w:rPr>
        <w:t>, September 2013, pp. 33 and 34.</w:t>
      </w:r>
    </w:p>
  </w:footnote>
  <w:footnote w:id="252">
    <w:p w14:paraId="4CF6D5A2" w14:textId="7777777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World Health Organization,</w:t>
      </w:r>
      <w:r w:rsidRPr="00AC57EA">
        <w:rPr>
          <w:i/>
          <w:sz w:val="16"/>
          <w:szCs w:val="16"/>
          <w:lang w:val="en-US"/>
        </w:rPr>
        <w:t xml:space="preserve"> Responding to children and adolescents who have been sexually abused. WHO Clinical Guidelines</w:t>
      </w:r>
      <w:r w:rsidRPr="00AC57EA">
        <w:rPr>
          <w:sz w:val="16"/>
          <w:szCs w:val="16"/>
          <w:lang w:val="en-US"/>
        </w:rPr>
        <w:t>, 2017, p. 21.</w:t>
      </w:r>
    </w:p>
  </w:footnote>
  <w:footnote w:id="253">
    <w:p w14:paraId="01EF77FC" w14:textId="5C5E02A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Expert opinion provided by Miguel Cillero Bruñol before the Inter-American Court during the public hearing held on October 16 and 17, 2017.</w:t>
      </w:r>
    </w:p>
  </w:footnote>
  <w:footnote w:id="254">
    <w:p w14:paraId="129625BD" w14:textId="796D80DA" w:rsidR="003C0AC1" w:rsidRPr="00AC57EA" w:rsidRDefault="003C0AC1" w:rsidP="00AC57EA">
      <w:pPr>
        <w:pStyle w:val="Textonotapie"/>
        <w:tabs>
          <w:tab w:val="left" w:pos="540"/>
        </w:tabs>
        <w:spacing w:after="60"/>
        <w:rPr>
          <w:sz w:val="16"/>
          <w:szCs w:val="16"/>
          <w:lang w:val="es-CR"/>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Economic and Social Council Resolution 2005/20, </w:t>
      </w:r>
      <w:r w:rsidRPr="00AC57EA">
        <w:rPr>
          <w:i/>
          <w:sz w:val="16"/>
          <w:szCs w:val="16"/>
          <w:lang w:val="en-US"/>
        </w:rPr>
        <w:t>Guidelines on Justice in Matters involving Child Victims and Witnesses of Crime</w:t>
      </w:r>
      <w:r w:rsidRPr="00AC57EA">
        <w:rPr>
          <w:sz w:val="16"/>
          <w:szCs w:val="16"/>
          <w:lang w:val="en-US"/>
        </w:rPr>
        <w:t>, UN Doc. E/2005/INF/2/Add.1, July 22, 2005, guidelines 19 and 30.d); World Health Organization</w:t>
      </w:r>
      <w:r w:rsidRPr="00AC57EA">
        <w:rPr>
          <w:i/>
          <w:sz w:val="16"/>
          <w:szCs w:val="16"/>
          <w:lang w:val="en-US"/>
        </w:rPr>
        <w:t>, Responding to children and adolescents who have been sexually abused. WHO Clinical Guidelines</w:t>
      </w:r>
      <w:r w:rsidRPr="00AC57EA">
        <w:rPr>
          <w:sz w:val="16"/>
          <w:szCs w:val="16"/>
          <w:lang w:val="en-US"/>
        </w:rPr>
        <w:t xml:space="preserve">, 2017, p. 21, and Expert opinion provided by Miguel Cillero Bruñol before the Inter-American Court during the public hearing held on October 16 and 17, 2017. </w:t>
      </w:r>
      <w:r w:rsidRPr="00AC57EA">
        <w:rPr>
          <w:sz w:val="16"/>
          <w:szCs w:val="16"/>
          <w:lang w:val="es-CR"/>
        </w:rPr>
        <w:t xml:space="preserve">See also, UNICEF and Asociación por los Derechos Civiles (ADC), </w:t>
      </w:r>
      <w:r w:rsidRPr="00AC57EA">
        <w:rPr>
          <w:i/>
          <w:sz w:val="16"/>
          <w:szCs w:val="16"/>
          <w:lang w:val="es-CR"/>
        </w:rPr>
        <w:t>Guía de buenas prácticas para el abordaje de niños/as, adolescentes víctimas o testigos de abuso sexual y otros delitos</w:t>
      </w:r>
      <w:r w:rsidRPr="00AC57EA">
        <w:rPr>
          <w:sz w:val="16"/>
          <w:szCs w:val="16"/>
          <w:lang w:val="es-CR"/>
        </w:rPr>
        <w:t>, September 2013, pp. 33 and 34.</w:t>
      </w:r>
    </w:p>
  </w:footnote>
  <w:footnote w:id="255">
    <w:p w14:paraId="25326FDF" w14:textId="31C95B5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s-CR"/>
        </w:rPr>
        <w:t xml:space="preserve"> </w:t>
      </w:r>
      <w:r w:rsidRPr="00AC57EA">
        <w:rPr>
          <w:sz w:val="16"/>
          <w:szCs w:val="16"/>
          <w:lang w:val="es-CR"/>
        </w:rPr>
        <w:tab/>
      </w:r>
      <w:r w:rsidRPr="00AC57EA">
        <w:rPr>
          <w:i/>
          <w:sz w:val="16"/>
          <w:szCs w:val="16"/>
          <w:lang w:val="es-CR"/>
        </w:rPr>
        <w:t>Cf. Case of Espinoza Gonzáles v. Peru, supra</w:t>
      </w:r>
      <w:r w:rsidRPr="00AC57EA">
        <w:rPr>
          <w:sz w:val="16"/>
          <w:szCs w:val="16"/>
          <w:lang w:val="es-CR"/>
        </w:rPr>
        <w:t xml:space="preserve">, para. </w:t>
      </w:r>
      <w:r w:rsidRPr="00AC57EA">
        <w:rPr>
          <w:sz w:val="16"/>
          <w:szCs w:val="16"/>
          <w:lang w:val="en-US"/>
        </w:rPr>
        <w:t>256. See also,</w:t>
      </w:r>
      <w:r w:rsidRPr="00AC57EA">
        <w:rPr>
          <w:i/>
          <w:sz w:val="16"/>
          <w:szCs w:val="16"/>
          <w:lang w:val="en-US"/>
        </w:rPr>
        <w:t xml:space="preserve"> </w:t>
      </w:r>
      <w:r w:rsidRPr="00AC57EA">
        <w:rPr>
          <w:sz w:val="16"/>
          <w:szCs w:val="16"/>
          <w:lang w:val="en-US"/>
        </w:rPr>
        <w:t xml:space="preserve">World Health Organization, </w:t>
      </w:r>
      <w:r w:rsidRPr="00AC57EA">
        <w:rPr>
          <w:i/>
          <w:sz w:val="16"/>
          <w:szCs w:val="16"/>
          <w:lang w:val="en-US"/>
        </w:rPr>
        <w:t>Guidelines for medico-legal care for victims of sexual violence</w:t>
      </w:r>
      <w:r w:rsidRPr="00AC57EA">
        <w:rPr>
          <w:sz w:val="16"/>
          <w:szCs w:val="16"/>
          <w:lang w:val="en-US"/>
        </w:rPr>
        <w:t>,</w:t>
      </w:r>
      <w:r w:rsidRPr="00AC57EA">
        <w:rPr>
          <w:i/>
          <w:sz w:val="16"/>
          <w:szCs w:val="16"/>
          <w:lang w:val="en-US"/>
        </w:rPr>
        <w:t xml:space="preserve"> </w:t>
      </w:r>
      <w:r w:rsidRPr="00AC57EA">
        <w:rPr>
          <w:sz w:val="16"/>
          <w:szCs w:val="16"/>
          <w:lang w:val="en-US"/>
        </w:rPr>
        <w:t>2003</w:t>
      </w:r>
      <w:r w:rsidRPr="00AC57EA">
        <w:rPr>
          <w:i/>
          <w:sz w:val="16"/>
          <w:szCs w:val="16"/>
          <w:lang w:val="en-US"/>
        </w:rPr>
        <w:t>,</w:t>
      </w:r>
      <w:r w:rsidRPr="00AC57EA">
        <w:rPr>
          <w:sz w:val="16"/>
          <w:szCs w:val="16"/>
          <w:lang w:val="en-US"/>
        </w:rPr>
        <w:t xml:space="preserve"> </w:t>
      </w:r>
      <w:r w:rsidRPr="00AC57EA">
        <w:rPr>
          <w:rStyle w:val="shorttext"/>
          <w:sz w:val="16"/>
          <w:szCs w:val="16"/>
          <w:lang w:val="en-US"/>
        </w:rPr>
        <w:t>pp. 18, 43 and 58</w:t>
      </w:r>
      <w:r w:rsidRPr="00AC57EA">
        <w:rPr>
          <w:sz w:val="16"/>
          <w:szCs w:val="16"/>
          <w:lang w:val="en-US"/>
        </w:rPr>
        <w:t>.</w:t>
      </w:r>
    </w:p>
  </w:footnote>
  <w:footnote w:id="256">
    <w:p w14:paraId="1AFA77EF" w14:textId="5F24FD2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paras. 52 and 53.</w:t>
      </w:r>
    </w:p>
  </w:footnote>
  <w:footnote w:id="257">
    <w:p w14:paraId="15D7CEF6" w14:textId="1771DDE0" w:rsidR="003C0AC1" w:rsidRPr="00D22834" w:rsidRDefault="003C0AC1" w:rsidP="00AC57EA">
      <w:pPr>
        <w:pStyle w:val="Textonotapie"/>
        <w:tabs>
          <w:tab w:val="left" w:pos="540"/>
        </w:tabs>
        <w:spacing w:after="60"/>
        <w:rPr>
          <w:sz w:val="16"/>
          <w:szCs w:val="16"/>
          <w:lang w:val="es-CR"/>
        </w:rPr>
      </w:pPr>
      <w:r w:rsidRPr="00AC57EA">
        <w:rPr>
          <w:rStyle w:val="Refdenotaalpie"/>
          <w:rFonts w:eastAsia="MS ????"/>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Committee on the Rights of the Child, </w:t>
      </w:r>
      <w:r w:rsidRPr="00AC57EA">
        <w:rPr>
          <w:i/>
          <w:sz w:val="16"/>
          <w:szCs w:val="16"/>
          <w:lang w:val="en-US"/>
        </w:rPr>
        <w:t>General Comment No. 13:</w:t>
      </w:r>
      <w:r w:rsidRPr="00AC57EA">
        <w:rPr>
          <w:sz w:val="16"/>
          <w:szCs w:val="16"/>
          <w:lang w:val="en-US"/>
        </w:rPr>
        <w:t xml:space="preserve"> </w:t>
      </w:r>
      <w:r w:rsidRPr="00AC57EA">
        <w:rPr>
          <w:i/>
          <w:sz w:val="16"/>
          <w:szCs w:val="16"/>
          <w:lang w:val="en-US"/>
        </w:rPr>
        <w:t>The right of the child to freedom from all violence</w:t>
      </w:r>
      <w:r w:rsidRPr="00AC57EA">
        <w:rPr>
          <w:sz w:val="16"/>
          <w:szCs w:val="16"/>
          <w:lang w:val="en-US"/>
        </w:rPr>
        <w:t xml:space="preserve">, </w:t>
      </w:r>
      <w:r w:rsidRPr="00AC57EA">
        <w:rPr>
          <w:i/>
          <w:sz w:val="16"/>
          <w:szCs w:val="16"/>
          <w:lang w:val="en-US"/>
        </w:rPr>
        <w:t>supra</w:t>
      </w:r>
      <w:r w:rsidRPr="00AC57EA">
        <w:rPr>
          <w:sz w:val="16"/>
          <w:szCs w:val="16"/>
          <w:lang w:val="en-US"/>
        </w:rPr>
        <w:t xml:space="preserve">, paras. </w:t>
      </w:r>
      <w:r w:rsidRPr="00D22834">
        <w:rPr>
          <w:sz w:val="16"/>
          <w:szCs w:val="16"/>
          <w:lang w:val="es-CR"/>
        </w:rPr>
        <w:t>15, 59 and 62.</w:t>
      </w:r>
    </w:p>
  </w:footnote>
  <w:footnote w:id="258">
    <w:p w14:paraId="132B839E" w14:textId="3964BB61"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rFonts w:eastAsia="MS Mincho"/>
          <w:sz w:val="16"/>
          <w:szCs w:val="16"/>
          <w:lang w:val="en-US"/>
        </w:rPr>
        <w:footnoteRef/>
      </w:r>
      <w:r w:rsidRPr="00AC57EA">
        <w:rPr>
          <w:sz w:val="16"/>
          <w:szCs w:val="16"/>
          <w:lang w:val="es-CR"/>
        </w:rPr>
        <w:t xml:space="preserve"> </w:t>
      </w:r>
      <w:r w:rsidRPr="00AC57EA">
        <w:rPr>
          <w:sz w:val="16"/>
          <w:szCs w:val="16"/>
          <w:lang w:val="es-CR"/>
        </w:rPr>
        <w:tab/>
      </w:r>
      <w:r w:rsidRPr="00AC57EA">
        <w:rPr>
          <w:i/>
          <w:sz w:val="16"/>
          <w:szCs w:val="16"/>
          <w:lang w:val="es-CR"/>
        </w:rPr>
        <w:t>Cf. Case of Fernández Ortega et al. v. Mexico, supra</w:t>
      </w:r>
      <w:r w:rsidRPr="00AC57EA">
        <w:rPr>
          <w:sz w:val="16"/>
          <w:szCs w:val="16"/>
          <w:lang w:val="es-CR"/>
        </w:rPr>
        <w:t xml:space="preserve">, para. </w:t>
      </w:r>
      <w:r w:rsidRPr="00AC57EA">
        <w:rPr>
          <w:sz w:val="16"/>
          <w:szCs w:val="16"/>
          <w:lang w:val="en-US"/>
        </w:rPr>
        <w:t xml:space="preserve">196, and </w:t>
      </w:r>
      <w:r w:rsidRPr="00AC57EA">
        <w:rPr>
          <w:i/>
          <w:sz w:val="16"/>
          <w:szCs w:val="16"/>
          <w:lang w:val="en-US"/>
        </w:rPr>
        <w:t>Case of Espinoza Gonzáles v. Peru, supra</w:t>
      </w:r>
      <w:r w:rsidRPr="00AC57EA">
        <w:rPr>
          <w:sz w:val="16"/>
          <w:szCs w:val="16"/>
          <w:lang w:val="en-US"/>
        </w:rPr>
        <w:t>, para. 256.</w:t>
      </w:r>
    </w:p>
  </w:footnote>
  <w:footnote w:id="259">
    <w:p w14:paraId="07650C7C" w14:textId="525AE208" w:rsidR="003C0AC1" w:rsidRPr="00AC57EA" w:rsidRDefault="003C0AC1" w:rsidP="00AC57EA">
      <w:pPr>
        <w:tabs>
          <w:tab w:val="left" w:pos="540"/>
        </w:tabs>
        <w:autoSpaceDE w:val="0"/>
        <w:autoSpaceDN w:val="0"/>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 V.P.C. stated before this Court that the forensic medical examination was ordered by the judge, even though she had informed the judge that an epicrisis from the hospital existed; moreover, the judge ordered a procedure with the presence of a medical team. </w:t>
      </w:r>
      <w:r w:rsidRPr="00AC57EA">
        <w:rPr>
          <w:i/>
          <w:sz w:val="16"/>
          <w:szCs w:val="16"/>
          <w:lang w:val="en-US"/>
        </w:rPr>
        <w:t>Cf.</w:t>
      </w:r>
      <w:r w:rsidRPr="00AC57EA">
        <w:rPr>
          <w:sz w:val="16"/>
          <w:szCs w:val="16"/>
          <w:lang w:val="en-US"/>
        </w:rPr>
        <w:t xml:space="preserve"> Statement made by V.P.C. before the Inter-American Court during the public hearing held on October 16 and 17, 2017. In addition, expert witness Miguel Cillero Bruñol indicated that:</w:t>
      </w:r>
      <w:r w:rsidRPr="00AC57EA">
        <w:rPr>
          <w:rFonts w:cs="Arial"/>
          <w:sz w:val="16"/>
          <w:szCs w:val="16"/>
          <w:lang w:val="en-US"/>
        </w:rPr>
        <w:t xml:space="preserve"> </w:t>
      </w:r>
      <w:r w:rsidRPr="00AC57EA">
        <w:rPr>
          <w:sz w:val="16"/>
          <w:szCs w:val="16"/>
          <w:lang w:val="en-US"/>
        </w:rPr>
        <w:t>“the same examination was repeated twice more, which is also against all the standards considering that, from the outset, there was a private report. All the international standards, including those of the WHO, recommend that a single examination is sufficient; one that is conducted based on the appropriate protocols and it is the State’s responsibility that this examination, even if it is conducted in a private clinic, be valid for the proceedings and that the victim does not have to submit to any other kind of procedure.” Expert opinion provided by Miguel Cillero Bruñol before the Inter-American Court during the public hearing held on October 16 and 17, 2017.</w:t>
      </w:r>
    </w:p>
  </w:footnote>
  <w:footnote w:id="260">
    <w:p w14:paraId="4A9C9A7B" w14:textId="321650F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It should be pointed out that, for the second medical examination that it was not possible to complete, a female assistant forensic physician was designated, as requested by V.P.C.; she was a forensic physician of the Police Station for Women and Children with experience in victims of sexual abuse. </w:t>
      </w:r>
      <w:r w:rsidRPr="00AC57EA">
        <w:rPr>
          <w:i/>
          <w:sz w:val="16"/>
          <w:szCs w:val="16"/>
          <w:lang w:val="en-US"/>
        </w:rPr>
        <w:t>Cf.</w:t>
      </w:r>
      <w:r w:rsidRPr="00AC57EA">
        <w:rPr>
          <w:sz w:val="16"/>
          <w:szCs w:val="16"/>
          <w:lang w:val="en-US"/>
        </w:rPr>
        <w:t xml:space="preserve"> Request of the Jinotega Departmental Prosecutor of November 23, 2001 (evidence file, volume XVII, annex 12 to the answering brief, folio 8215). Also, the forensic medical examination in Managua was conducted under sedation by a female forensic physician.</w:t>
      </w:r>
    </w:p>
  </w:footnote>
  <w:footnote w:id="261">
    <w:p w14:paraId="74DF4BAE" w14:textId="4104EED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Judicial order of November 22, 2001 (evidence file, volume XVI, annex E.11 to the brief with pleadings, motions and evidence, folios 7308 and 7309). V.P.C. stated before this Court that the psychiatrist was present during the first medical procedure at her request. However, her statements reveal that, following the alleged mistreatment by the forensic physician, the psychiatrist merely informed the judge that “this should not have been done [to the child].” </w:t>
      </w:r>
      <w:r w:rsidRPr="00AC57EA">
        <w:rPr>
          <w:i/>
          <w:sz w:val="16"/>
          <w:szCs w:val="16"/>
          <w:lang w:val="en-US"/>
        </w:rPr>
        <w:t>Cf.</w:t>
      </w:r>
      <w:r w:rsidRPr="00AC57EA">
        <w:rPr>
          <w:sz w:val="16"/>
          <w:szCs w:val="16"/>
          <w:lang w:val="en-US"/>
        </w:rPr>
        <w:t xml:space="preserve"> Statement made by V.P.C. before the Inter-American Court during the public hearing held on October 16 and 17, 2017.</w:t>
      </w:r>
    </w:p>
  </w:footnote>
  <w:footnote w:id="262">
    <w:p w14:paraId="35673ABD" w14:textId="517D83A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Statement made by V.P.C. before the Inter-American Court during the public hearing held on October 16 and 17, 2017.</w:t>
      </w:r>
    </w:p>
  </w:footnote>
  <w:footnote w:id="263">
    <w:p w14:paraId="5445271F" w14:textId="75BE605C" w:rsidR="003C0AC1" w:rsidRPr="00AC57EA" w:rsidRDefault="003C0AC1" w:rsidP="00AC57EA">
      <w:pPr>
        <w:pStyle w:val="Textonotapie"/>
        <w:tabs>
          <w:tab w:val="left" w:pos="540"/>
          <w:tab w:val="left" w:pos="6681"/>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It should be clarified that, according to the evidence in the file, it was the judge in charge of the case who asked that a medical team be set up. V.P.C. asked that the same doctors should be present during the second attempt to perform the medical examination so that other personnel would not be appointed, to thus protect her daughter’s rights. </w:t>
      </w:r>
      <w:r w:rsidRPr="00AC57EA">
        <w:rPr>
          <w:i/>
          <w:sz w:val="16"/>
          <w:szCs w:val="16"/>
          <w:lang w:val="en-US"/>
        </w:rPr>
        <w:t>Cf.</w:t>
      </w:r>
      <w:r w:rsidRPr="00AC57EA">
        <w:rPr>
          <w:sz w:val="16"/>
          <w:szCs w:val="16"/>
          <w:lang w:val="en-US"/>
        </w:rPr>
        <w:t xml:space="preserve"> Brief of V.P.C. filed with the District Criminal Court on November 23, 2001 (evidence file, volume XVII, annex 12 to the answering brief, folio 8213). Also, on October 21, 2002, V.P.C. filed a complaint before the Prosecutor General adducing that, during the first forensic medical examination, the judge allowed more than 10 people to be present and failed to take any measure to avoid revictimizing her daughter. </w:t>
      </w:r>
      <w:r w:rsidRPr="00AC57EA">
        <w:rPr>
          <w:i/>
          <w:sz w:val="16"/>
          <w:szCs w:val="16"/>
          <w:lang w:val="en-US"/>
        </w:rPr>
        <w:t>Cf.</w:t>
      </w:r>
      <w:r w:rsidRPr="00AC57EA">
        <w:rPr>
          <w:sz w:val="16"/>
          <w:szCs w:val="16"/>
          <w:lang w:val="en-US"/>
        </w:rPr>
        <w:t xml:space="preserve"> Complaint filed by V.P.C. before the Prosecutor General on October 21, 2002 (evidence file, volume XV, annex 22 to the submission of the case, folio 6877).</w:t>
      </w:r>
    </w:p>
  </w:footnote>
  <w:footnote w:id="264">
    <w:p w14:paraId="7BFAAE85" w14:textId="11C6DDD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Complaint filed by V.P.C. before the Director of the Local Comprehensive Health Care System on November 22, 2001 (evidence file, volume XV, annex 9 to the submission of the case, folio 6769).</w:t>
      </w:r>
    </w:p>
  </w:footnote>
  <w:footnote w:id="265">
    <w:p w14:paraId="12D9B4EA" w14:textId="5764165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Brief of V.P.C. filed with the District Criminal Court on November 23, 2001 (evidence file, volume XVII, annex 12 to the answering brief, folio 8213).</w:t>
      </w:r>
    </w:p>
  </w:footnote>
  <w:footnote w:id="266">
    <w:p w14:paraId="44FE39F1" w14:textId="21C95CD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Statement made by V.P.C. before the Inter-American Court during the public hearing held on October 16 and 17, 2017. In the domestic sphere, V.R.P.’s grandmother stated that her granddaughter did not feel comfortable with the medical examination because she felt that “the doctor’s fingers in her private parts were hurting her and she couldn’t bear the burning sensation in front and behind.” Statement made on November 23, 2001 (evidence file, volume XVI, annex E.12 to the brief with pleadings, motions and evidence, folio 7313).</w:t>
      </w:r>
    </w:p>
  </w:footnote>
  <w:footnote w:id="267">
    <w:p w14:paraId="6801B095" w14:textId="1F8C7CD7"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Statement made by V.R.P. before the Inter-American Court during the private hearing held on October 16, 2017.</w:t>
      </w:r>
    </w:p>
  </w:footnote>
  <w:footnote w:id="268">
    <w:p w14:paraId="21A1F88B" w14:textId="2715D67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V.R.P. before the Inter-American Court during the private hearing held on October 16, 2017.</w:t>
      </w:r>
    </w:p>
  </w:footnote>
  <w:footnote w:id="269">
    <w:p w14:paraId="6D6DE544" w14:textId="6485F4DC"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witness Enrique Oscar Stola considered that the first medical examination constituted a serious act of institutional violence to the detriment of V.R.P. because the forensic physician “made no effort to establish the minimum empathy, care; also the number of people present, judicial officials who were not going to make absolutely any contribution to the evaluation and, nevertheless, were present. This eliminated privacy and caused the victim to relive the trauma.” Expert opinion provided by Enrique Oscar Stola before the Inter-American Court during the public hearing held on October 16 and 17, 2017.</w:t>
      </w:r>
    </w:p>
  </w:footnote>
  <w:footnote w:id="270">
    <w:p w14:paraId="7A6279AA" w14:textId="6D5D497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V.R.P. before the Inter-American Court during the private hearing held on October 16, 2017.</w:t>
      </w:r>
    </w:p>
  </w:footnote>
  <w:footnote w:id="271">
    <w:p w14:paraId="6402CF20" w14:textId="1901193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Expert opinion provided by Enrique Oscar Stola before the Inter-American Court during the public hearing held on October 16 and 17, 2017, and Expert opinion provided by Miguel Cillero Bruñol before the Inter-American Court during the public hearing held on October 16 and 17, 2017.</w:t>
      </w:r>
    </w:p>
  </w:footnote>
  <w:footnote w:id="272">
    <w:p w14:paraId="47BD6501" w14:textId="1BFB797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opinion provided by Enrique Oscar Stola before the Inter-American Court during the public hearing held on October 16 and 17, 2017.</w:t>
      </w:r>
    </w:p>
  </w:footnote>
  <w:footnote w:id="273">
    <w:p w14:paraId="47D8A058" w14:textId="731909C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by V.R.P. of November 2, 2001 (evidence file, volume XVII, annex 9 to the answering brief, folios 8201 and 8202).</w:t>
      </w:r>
    </w:p>
  </w:footnote>
  <w:footnote w:id="274">
    <w:p w14:paraId="5EBABC5B" w14:textId="433F1EF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Statement made by V.R.P. before the Inter-American Court during the private hearing held on October 16, 2017.</w:t>
      </w:r>
    </w:p>
  </w:footnote>
  <w:footnote w:id="275">
    <w:p w14:paraId="44AB9C21" w14:textId="0C6C5E2C"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opinion provided by Enrique Oscar Stola before the Inter-American Court during the public hearing held on October 16 and 17, 2017.</w:t>
      </w:r>
    </w:p>
  </w:footnote>
  <w:footnote w:id="276">
    <w:p w14:paraId="06916433" w14:textId="7778E7B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opinion provided by Miguel Cillero Bruñol before the Inter-American Court during the public hearing held on October 16 and 17, 2017.</w:t>
      </w:r>
    </w:p>
  </w:footnote>
  <w:footnote w:id="277">
    <w:p w14:paraId="12BDB393" w14:textId="08C5712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Statement made by V.R.P. before the Inter-American Court during the private hearing held on October 16, 2017.</w:t>
      </w:r>
    </w:p>
  </w:footnote>
  <w:footnote w:id="278">
    <w:p w14:paraId="525CF331" w14:textId="4F31A2E5" w:rsidR="003C0AC1" w:rsidRPr="00AC57EA" w:rsidRDefault="003C0AC1" w:rsidP="00AC57EA">
      <w:pPr>
        <w:pStyle w:val="Textonotapie"/>
        <w:tabs>
          <w:tab w:val="left" w:pos="540"/>
        </w:tabs>
        <w:rPr>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opinion provided by Miguel Cillero Bruñol before the Inter-American Court during the public hearing held on October 16 and 17, 2017.</w:t>
      </w:r>
    </w:p>
  </w:footnote>
  <w:footnote w:id="279">
    <w:p w14:paraId="129EC6FA" w14:textId="77A7575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Communication addressed to the Ministry of the Family on April 30, 2002 (evidence file, volume XVII, annex 18 to the answering brief of the State, folio 8235).</w:t>
      </w:r>
    </w:p>
  </w:footnote>
  <w:footnote w:id="280">
    <w:p w14:paraId="70441D9D" w14:textId="3126C0A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Communication addressed to the District Civil Judge on April 30, 2002 (evidence file, volume XVII, annex 18 to the answering brief of the State, folio 8236).</w:t>
      </w:r>
    </w:p>
  </w:footnote>
  <w:footnote w:id="281">
    <w:p w14:paraId="0031041A" w14:textId="2CD4ADC0" w:rsidR="003C0AC1" w:rsidRPr="00AC57EA" w:rsidRDefault="003C0AC1" w:rsidP="00AC57EA">
      <w:pPr>
        <w:pStyle w:val="Textonotapie"/>
        <w:tabs>
          <w:tab w:val="left" w:pos="540"/>
          <w:tab w:val="left" w:pos="709"/>
        </w:tabs>
        <w:spacing w:after="60"/>
        <w:rPr>
          <w:rFonts w:eastAsiaTheme="minorHAnsi" w:cstheme="minorBidi"/>
          <w:sz w:val="16"/>
          <w:szCs w:val="16"/>
          <w:lang w:val="en-US" w:eastAsia="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eastAsiaTheme="minorHAnsi" w:cstheme="minorBidi"/>
          <w:i/>
          <w:sz w:val="16"/>
          <w:szCs w:val="16"/>
          <w:lang w:val="en-US" w:eastAsia="en-US"/>
        </w:rPr>
        <w:t>Cf. Case of the Constitutional Court v. Peru. Merits, reparations and costs</w:t>
      </w:r>
      <w:r w:rsidRPr="00AC57EA">
        <w:rPr>
          <w:rFonts w:eastAsiaTheme="minorHAnsi" w:cstheme="minorBidi"/>
          <w:sz w:val="16"/>
          <w:szCs w:val="16"/>
          <w:lang w:val="en-US" w:eastAsia="en-US"/>
        </w:rPr>
        <w:t xml:space="preserve">. Judgment of January 31, 2001. Series C No. 71, para. 69, and </w:t>
      </w:r>
      <w:r w:rsidRPr="00AC57EA">
        <w:rPr>
          <w:rFonts w:eastAsiaTheme="minorHAnsi" w:cstheme="minorBidi"/>
          <w:i/>
          <w:sz w:val="16"/>
          <w:szCs w:val="16"/>
          <w:lang w:val="en-US" w:eastAsia="en-US"/>
        </w:rPr>
        <w:t>Case of Pollo Rivera et al. v. Peru. Merits, reparations and costs</w:t>
      </w:r>
      <w:r w:rsidRPr="00AC57EA">
        <w:rPr>
          <w:rFonts w:eastAsiaTheme="minorHAnsi" w:cstheme="minorBidi"/>
          <w:sz w:val="16"/>
          <w:szCs w:val="16"/>
          <w:lang w:val="en-US" w:eastAsia="en-US"/>
        </w:rPr>
        <w:t>. Judgment of October 21, 2016. Series C No. 319, para. 209.</w:t>
      </w:r>
    </w:p>
  </w:footnote>
  <w:footnote w:id="282">
    <w:p w14:paraId="73771ADB" w14:textId="3ADC497F"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hyperlink r:id="rId1" w:history="1">
        <w:r w:rsidRPr="00AC57EA">
          <w:rPr>
            <w:i/>
            <w:sz w:val="16"/>
            <w:szCs w:val="16"/>
            <w:lang w:val="en-US"/>
          </w:rPr>
          <w:t>Exceptions to the Exhaustion of Domestic Remedies (Arts. 46.1, 46.2.a and 46.2.b, American Convention on Human Rights</w:t>
        </w:r>
      </w:hyperlink>
      <w:r w:rsidRPr="00AC57EA">
        <w:rPr>
          <w:i/>
          <w:sz w:val="16"/>
          <w:szCs w:val="16"/>
          <w:lang w:val="en-US"/>
        </w:rPr>
        <w:t xml:space="preserve">, </w:t>
      </w:r>
      <w:r w:rsidRPr="00AC57EA">
        <w:rPr>
          <w:sz w:val="16"/>
          <w:szCs w:val="16"/>
          <w:lang w:val="en-US"/>
        </w:rPr>
        <w:t xml:space="preserve">Advisory Opinion OC-11/90, August 10, 1990. </w:t>
      </w:r>
      <w:r w:rsidRPr="00AC57EA">
        <w:rPr>
          <w:sz w:val="16"/>
          <w:szCs w:val="16"/>
        </w:rPr>
        <w:t xml:space="preserve">Series A No. 11, para. 28, and </w:t>
      </w:r>
      <w:r w:rsidRPr="00AC57EA">
        <w:rPr>
          <w:rFonts w:cs="Courier New"/>
          <w:i/>
          <w:sz w:val="16"/>
          <w:szCs w:val="16"/>
        </w:rPr>
        <w:t xml:space="preserve">Case of Ruano Torres et al. v. El Salvador. </w:t>
      </w:r>
      <w:r w:rsidRPr="00AC57EA">
        <w:rPr>
          <w:rFonts w:cs="Courier New"/>
          <w:i/>
          <w:sz w:val="16"/>
          <w:szCs w:val="16"/>
          <w:lang w:val="en-US"/>
        </w:rPr>
        <w:t>Merits, reparations and costs</w:t>
      </w:r>
      <w:r w:rsidRPr="00AC57EA">
        <w:rPr>
          <w:rFonts w:cs="Courier New"/>
          <w:sz w:val="16"/>
          <w:szCs w:val="16"/>
          <w:lang w:val="en-US"/>
        </w:rPr>
        <w:t>. Judgment of October 5, 2015. Series C No. 303, para. 152.</w:t>
      </w:r>
    </w:p>
  </w:footnote>
  <w:footnote w:id="283">
    <w:p w14:paraId="3B4E335B" w14:textId="6C5754D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sz w:val="16"/>
          <w:szCs w:val="16"/>
          <w:lang w:val="en-US"/>
        </w:rPr>
        <w:t>Cf. Case of García Ibarra et al. v. Ecuador</w:t>
      </w:r>
      <w:r w:rsidRPr="00D22834">
        <w:rPr>
          <w:sz w:val="16"/>
          <w:szCs w:val="16"/>
          <w:lang w:val="en-US"/>
        </w:rPr>
        <w:t xml:space="preserve">. </w:t>
      </w:r>
      <w:r w:rsidRPr="00AC57EA">
        <w:rPr>
          <w:i/>
          <w:sz w:val="16"/>
          <w:szCs w:val="16"/>
          <w:lang w:val="en-US"/>
        </w:rPr>
        <w:t>Preliminary objections, merits, reparations and costs</w:t>
      </w:r>
      <w:r w:rsidRPr="00AC57EA">
        <w:rPr>
          <w:sz w:val="16"/>
          <w:szCs w:val="16"/>
          <w:lang w:val="en-US"/>
        </w:rPr>
        <w:t>. Judgment of November 17, 2015. Series C No. 306,</w:t>
      </w:r>
      <w:r w:rsidRPr="00AC57EA">
        <w:rPr>
          <w:i/>
          <w:sz w:val="16"/>
          <w:szCs w:val="16"/>
          <w:lang w:val="en-US"/>
        </w:rPr>
        <w:t xml:space="preserve"> </w:t>
      </w:r>
      <w:r w:rsidRPr="00AC57EA">
        <w:rPr>
          <w:sz w:val="16"/>
          <w:szCs w:val="16"/>
          <w:lang w:val="en-US"/>
        </w:rPr>
        <w:t xml:space="preserve">paras. 156 and 157, and </w:t>
      </w:r>
      <w:r w:rsidRPr="00AC57EA">
        <w:rPr>
          <w:i/>
          <w:sz w:val="16"/>
          <w:szCs w:val="16"/>
          <w:lang w:val="en-US"/>
        </w:rPr>
        <w:t>Case of Acosta et al. v. Nicaragua, supra</w:t>
      </w:r>
      <w:r w:rsidRPr="00AC57EA">
        <w:rPr>
          <w:sz w:val="16"/>
          <w:szCs w:val="16"/>
          <w:lang w:val="en-US"/>
        </w:rPr>
        <w:t>, para. 133.</w:t>
      </w:r>
    </w:p>
  </w:footnote>
  <w:footnote w:id="284">
    <w:p w14:paraId="4214EC38" w14:textId="5742F3B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Case of Fermín Ramírez v. Guatemala. Merits, reparations and costs</w:t>
      </w:r>
      <w:r w:rsidRPr="00AC57EA">
        <w:rPr>
          <w:sz w:val="16"/>
          <w:szCs w:val="16"/>
          <w:lang w:val="en-US"/>
        </w:rPr>
        <w:t>. Judgment of June 20, 2005. Series C No. 126, para. 66.</w:t>
      </w:r>
    </w:p>
  </w:footnote>
  <w:footnote w:id="285">
    <w:p w14:paraId="37B70918" w14:textId="12BBE3E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EHCR, </w:t>
      </w:r>
      <w:r w:rsidRPr="00AC57EA">
        <w:rPr>
          <w:i/>
          <w:sz w:val="16"/>
          <w:szCs w:val="16"/>
          <w:lang w:val="en-US"/>
        </w:rPr>
        <w:t>Case of</w:t>
      </w:r>
      <w:r w:rsidRPr="00AC57EA">
        <w:rPr>
          <w:sz w:val="16"/>
          <w:szCs w:val="16"/>
          <w:lang w:val="en-US"/>
        </w:rPr>
        <w:t xml:space="preserve"> </w:t>
      </w:r>
      <w:r w:rsidRPr="00AC57EA">
        <w:rPr>
          <w:i/>
          <w:sz w:val="16"/>
          <w:szCs w:val="16"/>
          <w:lang w:val="en-US" w:eastAsia="en-US"/>
        </w:rPr>
        <w:t>Taxquet v. Belgium</w:t>
      </w:r>
      <w:r w:rsidRPr="00AC57EA" w:rsidDel="00FD5E2A">
        <w:rPr>
          <w:sz w:val="16"/>
          <w:szCs w:val="16"/>
          <w:lang w:val="en-US"/>
        </w:rPr>
        <w:t xml:space="preserve"> </w:t>
      </w:r>
      <w:r w:rsidRPr="00AC57EA">
        <w:rPr>
          <w:sz w:val="16"/>
          <w:szCs w:val="16"/>
          <w:lang w:val="en-US"/>
        </w:rPr>
        <w:t xml:space="preserve">[GS], No. 926/05. Judgment of November 16, 2010, para. 83. See also, EHCR, Case of </w:t>
      </w:r>
      <w:r w:rsidRPr="00AC57EA">
        <w:rPr>
          <w:i/>
          <w:sz w:val="16"/>
          <w:szCs w:val="16"/>
          <w:lang w:val="en-US"/>
        </w:rPr>
        <w:t>Achour v. France</w:t>
      </w:r>
      <w:r w:rsidRPr="00AC57EA">
        <w:rPr>
          <w:sz w:val="16"/>
          <w:szCs w:val="16"/>
          <w:lang w:val="en-US"/>
        </w:rPr>
        <w:t xml:space="preserve"> [GS], No. 67335/01. Judgment of March 29, 2006, para. 51.</w:t>
      </w:r>
    </w:p>
  </w:footnote>
  <w:footnote w:id="286">
    <w:p w14:paraId="03E4B504" w14:textId="10629DD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EHCR, </w:t>
      </w:r>
      <w:r w:rsidRPr="00AC57EA">
        <w:rPr>
          <w:i/>
          <w:sz w:val="16"/>
          <w:szCs w:val="16"/>
          <w:lang w:val="en-US"/>
        </w:rPr>
        <w:t>Case of</w:t>
      </w:r>
      <w:r w:rsidRPr="00AC57EA">
        <w:rPr>
          <w:sz w:val="16"/>
          <w:szCs w:val="16"/>
          <w:lang w:val="en-US"/>
        </w:rPr>
        <w:t xml:space="preserve"> </w:t>
      </w:r>
      <w:r w:rsidRPr="00AC57EA">
        <w:rPr>
          <w:i/>
          <w:sz w:val="16"/>
          <w:szCs w:val="16"/>
          <w:lang w:val="en-US" w:eastAsia="en-US"/>
        </w:rPr>
        <w:t>Taxquet v. Belgium</w:t>
      </w:r>
      <w:r w:rsidRPr="00AC57EA" w:rsidDel="00FD5E2A">
        <w:rPr>
          <w:sz w:val="16"/>
          <w:szCs w:val="16"/>
          <w:lang w:val="en-US"/>
        </w:rPr>
        <w:t xml:space="preserve"> </w:t>
      </w:r>
      <w:r w:rsidRPr="00AC57EA">
        <w:rPr>
          <w:sz w:val="16"/>
          <w:szCs w:val="16"/>
          <w:lang w:val="en-US"/>
        </w:rPr>
        <w:t xml:space="preserve">[GS], </w:t>
      </w:r>
      <w:r w:rsidRPr="00AC57EA">
        <w:rPr>
          <w:i/>
          <w:sz w:val="16"/>
          <w:szCs w:val="16"/>
          <w:lang w:val="en-US"/>
        </w:rPr>
        <w:t>supra</w:t>
      </w:r>
      <w:r w:rsidRPr="00AC57EA">
        <w:rPr>
          <w:sz w:val="16"/>
          <w:szCs w:val="16"/>
          <w:lang w:val="en-US"/>
        </w:rPr>
        <w:t>, para. 84.</w:t>
      </w:r>
    </w:p>
  </w:footnote>
  <w:footnote w:id="287">
    <w:p w14:paraId="7800FF04" w14:textId="04296EAD" w:rsidR="003C0AC1" w:rsidRPr="00AC57EA" w:rsidRDefault="003C0AC1" w:rsidP="00AC57EA">
      <w:pPr>
        <w:pStyle w:val="Textonotapie"/>
        <w:tabs>
          <w:tab w:val="left" w:pos="540"/>
          <w:tab w:val="left" w:pos="108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Human Rights Committee, </w:t>
      </w:r>
      <w:r w:rsidRPr="00AC57EA">
        <w:rPr>
          <w:i/>
          <w:sz w:val="16"/>
          <w:szCs w:val="16"/>
          <w:lang w:val="en-US"/>
        </w:rPr>
        <w:t>Saso John Wilson v. Australia</w:t>
      </w:r>
      <w:r w:rsidRPr="00AC57EA">
        <w:rPr>
          <w:sz w:val="16"/>
          <w:szCs w:val="16"/>
          <w:lang w:val="en-US"/>
        </w:rPr>
        <w:t xml:space="preserve"> (Communication No. 1239/2004). Decision on admissibility adopted on April 1, 2004, UN Doc. CCPR/C/80/D/1239/2004, April 29, 2004, para. 4.4. See also, Human Rights Committee, </w:t>
      </w:r>
      <w:r w:rsidRPr="00AC57EA">
        <w:rPr>
          <w:i/>
          <w:iCs/>
          <w:sz w:val="16"/>
          <w:szCs w:val="16"/>
          <w:lang w:val="en-US"/>
        </w:rPr>
        <w:t>Kavanagh v. Ireland</w:t>
      </w:r>
      <w:r w:rsidRPr="00AC57EA">
        <w:rPr>
          <w:sz w:val="16"/>
          <w:szCs w:val="16"/>
          <w:lang w:val="en-US"/>
        </w:rPr>
        <w:t xml:space="preserve"> (Communication No. 819/1998), UN Doc. CCPR/C/71/D/819/1998, decision adopted on April 4, 2001, para. 1.1.</w:t>
      </w:r>
    </w:p>
  </w:footnote>
  <w:footnote w:id="288">
    <w:p w14:paraId="59442EDE" w14:textId="46FD008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Antigua and Barbuda, Argentina (the system applies in three of the country’s 23 provinces: namely, Buenos Aires, Córdoba and Neuquén, while in another two provinces, Río Negro and Chaco, it is still at the implementation stage, and there are plans to extend it to others), Bahamas, Barbados, Belize, Bolivia, Brazil, Canada, Dominica, El Salvador, Granada, Guyana, Haiti, Jamaica, Nicaragua, Panama, Saint Kitts and Nevis, Saint Lucia, Saint Vincent and the Grenadines, Trinidad and Tobago and the United States of America</w:t>
      </w:r>
    </w:p>
  </w:footnote>
  <w:footnote w:id="289">
    <w:p w14:paraId="27C6E293" w14:textId="39210D4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This is characterized by the lay jury and the professional judge having different functions. The former must deliberate on the case and issue a verdict of guilt or innocence, and the latter determines the sentence applicable if the jury finds the accused guilty.</w:t>
      </w:r>
    </w:p>
  </w:footnote>
  <w:footnote w:id="290">
    <w:p w14:paraId="51CA6F76" w14:textId="40F62F21" w:rsidR="003C0AC1" w:rsidRPr="00AC57EA" w:rsidRDefault="003C0AC1" w:rsidP="00AC57EA">
      <w:pPr>
        <w:tabs>
          <w:tab w:val="left" w:pos="540"/>
        </w:tabs>
        <w:spacing w:after="60" w:line="240" w:lineRule="auto"/>
        <w:rPr>
          <w:i/>
          <w:sz w:val="16"/>
          <w:szCs w:val="16"/>
          <w:lang w:val="en-US"/>
        </w:rPr>
      </w:pPr>
      <w:r w:rsidRPr="00AC57EA">
        <w:rPr>
          <w:sz w:val="16"/>
          <w:szCs w:val="16"/>
          <w:lang w:val="en-US"/>
        </w:rPr>
        <w:t xml:space="preserve"> </w:t>
      </w: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hyperlink r:id="rId2" w:history="1">
        <w:r w:rsidRPr="00AC57EA">
          <w:rPr>
            <w:i/>
            <w:sz w:val="16"/>
            <w:szCs w:val="16"/>
            <w:lang w:val="en-US"/>
          </w:rPr>
          <w:t>Exceptions to the Exhaustion of Domestic Remedies (Arts. 46.1, 46.2.a and 46.2.b, American Convention on Human Rights</w:t>
        </w:r>
      </w:hyperlink>
      <w:r w:rsidRPr="00AC57EA">
        <w:rPr>
          <w:i/>
          <w:sz w:val="16"/>
          <w:szCs w:val="16"/>
          <w:lang w:val="en-US"/>
        </w:rPr>
        <w:t xml:space="preserve">, </w:t>
      </w:r>
      <w:r w:rsidRPr="00AC57EA">
        <w:rPr>
          <w:sz w:val="16"/>
          <w:szCs w:val="16"/>
          <w:lang w:val="en-US"/>
        </w:rPr>
        <w:t>Advisory Opinion OC-11/90</w:t>
      </w:r>
      <w:r w:rsidRPr="00AC57EA">
        <w:rPr>
          <w:i/>
          <w:sz w:val="16"/>
          <w:szCs w:val="16"/>
          <w:lang w:val="en-US"/>
        </w:rPr>
        <w:t>, supra</w:t>
      </w:r>
      <w:r w:rsidRPr="00AC57EA">
        <w:rPr>
          <w:sz w:val="16"/>
          <w:szCs w:val="16"/>
          <w:lang w:val="en-US"/>
        </w:rPr>
        <w:t>, para. 28.</w:t>
      </w:r>
    </w:p>
  </w:footnote>
  <w:footnote w:id="291">
    <w:p w14:paraId="5E22F029" w14:textId="2AA1B53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166 of the Nicaraguan Constitution (evidence file, volume XVII, annex 1 to the answering brief, folio 8017).</w:t>
      </w:r>
    </w:p>
  </w:footnote>
  <w:footnote w:id="292">
    <w:p w14:paraId="7D643D1E" w14:textId="6312DB7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According to the State, this Code was in force from 1879 to the entry into force of the Criminal Procedure Code on December 23, 2002.</w:t>
      </w:r>
    </w:p>
  </w:footnote>
  <w:footnote w:id="293">
    <w:p w14:paraId="09899B24" w14:textId="4059C17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22 of the Code of Criminal Procedure (evidence file, volume XVII, annex 2 to the answering brief, folio 8028).</w:t>
      </w:r>
    </w:p>
  </w:footnote>
  <w:footnote w:id="294">
    <w:p w14:paraId="7F1175A3" w14:textId="3AFF45B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23 of the Code of Criminal Procedure (evidence file, volume XVII, annex 2 to the answering brief, folio 8028).</w:t>
      </w:r>
    </w:p>
  </w:footnote>
  <w:footnote w:id="295">
    <w:p w14:paraId="5BDAEBF1" w14:textId="141DE25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274 of the Code of Criminal Procedure (evidence file, volume XVII, annex 2 to the answering brief, folio 8066).</w:t>
      </w:r>
    </w:p>
  </w:footnote>
  <w:footnote w:id="296">
    <w:p w14:paraId="789A74F5" w14:textId="322EE36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275 of the Code of Criminal Procedure (evidence file, volume XVII, annex 2 to the answering brief, folio 8066).</w:t>
      </w:r>
    </w:p>
  </w:footnote>
  <w:footnote w:id="297">
    <w:p w14:paraId="5885D73C" w14:textId="0B91538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275 of the Code of Criminal Procedure (evidence file, volume XVII, annex 2 to the answering brief, folio 8066).</w:t>
      </w:r>
    </w:p>
  </w:footnote>
  <w:footnote w:id="298">
    <w:p w14:paraId="219EF8EF" w14:textId="0CAB426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277 of the Code of Criminal Procedure (evidence file, volume XVII, annex 2 to the answering brief, folio 8066).</w:t>
      </w:r>
    </w:p>
  </w:footnote>
  <w:footnote w:id="299">
    <w:p w14:paraId="6AC09E05" w14:textId="60AD696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277 of the Code of Criminal Procedure (evidence file, volume XVII, annex 2 to the answering brief, folio 8066).</w:t>
      </w:r>
    </w:p>
  </w:footnote>
  <w:footnote w:id="300">
    <w:p w14:paraId="7A7B24AB" w14:textId="620C3DC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278 and 284 of the Code of Criminal Procedure (evidence file, volume XVII, annex 2 to the answering brief, folios 8066 and 8067).</w:t>
      </w:r>
    </w:p>
  </w:footnote>
  <w:footnote w:id="301">
    <w:p w14:paraId="613AA1D0" w14:textId="5922427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282 of the Code of Criminal Procedure (evidence file, volume XVII, annex 2 to the answering brief, folio 8067).</w:t>
      </w:r>
    </w:p>
  </w:footnote>
  <w:footnote w:id="302">
    <w:p w14:paraId="505B7681" w14:textId="4D12CDB6" w:rsidR="003C0AC1" w:rsidRPr="00AC57EA" w:rsidRDefault="003C0AC1" w:rsidP="00AC57EA">
      <w:pPr>
        <w:pStyle w:val="Textonotapie"/>
        <w:tabs>
          <w:tab w:val="left" w:pos="540"/>
        </w:tabs>
        <w:spacing w:after="60"/>
        <w:rPr>
          <w:bC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w:t>
      </w:r>
      <w:r w:rsidRPr="00AC57EA">
        <w:rPr>
          <w:bCs/>
          <w:sz w:val="16"/>
          <w:szCs w:val="16"/>
          <w:lang w:val="en-US"/>
        </w:rPr>
        <w:t xml:space="preserve"> 290 of the Code of Criminal Procedure establishes that: </w:t>
      </w:r>
    </w:p>
    <w:p w14:paraId="2FFB4171" w14:textId="7B97A3AD" w:rsidR="003C0AC1" w:rsidRPr="00AC57EA" w:rsidRDefault="003C0AC1" w:rsidP="00AC57EA">
      <w:pPr>
        <w:pStyle w:val="Textonotapie"/>
        <w:tabs>
          <w:tab w:val="left" w:pos="540"/>
        </w:tabs>
        <w:spacing w:after="60"/>
        <w:ind w:left="567" w:right="360"/>
        <w:rPr>
          <w:sz w:val="16"/>
          <w:szCs w:val="16"/>
          <w:lang w:val="en-US"/>
        </w:rPr>
      </w:pPr>
      <w:r w:rsidRPr="00AC57EA">
        <w:rPr>
          <w:sz w:val="16"/>
          <w:szCs w:val="16"/>
          <w:lang w:val="en-US"/>
        </w:rPr>
        <w:t>Once the jury has been constituted, the judge shall swear them in as follows: “Do you promise before God and before men to examine with scrupulous care the proceedings that will be submitted to your consideration; not to betray either the interests of the accused or those of society which is accusing him; not to let yourselves be influenced by hate or by antipathy, by malice, by fear or by affection; to make a decision following your conscience and firm conviction with the impartiality and resolve that behooves a free and honest man? Each member of the jury called on individually by the Judge shall answer: “I promise” (Art. 24 of this instrument).</w:t>
      </w:r>
    </w:p>
    <w:p w14:paraId="215EA5C5" w14:textId="76998D7A" w:rsidR="003C0AC1" w:rsidRPr="00AC57EA" w:rsidRDefault="003C0AC1" w:rsidP="00AC57EA">
      <w:pPr>
        <w:pStyle w:val="Textonotapie"/>
        <w:tabs>
          <w:tab w:val="left" w:pos="540"/>
        </w:tabs>
        <w:spacing w:after="60"/>
        <w:rPr>
          <w:sz w:val="16"/>
          <w:szCs w:val="16"/>
          <w:lang w:val="en-US"/>
        </w:rPr>
      </w:pPr>
      <w:r w:rsidRPr="00AC57EA">
        <w:rPr>
          <w:sz w:val="16"/>
          <w:szCs w:val="16"/>
          <w:lang w:val="en-US"/>
        </w:rPr>
        <w:t>(evidence file, volume XVII, annex 2 to the answering brief, folio 8068).</w:t>
      </w:r>
    </w:p>
  </w:footnote>
  <w:footnote w:id="303">
    <w:p w14:paraId="470A3E0C" w14:textId="266DA88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291 of the Code of Criminal Procedure (evidence file, volume XVII, annex 2 to the answering brief, folio 8068).</w:t>
      </w:r>
    </w:p>
  </w:footnote>
  <w:footnote w:id="304">
    <w:p w14:paraId="6EFB3723" w14:textId="4206625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292 to 303 of the Code of Criminal Procedure (evidence file, volume XVII, annex 2 to the answering brief, folios 8068 and 8069).</w:t>
      </w:r>
    </w:p>
  </w:footnote>
  <w:footnote w:id="305">
    <w:p w14:paraId="367F1F52" w14:textId="1C4E9D8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304 and 306 of the Code of Criminal Procedure (evidence file, volume XVII, annex 2 to the answering brief, folios 8069 and 8070).</w:t>
      </w:r>
    </w:p>
  </w:footnote>
  <w:footnote w:id="306">
    <w:p w14:paraId="73375EA7" w14:textId="72B1A32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305 of the Code of Criminal Procedure (evidence file, volume XVII, annex 2 to the answering brief, folio 8069).</w:t>
      </w:r>
    </w:p>
  </w:footnote>
  <w:footnote w:id="307">
    <w:p w14:paraId="45E14BF4" w14:textId="3764B70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307 of the Code of Criminal Procedure (evidence file, volume XVII, annex 2 to the answering brief, folio 8070).</w:t>
      </w:r>
    </w:p>
  </w:footnote>
  <w:footnote w:id="308">
    <w:p w14:paraId="6F2BAE33" w14:textId="102244E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307 of the Code of Criminal Procedure (evidence file, volume XVII, annex 2 to the answering brief, folio 8070).</w:t>
      </w:r>
    </w:p>
  </w:footnote>
  <w:footnote w:id="309">
    <w:p w14:paraId="673AE1F6" w14:textId="20CFB8BB" w:rsidR="003C0AC1" w:rsidRPr="00AC57EA" w:rsidRDefault="003C0AC1" w:rsidP="00AC57EA">
      <w:pPr>
        <w:pStyle w:val="Textonotapie"/>
        <w:tabs>
          <w:tab w:val="left" w:pos="540"/>
        </w:tabs>
        <w:spacing w:after="60"/>
        <w:rPr>
          <w:bC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w:t>
      </w:r>
      <w:r w:rsidRPr="00AC57EA">
        <w:rPr>
          <w:bCs/>
          <w:sz w:val="16"/>
          <w:szCs w:val="16"/>
          <w:lang w:val="en-US"/>
        </w:rPr>
        <w:t xml:space="preserve"> 309 of the Code of Criminal Procedure establishes that:</w:t>
      </w:r>
    </w:p>
    <w:p w14:paraId="79C6BD34" w14:textId="26EE0608" w:rsidR="003C0AC1" w:rsidRPr="00AC57EA" w:rsidRDefault="003C0AC1" w:rsidP="00AC57EA">
      <w:pPr>
        <w:pStyle w:val="Textonotapie"/>
        <w:tabs>
          <w:tab w:val="left" w:pos="540"/>
        </w:tabs>
        <w:spacing w:after="60"/>
        <w:ind w:left="567" w:right="360"/>
        <w:rPr>
          <w:sz w:val="16"/>
          <w:szCs w:val="16"/>
          <w:lang w:val="en-US"/>
        </w:rPr>
      </w:pPr>
      <w:r w:rsidRPr="00AC57EA">
        <w:rPr>
          <w:sz w:val="16"/>
          <w:szCs w:val="16"/>
          <w:lang w:val="en-US"/>
        </w:rPr>
        <w:t>The verdict shall be written in the following precise formula: “In the city of ... (name of the city, the hour, date, month and year). The jury, having examined this case, declares: (if it is an acquittal) that so-and-so is or are innocent of the offense or offenses for which their detention was ordered: (if it is a guilty verdict) that so-and-so is guilty of the offense or offenses, for which their detention was ordered, so-and-so his accomplice and so-and-so, his accessory.” If the person is acquitted of one offense and convicted of another, they should both be clearly indicated (Art. 43 of this law).</w:t>
      </w:r>
    </w:p>
    <w:p w14:paraId="462612DF" w14:textId="404B6252" w:rsidR="003C0AC1" w:rsidRPr="00AC57EA" w:rsidRDefault="003C0AC1" w:rsidP="00AC57EA">
      <w:pPr>
        <w:pStyle w:val="Textonotapie"/>
        <w:tabs>
          <w:tab w:val="left" w:pos="540"/>
        </w:tabs>
        <w:spacing w:after="60"/>
        <w:rPr>
          <w:sz w:val="16"/>
          <w:szCs w:val="16"/>
          <w:lang w:val="en-US"/>
        </w:rPr>
      </w:pPr>
      <w:r w:rsidRPr="00AC57EA">
        <w:rPr>
          <w:sz w:val="16"/>
          <w:szCs w:val="16"/>
          <w:lang w:val="en-US"/>
        </w:rPr>
        <w:t>(evidence file, volume XVII, annex 2 to the answering brief, folio 8070).</w:t>
      </w:r>
    </w:p>
  </w:footnote>
  <w:footnote w:id="310">
    <w:p w14:paraId="58557CA2" w14:textId="5AA96D0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310 and 311 of the Code of Criminal Procedure (evidence file, volume XVII, annex 2 to the answering brief, folio 8070).</w:t>
      </w:r>
    </w:p>
  </w:footnote>
  <w:footnote w:id="311">
    <w:p w14:paraId="44B99312" w14:textId="7777777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321 of the Code of Criminal Procedure (evidence file, volume XVII, annex 2 to the answering brief, folio 8072).</w:t>
      </w:r>
    </w:p>
  </w:footnote>
  <w:footnote w:id="312">
    <w:p w14:paraId="78E8731F" w14:textId="765707F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322 of the Code of Criminal Procedure (evidence file, volume XVII, annex 2 to the answering brief, folio 8072).</w:t>
      </w:r>
    </w:p>
  </w:footnote>
  <w:footnote w:id="313">
    <w:p w14:paraId="08956114" w14:textId="20DBCD0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326 of the Code of Criminal Procedure (evidence file, volume XVII, annex 2 to the answering brief, folio 8073).</w:t>
      </w:r>
    </w:p>
  </w:footnote>
  <w:footnote w:id="314">
    <w:p w14:paraId="65B9F6A2" w14:textId="6849718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444 of the Code of Criminal Procedure (evidence file, volume XVII, annex 2 to the answering brief, folios 8090 a 8091).</w:t>
      </w:r>
    </w:p>
  </w:footnote>
  <w:footnote w:id="315">
    <w:p w14:paraId="2A3791CD" w14:textId="63EF4DF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446 of the Code of Criminal Procedure (evidence file, volume XVII, annex 2 to the answering brief, folio 8091).</w:t>
      </w:r>
    </w:p>
  </w:footnote>
  <w:footnote w:id="316">
    <w:p w14:paraId="30E11CFF" w14:textId="37C3BB6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Preambular paragraph I of Law No. 779,</w:t>
      </w:r>
      <w:r w:rsidRPr="00AC57EA">
        <w:rPr>
          <w:sz w:val="16"/>
          <w:szCs w:val="16"/>
          <w:lang w:val="en-US" w:eastAsia="es-CR"/>
        </w:rPr>
        <w:t xml:space="preserve"> </w:t>
      </w:r>
      <w:r w:rsidRPr="00AC57EA">
        <w:rPr>
          <w:sz w:val="16"/>
          <w:szCs w:val="16"/>
          <w:lang w:val="en-US"/>
        </w:rPr>
        <w:t>“</w:t>
      </w:r>
      <w:r w:rsidRPr="00AC57EA">
        <w:rPr>
          <w:rFonts w:eastAsia="Calibri"/>
          <w:kern w:val="1"/>
          <w:sz w:val="16"/>
          <w:szCs w:val="16"/>
          <w:lang w:val="en-US" w:eastAsia="en-US"/>
        </w:rPr>
        <w:t>Comprehensive law to combat violence against women and amendments to Law No. 641 Criminal Code”</w:t>
      </w:r>
      <w:r w:rsidRPr="00AC57EA">
        <w:rPr>
          <w:rFonts w:eastAsia="Calibri"/>
          <w:kern w:val="1"/>
          <w:lang w:val="en-US" w:eastAsia="en-US"/>
        </w:rPr>
        <w:t xml:space="preserve"> </w:t>
      </w:r>
      <w:r w:rsidRPr="00AC57EA">
        <w:rPr>
          <w:sz w:val="16"/>
          <w:szCs w:val="16"/>
          <w:lang w:val="en-US"/>
        </w:rPr>
        <w:t>(evidence file, volume XX, annex 3 of the helpful evidence, folio 9457).</w:t>
      </w:r>
    </w:p>
  </w:footnote>
  <w:footnote w:id="317">
    <w:p w14:paraId="5DDBFC0C" w14:textId="56EC2C9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Article 30 of Law No. 779 establishes: </w:t>
      </w:r>
    </w:p>
    <w:p w14:paraId="0D9FAEB4" w14:textId="5C85DED2" w:rsidR="003C0AC1" w:rsidRPr="00AC57EA" w:rsidRDefault="003C0AC1" w:rsidP="00AC57EA">
      <w:pPr>
        <w:pStyle w:val="Textonotapie"/>
        <w:tabs>
          <w:tab w:val="left" w:pos="540"/>
        </w:tabs>
        <w:spacing w:after="60"/>
        <w:ind w:left="567" w:right="360"/>
        <w:rPr>
          <w:sz w:val="16"/>
          <w:szCs w:val="16"/>
          <w:lang w:val="en-US"/>
        </w:rPr>
      </w:pPr>
      <w:r w:rsidRPr="00AC57EA">
        <w:rPr>
          <w:sz w:val="16"/>
          <w:szCs w:val="16"/>
          <w:lang w:val="en-US"/>
        </w:rPr>
        <w:t>Special bodies. Special District Courts for cases of violence are created, composed of a judge with special training in this area. There must be a minimum of one Special District Court for cases of violence in each departmental capital and Autonomous Region and in municipalities in which, owing to their location, it is difficult to access the courts located in the departmental capitals.</w:t>
      </w:r>
    </w:p>
    <w:p w14:paraId="01E9C92D" w14:textId="16C2119B" w:rsidR="003C0AC1" w:rsidRPr="00AC57EA" w:rsidRDefault="003C0AC1" w:rsidP="00AC57EA">
      <w:pPr>
        <w:pStyle w:val="Textonotapie"/>
        <w:tabs>
          <w:tab w:val="left" w:pos="540"/>
        </w:tabs>
        <w:spacing w:after="60"/>
        <w:ind w:left="567" w:right="360"/>
        <w:rPr>
          <w:sz w:val="16"/>
          <w:szCs w:val="16"/>
          <w:lang w:val="en-US"/>
        </w:rPr>
      </w:pPr>
      <w:r w:rsidRPr="00AC57EA">
        <w:rPr>
          <w:sz w:val="16"/>
          <w:szCs w:val="16"/>
          <w:lang w:val="en-US"/>
        </w:rPr>
        <w:t>Interdisciplinary teams shall be created attached to the Special District Courts for cases of violence composed of, at least, a psychologist and a social worker, responsible for providing specialized assistance to victims to support the jurisdictional function of the hearings and to monitor and control the measures of protection imposed by the court.</w:t>
      </w:r>
    </w:p>
    <w:p w14:paraId="003945FA" w14:textId="027260A1" w:rsidR="003C0AC1" w:rsidRPr="00AC57EA" w:rsidRDefault="003C0AC1" w:rsidP="00AC57EA">
      <w:pPr>
        <w:pStyle w:val="Textonotapie"/>
        <w:tabs>
          <w:tab w:val="left" w:pos="540"/>
        </w:tabs>
        <w:spacing w:after="60"/>
        <w:rPr>
          <w:sz w:val="16"/>
          <w:szCs w:val="16"/>
          <w:lang w:val="en-US"/>
        </w:rPr>
      </w:pPr>
      <w:r w:rsidRPr="00AC57EA">
        <w:rPr>
          <w:sz w:val="16"/>
          <w:szCs w:val="16"/>
          <w:lang w:val="en-US"/>
        </w:rPr>
        <w:t>(evidence file, volume XX, annex 3 of the helpful evidence, folio 9464).</w:t>
      </w:r>
    </w:p>
  </w:footnote>
  <w:footnote w:id="318">
    <w:p w14:paraId="5EF0E002" w14:textId="2B1347F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56 of Law No. 779 establishes that: “[t]rials for the offenses referred to in this law shall be conducted with a technical judge” (evidence file, volume XX, annex 3 of the helpful evidence, folio 9468).</w:t>
      </w:r>
    </w:p>
  </w:footnote>
  <w:footnote w:id="319">
    <w:p w14:paraId="59CE9EEB" w14:textId="68B0780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i/>
          <w:sz w:val="16"/>
          <w:szCs w:val="16"/>
          <w:lang w:val="en-US"/>
        </w:rPr>
        <w:tab/>
        <w:t xml:space="preserve">Cf. Case of Apitz Barbera et al. (“First Contentious Administrative Court”) v. Venezuela. Preliminary objection, merits, reparations and costs. </w:t>
      </w:r>
      <w:r w:rsidRPr="00AC57EA">
        <w:rPr>
          <w:iCs/>
          <w:sz w:val="16"/>
          <w:szCs w:val="16"/>
          <w:lang w:val="en-US"/>
        </w:rPr>
        <w:t xml:space="preserve">Judgment of August 5, 2008. Series C </w:t>
      </w:r>
      <w:r w:rsidRPr="00AC57EA">
        <w:rPr>
          <w:bCs/>
          <w:iCs/>
          <w:sz w:val="16"/>
          <w:szCs w:val="16"/>
          <w:lang w:val="en-US"/>
        </w:rPr>
        <w:t>No. 182</w:t>
      </w:r>
      <w:r w:rsidRPr="00AC57EA">
        <w:rPr>
          <w:iCs/>
          <w:sz w:val="16"/>
          <w:szCs w:val="16"/>
          <w:lang w:val="en-US"/>
        </w:rPr>
        <w:t>, para. 56,</w:t>
      </w:r>
      <w:r w:rsidRPr="00AC57EA">
        <w:rPr>
          <w:i/>
          <w:sz w:val="16"/>
          <w:szCs w:val="16"/>
          <w:lang w:val="en-US"/>
        </w:rPr>
        <w:t xml:space="preserve"> and Case of Acosta et al. v. Nicaragua, supra</w:t>
      </w:r>
      <w:r w:rsidRPr="00AC57EA">
        <w:rPr>
          <w:sz w:val="16"/>
          <w:szCs w:val="16"/>
          <w:lang w:val="en-US"/>
        </w:rPr>
        <w:t>, para. 172.</w:t>
      </w:r>
    </w:p>
  </w:footnote>
  <w:footnote w:id="320">
    <w:p w14:paraId="66B37051" w14:textId="65369FA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Apitz Barbera et al. </w:t>
      </w:r>
      <w:r w:rsidRPr="00AC57EA">
        <w:rPr>
          <w:i/>
          <w:sz w:val="16"/>
          <w:szCs w:val="16"/>
          <w:lang w:val="es-CR"/>
        </w:rPr>
        <w:t>(“First Contentious Administrative Court”) v. Venezuela, supra</w:t>
      </w:r>
      <w:r w:rsidRPr="00AC57EA">
        <w:rPr>
          <w:sz w:val="16"/>
          <w:szCs w:val="16"/>
          <w:lang w:val="es-CR"/>
        </w:rPr>
        <w:t>, para. 56,</w:t>
      </w:r>
      <w:r w:rsidRPr="00AC57EA">
        <w:rPr>
          <w:i/>
          <w:sz w:val="16"/>
          <w:szCs w:val="16"/>
          <w:lang w:val="es-CR"/>
        </w:rPr>
        <w:t xml:space="preserve"> and Case of Acosta et al. v. Nicaragua, supra</w:t>
      </w:r>
      <w:r w:rsidRPr="00AC57EA">
        <w:rPr>
          <w:sz w:val="16"/>
          <w:szCs w:val="16"/>
          <w:lang w:val="es-CR"/>
        </w:rPr>
        <w:t xml:space="preserve">, para. </w:t>
      </w:r>
      <w:r w:rsidRPr="00AC57EA">
        <w:rPr>
          <w:sz w:val="16"/>
          <w:szCs w:val="16"/>
          <w:lang w:val="en-US"/>
        </w:rPr>
        <w:t>172.</w:t>
      </w:r>
    </w:p>
  </w:footnote>
  <w:footnote w:id="321">
    <w:p w14:paraId="0CE8B031" w14:textId="2EF35B1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bCs/>
          <w:i/>
          <w:sz w:val="16"/>
          <w:szCs w:val="16"/>
          <w:lang w:val="en-US"/>
        </w:rPr>
        <w:t>Case of Apitz Barbera et al. (“First Contentious Administrative Court”) v. Venezuela, supra</w:t>
      </w:r>
      <w:r w:rsidRPr="00AC57EA">
        <w:rPr>
          <w:sz w:val="16"/>
          <w:szCs w:val="16"/>
          <w:lang w:val="en-US"/>
        </w:rPr>
        <w:t xml:space="preserve">, para. 56, and </w:t>
      </w:r>
      <w:r w:rsidRPr="00AC57EA">
        <w:rPr>
          <w:i/>
          <w:sz w:val="16"/>
          <w:szCs w:val="16"/>
          <w:lang w:val="en-US"/>
        </w:rPr>
        <w:t>Case of López Lone et al. v. Honduras</w:t>
      </w:r>
      <w:r w:rsidRPr="00AC57EA">
        <w:rPr>
          <w:sz w:val="16"/>
          <w:szCs w:val="16"/>
          <w:lang w:val="en-US"/>
        </w:rPr>
        <w:t xml:space="preserve">. </w:t>
      </w:r>
      <w:r w:rsidRPr="00AC57EA">
        <w:rPr>
          <w:i/>
          <w:sz w:val="16"/>
          <w:szCs w:val="16"/>
          <w:lang w:val="en-US"/>
        </w:rPr>
        <w:t xml:space="preserve">Preliminary objection, merits, reparations and costs. </w:t>
      </w:r>
      <w:r w:rsidRPr="00AC57EA">
        <w:rPr>
          <w:sz w:val="16"/>
          <w:szCs w:val="16"/>
          <w:lang w:val="en-US"/>
        </w:rPr>
        <w:t>Judgment of October 5, 2015. Series C No. 302, para. 233.</w:t>
      </w:r>
    </w:p>
  </w:footnote>
  <w:footnote w:id="322">
    <w:p w14:paraId="55BBF655" w14:textId="195B98A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Both the European Court of Human Rights and the Human Rights Committee have expressed similar opinions. </w:t>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 Gregory v. The United Kingdom</w:t>
      </w:r>
      <w:r w:rsidRPr="00AC57EA">
        <w:rPr>
          <w:sz w:val="16"/>
          <w:szCs w:val="16"/>
          <w:lang w:val="en-US"/>
        </w:rPr>
        <w:t xml:space="preserve">, No. 22299/93. Judgment of February 25, 1997, paras. 22 to 25, and </w:t>
      </w:r>
      <w:r w:rsidRPr="00AC57EA">
        <w:rPr>
          <w:i/>
          <w:sz w:val="16"/>
          <w:szCs w:val="16"/>
          <w:lang w:val="en-US"/>
        </w:rPr>
        <w:t>Case of Sanders v. The United Kingdom</w:t>
      </w:r>
      <w:r w:rsidRPr="00AC57EA">
        <w:rPr>
          <w:sz w:val="16"/>
          <w:szCs w:val="16"/>
          <w:lang w:val="en-US"/>
        </w:rPr>
        <w:t xml:space="preserve">, No. 34129/96. Judgment of May 9, 2000, paras. 22 to 25. See also, Human Rights Committee, Case of </w:t>
      </w:r>
      <w:r w:rsidRPr="00AC57EA">
        <w:rPr>
          <w:i/>
          <w:sz w:val="16"/>
          <w:szCs w:val="16"/>
          <w:lang w:val="en-US"/>
        </w:rPr>
        <w:t>Mulai v. Guyana</w:t>
      </w:r>
      <w:r w:rsidRPr="00AC57EA">
        <w:rPr>
          <w:sz w:val="16"/>
          <w:szCs w:val="16"/>
          <w:lang w:val="en-US"/>
        </w:rPr>
        <w:t xml:space="preserve"> (Communication No. 811/1998), UN Doc. CCPR/C/81/D/811/1998, decision adopted on July 20, 2004, para. 6.1,</w:t>
      </w:r>
      <w:r w:rsidRPr="00AC57EA">
        <w:rPr>
          <w:i/>
          <w:sz w:val="16"/>
          <w:szCs w:val="16"/>
          <w:lang w:val="en-US"/>
        </w:rPr>
        <w:t xml:space="preserve"> and Dole Chadee and Others v. Trinidad and Tobago</w:t>
      </w:r>
      <w:r w:rsidRPr="00AC57EA">
        <w:rPr>
          <w:sz w:val="16"/>
          <w:szCs w:val="16"/>
          <w:lang w:val="en-US"/>
        </w:rPr>
        <w:t xml:space="preserve"> (Communication No. 813/1998), UN Doc. CCPR/C/63/D/813/1998, decision adopted on July 29, 1998, para. 10.1.</w:t>
      </w:r>
    </w:p>
  </w:footnote>
  <w:footnote w:id="323">
    <w:p w14:paraId="26E5ED01" w14:textId="38790E7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 Hanif and Khan v. The United Kingdom</w:t>
      </w:r>
      <w:r w:rsidRPr="00AC57EA">
        <w:rPr>
          <w:sz w:val="16"/>
          <w:szCs w:val="16"/>
          <w:lang w:val="en-US"/>
        </w:rPr>
        <w:t>, Nos. 52999/08 and 61779/08. Judgment of December 20, 2011, para. 138.</w:t>
      </w:r>
    </w:p>
  </w:footnote>
  <w:footnote w:id="324">
    <w:p w14:paraId="5DC1F5D6" w14:textId="57EE840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 Hanif and Khan v. The United Kingdom</w:t>
      </w:r>
      <w:r w:rsidRPr="00AC57EA">
        <w:rPr>
          <w:sz w:val="16"/>
          <w:szCs w:val="16"/>
          <w:lang w:val="en-US"/>
        </w:rPr>
        <w:t xml:space="preserve">, </w:t>
      </w:r>
      <w:r w:rsidRPr="00AC57EA">
        <w:rPr>
          <w:i/>
          <w:sz w:val="16"/>
          <w:szCs w:val="16"/>
          <w:lang w:val="en-US"/>
        </w:rPr>
        <w:t>supra</w:t>
      </w:r>
      <w:r w:rsidRPr="00AC57EA">
        <w:rPr>
          <w:sz w:val="16"/>
          <w:szCs w:val="16"/>
          <w:lang w:val="en-US"/>
        </w:rPr>
        <w:t>, para. 139.</w:t>
      </w:r>
    </w:p>
  </w:footnote>
  <w:footnote w:id="325">
    <w:p w14:paraId="7500EE9A" w14:textId="0709707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 Hanif and Khan v. The United Kingdom</w:t>
      </w:r>
      <w:r w:rsidRPr="00AC57EA">
        <w:rPr>
          <w:sz w:val="16"/>
          <w:szCs w:val="16"/>
          <w:lang w:val="en-US"/>
        </w:rPr>
        <w:t xml:space="preserve">, </w:t>
      </w:r>
      <w:r w:rsidRPr="00AC57EA">
        <w:rPr>
          <w:i/>
          <w:sz w:val="16"/>
          <w:szCs w:val="16"/>
          <w:lang w:val="en-US"/>
        </w:rPr>
        <w:t>supra</w:t>
      </w:r>
      <w:r w:rsidRPr="00AC57EA">
        <w:rPr>
          <w:sz w:val="16"/>
          <w:szCs w:val="16"/>
          <w:lang w:val="en-US"/>
        </w:rPr>
        <w:t>, para. 140.</w:t>
      </w:r>
    </w:p>
  </w:footnote>
  <w:footnote w:id="326">
    <w:p w14:paraId="25D533D4" w14:textId="7777777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EHCR, </w:t>
      </w:r>
      <w:r w:rsidRPr="00AC57EA">
        <w:rPr>
          <w:i/>
          <w:sz w:val="16"/>
          <w:szCs w:val="16"/>
          <w:lang w:val="en-US"/>
        </w:rPr>
        <w:t xml:space="preserve">Case of Pabla Ky v. Finland, </w:t>
      </w:r>
      <w:r w:rsidRPr="00AC57EA">
        <w:rPr>
          <w:sz w:val="16"/>
          <w:szCs w:val="16"/>
          <w:lang w:val="en-US"/>
        </w:rPr>
        <w:t>No. 47221/99. Judgment of June 22, 2004, para. 27.</w:t>
      </w:r>
    </w:p>
  </w:footnote>
  <w:footnote w:id="327">
    <w:p w14:paraId="6FD079FB" w14:textId="55001A7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In the order of April 15, 2002, the judge indicated that V.P.C. was represented by her lawyer, so that the random jury selection procedure was not violated. </w:t>
      </w:r>
      <w:r w:rsidRPr="00AC57EA">
        <w:rPr>
          <w:i/>
          <w:sz w:val="16"/>
          <w:szCs w:val="16"/>
          <w:lang w:val="en-US"/>
        </w:rPr>
        <w:t>Cf.</w:t>
      </w:r>
      <w:r w:rsidRPr="00AC57EA">
        <w:rPr>
          <w:sz w:val="16"/>
          <w:szCs w:val="16"/>
          <w:lang w:val="en-US"/>
        </w:rPr>
        <w:t xml:space="preserve"> Order issued by the Jinotega District Criminal Judge on April 15, 2002 (evidence file, volume XVI, annex D.2 to the brief with pleadings, motions and evidence, folios 7136 and 7137).</w:t>
      </w:r>
    </w:p>
  </w:footnote>
  <w:footnote w:id="328">
    <w:p w14:paraId="2BE497DB" w14:textId="6B0A830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The State was asked to submit the video as helpful evidence, and it indicated that the law in force at the time did not establish that hearings should be video recorded. It added that it was unable to provide this video owing to the 15 years that had passed since the case was lodged before the Inter-American Commission in 2002. However, it noted that the record of the inspection that the State had provided to the Court proved that the said video had existed and had been inspected by the parties to the proceedings.</w:t>
      </w:r>
    </w:p>
  </w:footnote>
  <w:footnote w:id="329">
    <w:p w14:paraId="7BA28831" w14:textId="52F152F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V.P.C. indicated that: “[w]hen the hearing had almost lasted 23-24 hours, the secretary came in; the judge was there, the one who was always in charge of the case, and although he says that she was recused or she was not recused, she always came back; the case passed from one judge to another, but the cases always came back to her and, at that moment, they brought a silver-grey bag that appeared to contain a wad of banknotes, because there is the video that the judge inspected, and one of the perpetrator’s lawyers went up to the jury and said: ‘look, members of the jury, here’s this envelope to be read in a private session.’ Then, at that moment, do you understand what I am saying, he was asked, please show the document, and they said that it had been indicated that it should be read in the private session. Also, they did not want to show what was in that bag, but when they went in to deliberate, at that time, they took the bag and they took the document. When they came out and afterwards, the bag and the document should have been added to the documentation because it was part of the case file, but it never appeared. This is why an appeal for annulment was filed owing to the bribery of the members of the jury […]. It was a silver-colored bag, so that it was opaque, do you follow me, it appeared to be sealed, but you could see the outside, because it was a bag that contained money and there was a video; I don’t know what happened to that video, but the video disappeared in the court.” Statement made by V.P.C. before the Inter-American Court during the public hearing held on October 16 and 17, 2017. Meanwhile, the judge of law indicated in her rebuttal of the complaint against her: “that on April 13, between 10.30 and 11 a.m., owing to an urgent personal necessity because I was menstruating, my husband sent me a grey-colored bag which said Lucky Strike with clothes, underpants and sanitary pads.” Rebuttal presented on January 29, 2003 (evidence file, volume XX, annex 7.a of the helpful evidence, folios 9666 to 9669).</w:t>
      </w:r>
    </w:p>
  </w:footnote>
  <w:footnote w:id="330">
    <w:p w14:paraId="254FC5A0" w14:textId="5E209F62"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Case of Apitz Barbera et al. (“First Contentious Administrative Court”) v. Venezuela, supra</w:t>
      </w:r>
      <w:r w:rsidRPr="00AC57EA">
        <w:rPr>
          <w:sz w:val="16"/>
          <w:szCs w:val="16"/>
          <w:lang w:val="en-US"/>
        </w:rPr>
        <w:t xml:space="preserve">, para. 78, and </w:t>
      </w:r>
      <w:r w:rsidRPr="00AC57EA">
        <w:rPr>
          <w:i/>
          <w:sz w:val="16"/>
          <w:szCs w:val="16"/>
          <w:lang w:val="en-US"/>
        </w:rPr>
        <w:t>Case of the Dismissed Employees of PetroPerú et al. v. Peru, supra</w:t>
      </w:r>
      <w:r w:rsidRPr="00AC57EA">
        <w:rPr>
          <w:sz w:val="16"/>
          <w:szCs w:val="16"/>
          <w:lang w:val="en-US"/>
        </w:rPr>
        <w:t>, para. 168.</w:t>
      </w:r>
    </w:p>
  </w:footnote>
  <w:footnote w:id="331">
    <w:p w14:paraId="005D4E7D" w14:textId="0C2738C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Case of Chaparro Álvarez and Lapo Íñiguez v. Ecuador. Preliminary objection, merits, reparations and costs</w:t>
      </w:r>
      <w:r w:rsidRPr="00AC57EA">
        <w:rPr>
          <w:sz w:val="16"/>
          <w:szCs w:val="16"/>
          <w:lang w:val="en-US"/>
        </w:rPr>
        <w:t xml:space="preserve">. Judgment of November 21, 2007. Series C No. 170, para. 107, and </w:t>
      </w:r>
      <w:r w:rsidRPr="00AC57EA">
        <w:rPr>
          <w:i/>
          <w:sz w:val="16"/>
          <w:szCs w:val="16"/>
          <w:lang w:val="en-US"/>
        </w:rPr>
        <w:t>Case of the Dismissed Employees of PetroPerú et al. v. Peru, supra</w:t>
      </w:r>
      <w:r w:rsidRPr="00AC57EA">
        <w:rPr>
          <w:sz w:val="16"/>
          <w:szCs w:val="16"/>
          <w:lang w:val="en-US"/>
        </w:rPr>
        <w:t>, para. 168.</w:t>
      </w:r>
    </w:p>
  </w:footnote>
  <w:footnote w:id="332">
    <w:p w14:paraId="1698D034" w14:textId="2D6243F3" w:rsidR="003C0AC1" w:rsidRPr="00D22834" w:rsidRDefault="003C0AC1" w:rsidP="00AC57EA">
      <w:pPr>
        <w:tabs>
          <w:tab w:val="left" w:pos="540"/>
        </w:tabs>
        <w:spacing w:after="60" w:line="240" w:lineRule="auto"/>
        <w:rPr>
          <w:i/>
          <w:sz w:val="16"/>
          <w:szCs w:val="16"/>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Case of Apitz Barbera et al. (“First Contentious Administrative Court”) v. Venezuela, supra</w:t>
      </w:r>
      <w:r w:rsidRPr="00AC57EA">
        <w:rPr>
          <w:sz w:val="16"/>
          <w:szCs w:val="16"/>
          <w:lang w:val="en-US"/>
        </w:rPr>
        <w:t xml:space="preserve">, para. 78, and </w:t>
      </w:r>
      <w:r w:rsidRPr="00AC57EA">
        <w:rPr>
          <w:i/>
          <w:sz w:val="16"/>
          <w:szCs w:val="16"/>
          <w:lang w:val="en-US"/>
        </w:rPr>
        <w:t>Case of the Dismissed Employees of PetroPerú et al. v. Peru, supra</w:t>
      </w:r>
      <w:r w:rsidRPr="00AC57EA">
        <w:rPr>
          <w:sz w:val="16"/>
          <w:szCs w:val="16"/>
          <w:lang w:val="en-US"/>
        </w:rPr>
        <w:t xml:space="preserve">, para. </w:t>
      </w:r>
      <w:r w:rsidRPr="00D22834">
        <w:rPr>
          <w:sz w:val="16"/>
          <w:szCs w:val="16"/>
        </w:rPr>
        <w:t>168.</w:t>
      </w:r>
    </w:p>
  </w:footnote>
  <w:footnote w:id="333">
    <w:p w14:paraId="7F78169B" w14:textId="6DDFAA68" w:rsidR="003C0AC1" w:rsidRPr="00AC57EA" w:rsidRDefault="003C0AC1" w:rsidP="00AC57EA">
      <w:pPr>
        <w:pStyle w:val="Textonotapie"/>
        <w:tabs>
          <w:tab w:val="left" w:pos="540"/>
        </w:tabs>
        <w:spacing w:after="60"/>
        <w:rPr>
          <w:b/>
          <w:sz w:val="16"/>
          <w:szCs w:val="16"/>
          <w:lang w:val="en-US"/>
        </w:rPr>
      </w:pPr>
      <w:r w:rsidRPr="00AC57EA">
        <w:rPr>
          <w:rStyle w:val="Refdenotaalpie"/>
          <w:sz w:val="16"/>
          <w:szCs w:val="16"/>
          <w:lang w:val="en-US"/>
        </w:rPr>
        <w:footnoteRef/>
      </w:r>
      <w:r w:rsidRPr="00AC57EA">
        <w:rPr>
          <w:sz w:val="16"/>
          <w:szCs w:val="16"/>
          <w:lang w:val="es-CR"/>
        </w:rPr>
        <w:t xml:space="preserve"> </w:t>
      </w:r>
      <w:r w:rsidRPr="00AC57EA">
        <w:rPr>
          <w:sz w:val="16"/>
          <w:szCs w:val="16"/>
          <w:lang w:val="es-CR"/>
        </w:rPr>
        <w:tab/>
      </w:r>
      <w:r w:rsidRPr="00AC57EA">
        <w:rPr>
          <w:rFonts w:cs="Courier New"/>
          <w:i/>
          <w:sz w:val="16"/>
          <w:szCs w:val="16"/>
          <w:lang w:val="es-CR"/>
        </w:rPr>
        <w:t>Case of Chaparro Álvarez and Lapo Íñiguez v. Ecuador, supra</w:t>
      </w:r>
      <w:r w:rsidRPr="00AC57EA">
        <w:rPr>
          <w:sz w:val="16"/>
          <w:szCs w:val="16"/>
          <w:lang w:val="es-CR"/>
        </w:rPr>
        <w:t xml:space="preserve">, para. </w:t>
      </w:r>
      <w:r w:rsidRPr="00AC57EA">
        <w:rPr>
          <w:sz w:val="16"/>
          <w:szCs w:val="16"/>
          <w:lang w:val="en-US"/>
        </w:rPr>
        <w:t xml:space="preserve">118, and </w:t>
      </w:r>
      <w:r w:rsidRPr="00AC57EA">
        <w:rPr>
          <w:rStyle w:val="Textoennegrita"/>
          <w:b w:val="0"/>
          <w:i/>
          <w:sz w:val="16"/>
          <w:szCs w:val="16"/>
          <w:shd w:val="clear" w:color="auto" w:fill="FFFFFF"/>
          <w:lang w:val="en-US"/>
        </w:rPr>
        <w:t>Case of Zegarra Marín v. Peru, supra</w:t>
      </w:r>
      <w:r w:rsidRPr="00AC57EA">
        <w:rPr>
          <w:rStyle w:val="Textoennegrita"/>
          <w:b w:val="0"/>
          <w:sz w:val="16"/>
          <w:szCs w:val="16"/>
          <w:shd w:val="clear" w:color="auto" w:fill="FFFFFF"/>
          <w:lang w:val="en-US"/>
        </w:rPr>
        <w:t>, paras. 147 and 155.</w:t>
      </w:r>
    </w:p>
  </w:footnote>
  <w:footnote w:id="334">
    <w:p w14:paraId="3D083DF6" w14:textId="75B28AD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eastAsiaTheme="minorHAnsi" w:cstheme="minorBidi"/>
          <w:i/>
          <w:sz w:val="16"/>
          <w:szCs w:val="16"/>
          <w:lang w:val="en-US" w:eastAsia="en-US"/>
        </w:rPr>
        <w:t>Cf. Case of Apitz Barbera et al. (“First Contentious Administrative Court”) v. Venezuela, supra</w:t>
      </w:r>
      <w:r w:rsidRPr="00AC57EA">
        <w:rPr>
          <w:rFonts w:eastAsiaTheme="minorHAnsi" w:cstheme="minorBidi"/>
          <w:sz w:val="16"/>
          <w:szCs w:val="16"/>
          <w:lang w:val="en-US" w:eastAsia="en-US"/>
        </w:rPr>
        <w:t xml:space="preserve">, para. 90, and </w:t>
      </w:r>
      <w:r w:rsidRPr="00AC57EA">
        <w:rPr>
          <w:i/>
          <w:sz w:val="16"/>
          <w:szCs w:val="16"/>
          <w:lang w:val="en-US"/>
        </w:rPr>
        <w:t>Case of Zegarra Marín v. Peru, supra</w:t>
      </w:r>
      <w:r w:rsidRPr="00AC57EA">
        <w:rPr>
          <w:sz w:val="16"/>
          <w:szCs w:val="16"/>
          <w:lang w:val="en-US"/>
        </w:rPr>
        <w:t>, para. 178.</w:t>
      </w:r>
    </w:p>
  </w:footnote>
  <w:footnote w:id="335">
    <w:p w14:paraId="003DE9F3" w14:textId="432FF2CB" w:rsidR="003C0AC1" w:rsidRPr="00AC57EA" w:rsidRDefault="003C0AC1" w:rsidP="00AC57EA">
      <w:pPr>
        <w:pStyle w:val="Textonotapie"/>
        <w:tabs>
          <w:tab w:val="left" w:pos="540"/>
        </w:tabs>
        <w:spacing w:after="60"/>
        <w:rPr>
          <w:b/>
          <w:sz w:val="16"/>
          <w:szCs w:val="16"/>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sz w:val="16"/>
          <w:szCs w:val="16"/>
          <w:lang w:val="en-US"/>
        </w:rPr>
        <w:t xml:space="preserve">Cf. </w:t>
      </w:r>
      <w:r w:rsidRPr="00D22834">
        <w:rPr>
          <w:rStyle w:val="Textoennegrita"/>
          <w:b w:val="0"/>
          <w:i/>
          <w:sz w:val="16"/>
          <w:szCs w:val="16"/>
          <w:shd w:val="clear" w:color="auto" w:fill="FFFFFF"/>
          <w:lang w:val="en-US"/>
        </w:rPr>
        <w:t>Case of Zegarra Marín v. Peru, supra</w:t>
      </w:r>
      <w:r w:rsidRPr="00D22834">
        <w:rPr>
          <w:rStyle w:val="Textoennegrita"/>
          <w:b w:val="0"/>
          <w:sz w:val="16"/>
          <w:szCs w:val="16"/>
          <w:shd w:val="clear" w:color="auto" w:fill="FFFFFF"/>
          <w:lang w:val="en-US"/>
        </w:rPr>
        <w:t xml:space="preserve">, paras. </w:t>
      </w:r>
      <w:r w:rsidRPr="00AC57EA">
        <w:rPr>
          <w:rStyle w:val="Textoennegrita"/>
          <w:b w:val="0"/>
          <w:sz w:val="16"/>
          <w:szCs w:val="16"/>
          <w:shd w:val="clear" w:color="auto" w:fill="FFFFFF"/>
          <w:lang w:val="en-US"/>
        </w:rPr>
        <w:t>147 and 155.</w:t>
      </w:r>
    </w:p>
  </w:footnote>
  <w:footnote w:id="336">
    <w:p w14:paraId="6244D21D" w14:textId="1EC0377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Nevertheless, comparative law includes the experiences of Switzerland and Spain, which require the jury to provide the reasons for their verdict. </w:t>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w:t>
      </w:r>
      <w:r w:rsidRPr="00AC57EA">
        <w:rPr>
          <w:sz w:val="16"/>
          <w:szCs w:val="16"/>
          <w:lang w:val="en-US"/>
        </w:rPr>
        <w:t xml:space="preserve"> </w:t>
      </w:r>
      <w:r w:rsidRPr="00AC57EA">
        <w:rPr>
          <w:i/>
          <w:sz w:val="16"/>
          <w:szCs w:val="16"/>
          <w:lang w:val="en-US" w:eastAsia="en-US"/>
        </w:rPr>
        <w:t>Taxquet v. Belgium</w:t>
      </w:r>
      <w:r w:rsidRPr="00AC57EA" w:rsidDel="00FD5E2A">
        <w:rPr>
          <w:sz w:val="16"/>
          <w:szCs w:val="16"/>
          <w:lang w:val="en-US"/>
        </w:rPr>
        <w:t xml:space="preserve"> </w:t>
      </w:r>
      <w:r w:rsidRPr="00AC57EA">
        <w:rPr>
          <w:sz w:val="16"/>
          <w:szCs w:val="16"/>
          <w:lang w:val="en-US"/>
        </w:rPr>
        <w:t xml:space="preserve">[GS], </w:t>
      </w:r>
      <w:r w:rsidRPr="00AC57EA">
        <w:rPr>
          <w:i/>
          <w:sz w:val="16"/>
          <w:szCs w:val="16"/>
          <w:lang w:val="en-US"/>
        </w:rPr>
        <w:t>supra</w:t>
      </w:r>
      <w:r w:rsidRPr="00AC57EA">
        <w:rPr>
          <w:sz w:val="16"/>
          <w:szCs w:val="16"/>
          <w:lang w:val="en-US"/>
        </w:rPr>
        <w:t>, paras. 56 to 58.</w:t>
      </w:r>
    </w:p>
  </w:footnote>
  <w:footnote w:id="337">
    <w:p w14:paraId="053D7D47" w14:textId="1D4DDA6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 Saric v. Denmark</w:t>
      </w:r>
      <w:r w:rsidRPr="00AC57EA">
        <w:rPr>
          <w:sz w:val="16"/>
          <w:szCs w:val="16"/>
          <w:lang w:val="en-US"/>
        </w:rPr>
        <w:t>, No. 31913/96. Admissibility decision of February 2, 1999, pp. 14 and 15.</w:t>
      </w:r>
    </w:p>
  </w:footnote>
  <w:footnote w:id="338">
    <w:p w14:paraId="22FBCD62" w14:textId="573C764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650.1 of the Criminal Code of Canada.</w:t>
      </w:r>
    </w:p>
  </w:footnote>
  <w:footnote w:id="339">
    <w:p w14:paraId="3102F21C" w14:textId="1ADF6A8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Rule 30 of the Federal Rules of Criminal Procedure of the United States of America.</w:t>
      </w:r>
    </w:p>
  </w:footnote>
  <w:footnote w:id="340">
    <w:p w14:paraId="590ED6EA" w14:textId="127399F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194, 298, 316, 317 and 318 of Law No. 406, Criminal Procedure Code of the Republic of Nicaragua.</w:t>
      </w:r>
    </w:p>
  </w:footnote>
  <w:footnote w:id="341">
    <w:p w14:paraId="2957B86F" w14:textId="2D6D521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2358.8 and 2358(1)2 of the Judicial Code of the Republic of Panama.</w:t>
      </w:r>
    </w:p>
  </w:footnote>
  <w:footnote w:id="342">
    <w:p w14:paraId="254B439B" w14:textId="63C29EC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411 of the Criminal Procedure Code of El Salvador.</w:t>
      </w:r>
    </w:p>
  </w:footnote>
  <w:footnote w:id="343">
    <w:p w14:paraId="536D5D83" w14:textId="181E158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371 bis and 371 ter of the Criminal Procedure Code of the province of Buenos Aires (Provincial Law No. 11,922 and amendments). Article 210 establishes that the decision of the jury is based on their firm conviction; however, its Article 106 adds that: “[i]n the case of trial by jury, the judge’s instructions to the jury constitute full and sufficient motivation of the verdict.”</w:t>
      </w:r>
    </w:p>
  </w:footnote>
  <w:footnote w:id="344">
    <w:p w14:paraId="25A93A04" w14:textId="76B1F4B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53 and 68 to 71 of Chaco Provincial Law No. 7661. Also, article 92 establishes that “[t]he judgment shall be in accordance with the rules of the Criminal Procedure Code of the province of Chaco, with the following amendment: instead of the grounds for the decision on the proven facts, the guilt of the accused and the legal definition, it shall contain the transcript of the instructions given to the jury on the provisions applicable to the case and the verdict of the jury.” Also, article 83 established that: “[i]f the verdict is so flawed that the judge is unable to determine the jury’s intention to acquit or to convict the accused of the offense for which the accused could be convicted based on the charges, the judge, having obtained the opinion of the parties, may instruct the jury to reconsider the said verdict and express its intention clearly. However, if the jury persists in giving a flawed verdict, that verdict shall be accepted and the judge shall issue an acquittal.”</w:t>
      </w:r>
    </w:p>
  </w:footnote>
  <w:footnote w:id="345">
    <w:p w14:paraId="6823739B" w14:textId="2405045E" w:rsidR="003C0AC1" w:rsidRPr="00AC57EA" w:rsidRDefault="003C0AC1" w:rsidP="00AC57EA">
      <w:pPr>
        <w:pStyle w:val="Textonotapie"/>
        <w:tabs>
          <w:tab w:val="left" w:pos="0"/>
          <w:tab w:val="left" w:pos="540"/>
        </w:tabs>
        <w:spacing w:after="60"/>
        <w:rPr>
          <w:sz w:val="16"/>
          <w:szCs w:val="16"/>
          <w:lang w:val="en-US"/>
        </w:rPr>
      </w:pPr>
      <w:r w:rsidRPr="00AC57EA">
        <w:rPr>
          <w:rStyle w:val="Refdenotaalpie"/>
          <w:rFonts w:eastAsiaTheme="majorEastAsia"/>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205 and 206 of Law No. 2784, Criminal Procedure Code of the province of Neuquén.</w:t>
      </w:r>
    </w:p>
  </w:footnote>
  <w:footnote w:id="346">
    <w:p w14:paraId="7F9033DB" w14:textId="1548D0B0"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201 and 202 of the Criminal Procedure Code of Río Negro.</w:t>
      </w:r>
    </w:p>
  </w:footnote>
  <w:footnote w:id="347">
    <w:p w14:paraId="3316FE71" w14:textId="7FF1481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2374 to 2377 of the Judicial Code of the Republic of Panama.</w:t>
      </w:r>
    </w:p>
  </w:footnote>
  <w:footnote w:id="348">
    <w:p w14:paraId="142BF591" w14:textId="306F4F8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375 bis of the Criminal Procedure Code of the province of Buenos Aires (Provincial Law No. 11,922 and amendments).</w:t>
      </w:r>
    </w:p>
  </w:footnote>
  <w:footnote w:id="349">
    <w:p w14:paraId="75787E36" w14:textId="3DABE86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2344.3 of the Judicial Code of the Republic of Panama.</w:t>
      </w:r>
    </w:p>
  </w:footnote>
  <w:footnote w:id="350">
    <w:p w14:paraId="2A8EC2D9" w14:textId="3FD2926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34 to 40 and 43 of Chaco Provincial Law No. 7661. Article 29.2 of this law also establishes, as a guarantee of civic representation, that “[w]hen the jury must be composed of men and women of the indigenous peoples, half of those summoned to the hearing as potential jurors shall be members of the respective indigenous people.”</w:t>
      </w:r>
    </w:p>
  </w:footnote>
  <w:footnote w:id="351">
    <w:p w14:paraId="41D5C198" w14:textId="6E0F1C5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18, 23 and 24 of Córdoba Provincial Law No. 9182.</w:t>
      </w:r>
    </w:p>
  </w:footnote>
  <w:footnote w:id="352">
    <w:p w14:paraId="00E2D342" w14:textId="446DA2A7"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194.3 of the Criminal Procedure Code of Río Negro.</w:t>
      </w:r>
    </w:p>
  </w:footnote>
  <w:footnote w:id="353">
    <w:p w14:paraId="4070B7FD" w14:textId="79C4DCC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Rule 24 of the Federal Rules of Criminal Procedure of the United States of America.</w:t>
      </w:r>
    </w:p>
  </w:footnote>
  <w:footnote w:id="354">
    <w:p w14:paraId="3F4F4199" w14:textId="17D6DE8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296 of Law No. 406, Criminal Procedure Code of the Republic of Nicaragua.</w:t>
      </w:r>
    </w:p>
  </w:footnote>
  <w:footnote w:id="355">
    <w:p w14:paraId="5E945882" w14:textId="704B839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338 quáter of the Criminal Procedure Code of the province of Buenos Aires (Provincial Law No. 11,922 and amendments).</w:t>
      </w:r>
    </w:p>
  </w:footnote>
  <w:footnote w:id="356">
    <w:p w14:paraId="7C144977" w14:textId="0D74A45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23, 26, 32, 33 and 34 of Chaco Provincial Law No. 7661.</w:t>
      </w:r>
    </w:p>
  </w:footnote>
  <w:footnote w:id="357">
    <w:p w14:paraId="31535D0E" w14:textId="2A24E86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197 and 198 of the Criminal Procedure Code of the province of Neuquén (Provincial Law No. 2784). Article 198.6 establishes, as a guarantee of diversity, that “[t]he jury shall be composed, including substitutes, by an equal number of men and women. An attempt shall be made to ensure, at a minimum, that half the jury belong to the same social and cultural environment as the accused. Also, insofar as possible, an attempt shall be made to ensure that the jury includes older persons, adults and young people.”</w:t>
      </w:r>
    </w:p>
  </w:footnote>
  <w:footnote w:id="358">
    <w:p w14:paraId="701E9F17" w14:textId="1475798D"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194.3 of the Criminal Procedure Code of Río Negro.</w:t>
      </w:r>
    </w:p>
  </w:footnote>
  <w:footnote w:id="359">
    <w:p w14:paraId="6625C19E" w14:textId="444AF63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Articles 33 and 34 of Chaco Provincial Law No. 7661.</w:t>
      </w:r>
    </w:p>
  </w:footnote>
  <w:footnote w:id="360">
    <w:p w14:paraId="5181BAF1" w14:textId="5ABF9C0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Rule 31.d of the Federal Rules of Criminal Procedure of the United States of America.</w:t>
      </w:r>
    </w:p>
  </w:footnote>
  <w:footnote w:id="361">
    <w:p w14:paraId="78ED82A5" w14:textId="1517094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85 of the Chaco Provincial Law No. 7661.</w:t>
      </w:r>
    </w:p>
  </w:footnote>
  <w:footnote w:id="362">
    <w:p w14:paraId="4AB9DEA4" w14:textId="15E5312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Article 51 of Córdoba Law No. 9182.</w:t>
      </w:r>
    </w:p>
  </w:footnote>
  <w:footnote w:id="363">
    <w:p w14:paraId="579F063B" w14:textId="4E97A03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 Lhermitte v. Belgium</w:t>
      </w:r>
      <w:r w:rsidRPr="00AC57EA">
        <w:rPr>
          <w:sz w:val="16"/>
          <w:szCs w:val="16"/>
          <w:lang w:val="en-US"/>
        </w:rPr>
        <w:t>, No. 34238/09. Judgment of November 29, 2016, para. 80.</w:t>
      </w:r>
    </w:p>
  </w:footnote>
  <w:footnote w:id="364">
    <w:p w14:paraId="0ABED84F" w14:textId="402343D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EHCR, </w:t>
      </w:r>
      <w:r w:rsidRPr="00AC57EA">
        <w:rPr>
          <w:i/>
          <w:sz w:val="16"/>
          <w:szCs w:val="16"/>
          <w:lang w:val="en-US"/>
        </w:rPr>
        <w:t>Case of</w:t>
      </w:r>
      <w:r w:rsidRPr="00AC57EA">
        <w:rPr>
          <w:sz w:val="16"/>
          <w:szCs w:val="16"/>
          <w:lang w:val="en-US"/>
        </w:rPr>
        <w:t xml:space="preserve"> </w:t>
      </w:r>
      <w:r w:rsidRPr="00AC57EA">
        <w:rPr>
          <w:i/>
          <w:sz w:val="16"/>
          <w:szCs w:val="16"/>
          <w:lang w:val="en-US" w:eastAsia="en-US"/>
        </w:rPr>
        <w:t>Taxquet v. Belgium</w:t>
      </w:r>
      <w:r w:rsidRPr="00AC57EA" w:rsidDel="00FD5E2A">
        <w:rPr>
          <w:sz w:val="16"/>
          <w:szCs w:val="16"/>
          <w:lang w:val="en-US"/>
        </w:rPr>
        <w:t xml:space="preserve"> </w:t>
      </w:r>
      <w:r w:rsidRPr="00AC57EA">
        <w:rPr>
          <w:sz w:val="16"/>
          <w:szCs w:val="16"/>
          <w:lang w:val="en-US"/>
        </w:rPr>
        <w:t xml:space="preserve">[GS], </w:t>
      </w:r>
      <w:r w:rsidRPr="00AC57EA">
        <w:rPr>
          <w:i/>
          <w:sz w:val="16"/>
          <w:szCs w:val="16"/>
          <w:lang w:val="en-US"/>
        </w:rPr>
        <w:t>supra</w:t>
      </w:r>
      <w:r w:rsidRPr="00AC57EA">
        <w:rPr>
          <w:sz w:val="16"/>
          <w:szCs w:val="16"/>
          <w:lang w:val="en-US"/>
        </w:rPr>
        <w:t>, para. 93.</w:t>
      </w:r>
    </w:p>
  </w:footnote>
  <w:footnote w:id="365">
    <w:p w14:paraId="567CFE21" w14:textId="6D30E32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EHCR, </w:t>
      </w:r>
      <w:r w:rsidRPr="00AC57EA">
        <w:rPr>
          <w:i/>
          <w:sz w:val="16"/>
          <w:szCs w:val="16"/>
          <w:lang w:val="en-US"/>
        </w:rPr>
        <w:t>Case of</w:t>
      </w:r>
      <w:r w:rsidRPr="00AC57EA">
        <w:rPr>
          <w:sz w:val="16"/>
          <w:szCs w:val="16"/>
          <w:lang w:val="en-US"/>
        </w:rPr>
        <w:t xml:space="preserve"> </w:t>
      </w:r>
      <w:r w:rsidRPr="00AC57EA">
        <w:rPr>
          <w:i/>
          <w:sz w:val="16"/>
          <w:szCs w:val="16"/>
          <w:lang w:val="en-US" w:eastAsia="en-US"/>
        </w:rPr>
        <w:t>Taxquet v. Belgium</w:t>
      </w:r>
      <w:r w:rsidRPr="00AC57EA" w:rsidDel="00FD5E2A">
        <w:rPr>
          <w:sz w:val="16"/>
          <w:szCs w:val="16"/>
          <w:lang w:val="en-US"/>
        </w:rPr>
        <w:t xml:space="preserve"> </w:t>
      </w:r>
      <w:r w:rsidRPr="00AC57EA">
        <w:rPr>
          <w:sz w:val="16"/>
          <w:szCs w:val="16"/>
          <w:lang w:val="en-US"/>
        </w:rPr>
        <w:t xml:space="preserve">[GS], </w:t>
      </w:r>
      <w:r w:rsidRPr="00AC57EA">
        <w:rPr>
          <w:i/>
          <w:sz w:val="16"/>
          <w:szCs w:val="16"/>
          <w:lang w:val="en-US"/>
        </w:rPr>
        <w:t>supra</w:t>
      </w:r>
      <w:r w:rsidRPr="00AC57EA">
        <w:rPr>
          <w:sz w:val="16"/>
          <w:szCs w:val="16"/>
          <w:lang w:val="en-US"/>
        </w:rPr>
        <w:t>, para. 90, 91 and 92.</w:t>
      </w:r>
    </w:p>
  </w:footnote>
  <w:footnote w:id="366">
    <w:p w14:paraId="142E1102" w14:textId="6E9B0AC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Rebuttal presented on January 29, 2003 (evidence file, volume XX, annex 7.a of the helpful evidence, folios 9666 to 9669).</w:t>
      </w:r>
    </w:p>
  </w:footnote>
  <w:footnote w:id="367">
    <w:p w14:paraId="464F251C" w14:textId="68B4462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Case of Fairén Garbi and Solís Corrales v. Honduras. Preliminary objections</w:t>
      </w:r>
      <w:r w:rsidRPr="00AC57EA">
        <w:rPr>
          <w:iCs/>
          <w:sz w:val="16"/>
          <w:szCs w:val="16"/>
          <w:lang w:val="en-US"/>
        </w:rPr>
        <w:t xml:space="preserve">. Judgment of June 26, 1987. </w:t>
      </w:r>
      <w:r w:rsidRPr="00AC57EA">
        <w:rPr>
          <w:iCs/>
          <w:sz w:val="16"/>
          <w:szCs w:val="16"/>
          <w:lang w:val="es-CR"/>
        </w:rPr>
        <w:t>Series C No. 2, para. 90,</w:t>
      </w:r>
      <w:r w:rsidRPr="00AC57EA">
        <w:rPr>
          <w:sz w:val="16"/>
          <w:szCs w:val="16"/>
          <w:lang w:val="es-CR"/>
        </w:rPr>
        <w:t xml:space="preserve"> and </w:t>
      </w:r>
      <w:r w:rsidRPr="00AC57EA">
        <w:rPr>
          <w:i/>
          <w:sz w:val="16"/>
          <w:szCs w:val="16"/>
          <w:lang w:val="es-CR"/>
        </w:rPr>
        <w:t>Case of Pacheco León et al. v. Honduras, supra</w:t>
      </w:r>
      <w:r w:rsidRPr="00AC57EA">
        <w:rPr>
          <w:iCs/>
          <w:sz w:val="16"/>
          <w:szCs w:val="16"/>
          <w:lang w:val="es-CR"/>
        </w:rPr>
        <w:t xml:space="preserve">, para. </w:t>
      </w:r>
      <w:r w:rsidRPr="00AC57EA">
        <w:rPr>
          <w:iCs/>
          <w:sz w:val="16"/>
          <w:szCs w:val="16"/>
          <w:lang w:val="en-US"/>
        </w:rPr>
        <w:t>118.</w:t>
      </w:r>
    </w:p>
  </w:footnote>
  <w:footnote w:id="368">
    <w:p w14:paraId="654F8387" w14:textId="06994B83"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iCs/>
          <w:sz w:val="16"/>
          <w:szCs w:val="16"/>
          <w:lang w:val="en-US"/>
        </w:rPr>
        <w:t>Cf. Case of Suárez Rosero v. Ecuador. Merits</w:t>
      </w:r>
      <w:r w:rsidRPr="00AC57EA">
        <w:rPr>
          <w:sz w:val="16"/>
          <w:szCs w:val="16"/>
          <w:lang w:val="en-US"/>
        </w:rPr>
        <w:t xml:space="preserve">. Judgment of November 12, 1997. Series C No. 35, para. 71, and </w:t>
      </w:r>
      <w:r w:rsidRPr="00AC57EA">
        <w:rPr>
          <w:i/>
          <w:sz w:val="16"/>
          <w:szCs w:val="16"/>
          <w:lang w:val="en-US"/>
        </w:rPr>
        <w:t>Case of Wong Ho Wing v. Peru, supra</w:t>
      </w:r>
      <w:r w:rsidRPr="00AC57EA">
        <w:rPr>
          <w:sz w:val="16"/>
          <w:szCs w:val="16"/>
          <w:lang w:val="en-US"/>
        </w:rPr>
        <w:t>, para. 209.</w:t>
      </w:r>
    </w:p>
  </w:footnote>
  <w:footnote w:id="369">
    <w:p w14:paraId="3675C283" w14:textId="715A92CE" w:rsidR="003C0AC1" w:rsidRPr="00AC57EA" w:rsidRDefault="003C0AC1" w:rsidP="00AC57EA">
      <w:pPr>
        <w:tabs>
          <w:tab w:val="left" w:pos="540"/>
        </w:tabs>
        <w:spacing w:after="60" w:line="240" w:lineRule="auto"/>
        <w:rPr>
          <w:sz w:val="16"/>
          <w:szCs w:val="16"/>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Case of Hilaire, Constantine and Benjamin et al. v. Trinidad and Tobago. Merits, reparations and costs</w:t>
      </w:r>
      <w:r w:rsidRPr="00AC57EA">
        <w:rPr>
          <w:iCs/>
          <w:sz w:val="16"/>
          <w:szCs w:val="16"/>
          <w:lang w:val="en-US"/>
        </w:rPr>
        <w:t>. Judgment of June 21, 2002. Series C No. 94</w:t>
      </w:r>
      <w:r w:rsidRPr="00AC57EA">
        <w:rPr>
          <w:sz w:val="16"/>
          <w:szCs w:val="16"/>
          <w:lang w:val="en-US"/>
        </w:rPr>
        <w:t xml:space="preserve">, para. </w:t>
      </w:r>
      <w:r w:rsidRPr="00AC57EA">
        <w:rPr>
          <w:sz w:val="16"/>
          <w:szCs w:val="16"/>
        </w:rPr>
        <w:t xml:space="preserve">145, and </w:t>
      </w:r>
      <w:r w:rsidRPr="00AC57EA">
        <w:rPr>
          <w:i/>
          <w:sz w:val="16"/>
          <w:szCs w:val="16"/>
        </w:rPr>
        <w:t xml:space="preserve">Case of Acosta et al. v. Nicaragua, supra, </w:t>
      </w:r>
      <w:r w:rsidRPr="00AC57EA">
        <w:rPr>
          <w:sz w:val="16"/>
          <w:szCs w:val="16"/>
        </w:rPr>
        <w:t>para. 177.</w:t>
      </w:r>
    </w:p>
  </w:footnote>
  <w:footnote w:id="370">
    <w:p w14:paraId="5EB3E7B7" w14:textId="5F23E402" w:rsidR="003C0AC1" w:rsidRPr="00AC57EA" w:rsidRDefault="003C0AC1" w:rsidP="00AC57EA">
      <w:pPr>
        <w:pStyle w:val="Textonotapie"/>
        <w:tabs>
          <w:tab w:val="left" w:pos="540"/>
        </w:tabs>
        <w:spacing w:after="60"/>
        <w:rPr>
          <w:rFonts w:eastAsia="Batang" w:cs="Times"/>
          <w:sz w:val="16"/>
          <w:szCs w:val="16"/>
          <w:lang w:val="en-US" w:eastAsia="en-US"/>
        </w:rPr>
      </w:pPr>
      <w:r w:rsidRPr="00AC57EA">
        <w:rPr>
          <w:rStyle w:val="Refdenotaalpie"/>
          <w:rFonts w:eastAsia="MS ????"/>
          <w:sz w:val="16"/>
          <w:szCs w:val="16"/>
          <w:lang w:val="en-US"/>
        </w:rPr>
        <w:footnoteRef/>
      </w:r>
      <w:r w:rsidRPr="00AC57EA">
        <w:rPr>
          <w:sz w:val="16"/>
          <w:szCs w:val="16"/>
          <w:lang w:val="es-CR"/>
        </w:rPr>
        <w:t xml:space="preserve"> </w:t>
      </w:r>
      <w:r w:rsidRPr="00AC57EA">
        <w:rPr>
          <w:sz w:val="16"/>
          <w:szCs w:val="16"/>
          <w:lang w:val="es-CR"/>
        </w:rPr>
        <w:tab/>
      </w:r>
      <w:r w:rsidRPr="00AC57EA">
        <w:rPr>
          <w:i/>
          <w:iCs/>
          <w:sz w:val="16"/>
          <w:szCs w:val="16"/>
          <w:lang w:val="es-CR"/>
        </w:rPr>
        <w:t xml:space="preserve">Cf. Case of </w:t>
      </w:r>
      <w:r w:rsidRPr="00AC57EA">
        <w:rPr>
          <w:i/>
          <w:sz w:val="16"/>
          <w:szCs w:val="16"/>
          <w:lang w:val="es-CR"/>
        </w:rPr>
        <w:t>Suárez</w:t>
      </w:r>
      <w:r w:rsidRPr="00AC57EA">
        <w:rPr>
          <w:i/>
          <w:iCs/>
          <w:sz w:val="16"/>
          <w:szCs w:val="16"/>
          <w:lang w:val="es-CR"/>
        </w:rPr>
        <w:t xml:space="preserve"> Rosero v. Ecuador. Merits</w:t>
      </w:r>
      <w:r w:rsidRPr="00AC57EA">
        <w:rPr>
          <w:sz w:val="16"/>
          <w:szCs w:val="16"/>
          <w:lang w:val="es-CR"/>
        </w:rPr>
        <w:t xml:space="preserve">, </w:t>
      </w:r>
      <w:r w:rsidRPr="00AC57EA">
        <w:rPr>
          <w:i/>
          <w:sz w:val="16"/>
          <w:szCs w:val="16"/>
          <w:lang w:val="es-CR"/>
        </w:rPr>
        <w:t>supra</w:t>
      </w:r>
      <w:r w:rsidRPr="00AC57EA">
        <w:rPr>
          <w:sz w:val="16"/>
          <w:szCs w:val="16"/>
          <w:lang w:val="es-CR"/>
        </w:rPr>
        <w:t xml:space="preserve">, para. </w:t>
      </w:r>
      <w:r w:rsidRPr="00AC57EA">
        <w:rPr>
          <w:sz w:val="16"/>
          <w:szCs w:val="16"/>
          <w:lang w:val="en-US"/>
        </w:rPr>
        <w:t xml:space="preserve">71, and </w:t>
      </w:r>
      <w:r w:rsidRPr="00AC57EA">
        <w:rPr>
          <w:i/>
          <w:sz w:val="16"/>
          <w:szCs w:val="16"/>
          <w:lang w:val="en-US"/>
        </w:rPr>
        <w:t>Case of Pacheco León et al. v. Honduras, supra</w:t>
      </w:r>
      <w:r w:rsidRPr="00AC57EA">
        <w:rPr>
          <w:sz w:val="16"/>
          <w:szCs w:val="16"/>
          <w:lang w:val="en-US"/>
        </w:rPr>
        <w:t>, para. 159.</w:t>
      </w:r>
    </w:p>
  </w:footnote>
  <w:footnote w:id="371">
    <w:p w14:paraId="36CD464D" w14:textId="3FAE252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t>
      </w:r>
      <w:r w:rsidRPr="00AC57EA">
        <w:rPr>
          <w:i/>
          <w:sz w:val="16"/>
          <w:szCs w:val="16"/>
          <w:lang w:val="en-US"/>
        </w:rPr>
        <w:t xml:space="preserve">Case of the Afrodescendant Communities Displaced from the Cacarica River Basin (Operation Genesis) v. Colombia. Preliminary objections, merits, reparations and costs. </w:t>
      </w:r>
      <w:r w:rsidRPr="00AC57EA">
        <w:rPr>
          <w:sz w:val="16"/>
          <w:szCs w:val="16"/>
          <w:lang w:val="en-US"/>
        </w:rPr>
        <w:t xml:space="preserve">Judgment of November 30, 2013. Series C No. 270, para. 403, and </w:t>
      </w:r>
      <w:r w:rsidRPr="00AC57EA">
        <w:rPr>
          <w:i/>
          <w:sz w:val="16"/>
          <w:szCs w:val="16"/>
          <w:lang w:val="en-US"/>
        </w:rPr>
        <w:t xml:space="preserve">Case of Vereda La Esperanza v. Colombia. Preliminary objections, merits, reparations and costs. </w:t>
      </w:r>
      <w:r w:rsidRPr="00AC57EA">
        <w:rPr>
          <w:sz w:val="16"/>
          <w:szCs w:val="16"/>
          <w:lang w:val="en-US"/>
        </w:rPr>
        <w:t>Judgment of August 31, 2017. Series C No. 341, para. 194.</w:t>
      </w:r>
    </w:p>
  </w:footnote>
  <w:footnote w:id="372">
    <w:p w14:paraId="4FC66B53" w14:textId="28E053B6"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Case of Genie Lacayo v. Nicaragua</w:t>
      </w:r>
      <w:r w:rsidRPr="00AC57EA">
        <w:rPr>
          <w:sz w:val="16"/>
          <w:szCs w:val="16"/>
          <w:lang w:val="en-US"/>
        </w:rPr>
        <w:t xml:space="preserve">. </w:t>
      </w:r>
      <w:r w:rsidRPr="00AC57EA">
        <w:rPr>
          <w:i/>
          <w:sz w:val="16"/>
          <w:szCs w:val="16"/>
          <w:lang w:val="en-US"/>
        </w:rPr>
        <w:t>Merits, reparations and costs.</w:t>
      </w:r>
      <w:r w:rsidRPr="00AC57EA">
        <w:rPr>
          <w:sz w:val="16"/>
          <w:szCs w:val="16"/>
          <w:lang w:val="en-US"/>
        </w:rPr>
        <w:t xml:space="preserve"> Judgment of January 29, 1997. Series C No. 30, para. 77, and </w:t>
      </w:r>
      <w:r w:rsidRPr="00AC57EA">
        <w:rPr>
          <w:i/>
          <w:sz w:val="16"/>
          <w:szCs w:val="16"/>
          <w:lang w:val="en-US"/>
        </w:rPr>
        <w:t>Case of the Dismissed Employees of PetroPerú et al. v. Peru, supra</w:t>
      </w:r>
      <w:r w:rsidRPr="00AC57EA">
        <w:rPr>
          <w:sz w:val="16"/>
          <w:szCs w:val="16"/>
          <w:lang w:val="en-US"/>
        </w:rPr>
        <w:t>, para. 182.</w:t>
      </w:r>
    </w:p>
  </w:footnote>
  <w:footnote w:id="373">
    <w:p w14:paraId="4F42673D" w14:textId="6A2F5A96" w:rsidR="003C0AC1" w:rsidRPr="00D22834" w:rsidRDefault="003C0AC1" w:rsidP="00AC57EA">
      <w:pPr>
        <w:pStyle w:val="Textonotapie"/>
        <w:tabs>
          <w:tab w:val="left" w:pos="540"/>
          <w:tab w:val="left" w:pos="709"/>
        </w:tabs>
        <w:spacing w:after="60"/>
        <w:rPr>
          <w:rFonts w:eastAsiaTheme="minorHAnsi" w:cstheme="minorBidi"/>
          <w:sz w:val="16"/>
          <w:szCs w:val="16"/>
          <w:lang w:val="es-CR" w:eastAsia="en-US"/>
        </w:rPr>
      </w:pPr>
      <w:r w:rsidRPr="00AC57EA">
        <w:rPr>
          <w:rStyle w:val="Refdenotaalpie"/>
          <w:sz w:val="16"/>
          <w:szCs w:val="16"/>
          <w:lang w:val="en-US"/>
        </w:rPr>
        <w:footnoteRef/>
      </w:r>
      <w:r w:rsidRPr="00AC57EA">
        <w:rPr>
          <w:i/>
          <w:sz w:val="16"/>
          <w:szCs w:val="16"/>
          <w:lang w:val="en-US"/>
        </w:rPr>
        <w:t xml:space="preserve"> </w:t>
      </w:r>
      <w:r w:rsidRPr="00AC57EA">
        <w:rPr>
          <w:i/>
          <w:sz w:val="16"/>
          <w:szCs w:val="16"/>
          <w:lang w:val="en-US"/>
        </w:rPr>
        <w:tab/>
      </w:r>
      <w:r w:rsidRPr="00AC57EA">
        <w:rPr>
          <w:rFonts w:eastAsiaTheme="minorHAnsi" w:cstheme="minorBidi"/>
          <w:i/>
          <w:sz w:val="16"/>
          <w:szCs w:val="16"/>
          <w:lang w:val="en-US" w:eastAsia="en-US"/>
        </w:rPr>
        <w:t xml:space="preserve">Cf. Case of Anzualdo Castro v. Peru. Preliminary objection, merits, reparations and costs. </w:t>
      </w:r>
      <w:r w:rsidRPr="00AC57EA">
        <w:rPr>
          <w:rFonts w:eastAsiaTheme="minorHAnsi" w:cstheme="minorBidi"/>
          <w:sz w:val="16"/>
          <w:szCs w:val="16"/>
          <w:lang w:val="en-US" w:eastAsia="en-US"/>
        </w:rPr>
        <w:t>Judgment of September 22, 2009. Series C No. 202, para. 156,</w:t>
      </w:r>
      <w:r w:rsidRPr="00AC57EA">
        <w:rPr>
          <w:rFonts w:eastAsiaTheme="minorHAnsi" w:cstheme="minorBidi"/>
          <w:i/>
          <w:sz w:val="16"/>
          <w:szCs w:val="16"/>
          <w:lang w:val="en-US" w:eastAsia="en-US"/>
        </w:rPr>
        <w:t xml:space="preserve"> and </w:t>
      </w:r>
      <w:r w:rsidRPr="00AC57EA">
        <w:rPr>
          <w:i/>
          <w:sz w:val="16"/>
          <w:szCs w:val="16"/>
          <w:lang w:val="en-US"/>
        </w:rPr>
        <w:t>Case of the Dismissed Employees of PetroPerú et al. v. Peru, supra</w:t>
      </w:r>
      <w:r w:rsidRPr="00AC57EA">
        <w:rPr>
          <w:rFonts w:eastAsiaTheme="minorHAnsi" w:cstheme="minorBidi"/>
          <w:sz w:val="16"/>
          <w:szCs w:val="16"/>
          <w:lang w:val="en-US" w:eastAsia="en-US"/>
        </w:rPr>
        <w:t xml:space="preserve">, para. </w:t>
      </w:r>
      <w:r w:rsidRPr="00D22834">
        <w:rPr>
          <w:rFonts w:eastAsiaTheme="minorHAnsi" w:cstheme="minorBidi"/>
          <w:sz w:val="16"/>
          <w:szCs w:val="16"/>
          <w:lang w:val="es-CR" w:eastAsia="en-US"/>
        </w:rPr>
        <w:t>182.</w:t>
      </w:r>
    </w:p>
  </w:footnote>
  <w:footnote w:id="374">
    <w:p w14:paraId="493D2E79" w14:textId="77777777" w:rsidR="003C0AC1" w:rsidRPr="00AC57EA" w:rsidRDefault="003C0AC1" w:rsidP="00AC57EA">
      <w:pPr>
        <w:pStyle w:val="Textonotapie"/>
        <w:tabs>
          <w:tab w:val="left" w:pos="540"/>
          <w:tab w:val="left" w:pos="709"/>
        </w:tabs>
        <w:spacing w:after="60"/>
        <w:rPr>
          <w:rFonts w:eastAsiaTheme="minorHAnsi" w:cstheme="minorBidi"/>
          <w:sz w:val="16"/>
          <w:szCs w:val="16"/>
          <w:lang w:val="en-US" w:eastAsia="en-US"/>
        </w:rPr>
      </w:pPr>
      <w:r w:rsidRPr="00AC57EA">
        <w:rPr>
          <w:rStyle w:val="Refdenotaalpie"/>
          <w:sz w:val="16"/>
          <w:szCs w:val="16"/>
          <w:lang w:val="en-US"/>
        </w:rPr>
        <w:footnoteRef/>
      </w:r>
      <w:r w:rsidRPr="00AC57EA">
        <w:rPr>
          <w:sz w:val="16"/>
          <w:szCs w:val="16"/>
          <w:lang w:val="es-CR"/>
        </w:rPr>
        <w:t xml:space="preserve"> </w:t>
      </w:r>
      <w:r w:rsidRPr="00AC57EA">
        <w:rPr>
          <w:sz w:val="16"/>
          <w:szCs w:val="16"/>
          <w:lang w:val="es-CR"/>
        </w:rPr>
        <w:tab/>
      </w:r>
      <w:r w:rsidRPr="00AC57EA">
        <w:rPr>
          <w:rFonts w:eastAsiaTheme="minorHAnsi" w:cstheme="minorBidi"/>
          <w:i/>
          <w:sz w:val="16"/>
          <w:szCs w:val="16"/>
          <w:lang w:val="es-CR" w:eastAsia="en-US"/>
        </w:rPr>
        <w:t>Cf. Case of Genie Lacayo v. Nicaragua, supra</w:t>
      </w:r>
      <w:r w:rsidRPr="00AC57EA">
        <w:rPr>
          <w:rFonts w:eastAsiaTheme="minorHAnsi" w:cstheme="minorBidi"/>
          <w:sz w:val="16"/>
          <w:szCs w:val="16"/>
          <w:lang w:val="es-CR" w:eastAsia="en-US"/>
        </w:rPr>
        <w:t xml:space="preserve">, para. </w:t>
      </w:r>
      <w:r w:rsidRPr="00D22834">
        <w:rPr>
          <w:rFonts w:eastAsiaTheme="minorHAnsi" w:cstheme="minorBidi"/>
          <w:sz w:val="16"/>
          <w:szCs w:val="16"/>
          <w:lang w:val="es-CR" w:eastAsia="en-US"/>
        </w:rPr>
        <w:t xml:space="preserve">78, and </w:t>
      </w:r>
      <w:r w:rsidRPr="00D22834">
        <w:rPr>
          <w:rFonts w:eastAsiaTheme="minorHAnsi" w:cstheme="minorBidi"/>
          <w:i/>
          <w:sz w:val="16"/>
          <w:szCs w:val="16"/>
          <w:lang w:val="es-CR" w:eastAsia="en-US"/>
        </w:rPr>
        <w:t>Case of Pacheco León et al. v. Honduras, supra</w:t>
      </w:r>
      <w:r w:rsidRPr="00D22834">
        <w:rPr>
          <w:rFonts w:eastAsiaTheme="minorHAnsi" w:cstheme="minorBidi"/>
          <w:sz w:val="16"/>
          <w:szCs w:val="16"/>
          <w:lang w:val="es-CR" w:eastAsia="en-US"/>
        </w:rPr>
        <w:t xml:space="preserve">, para. </w:t>
      </w:r>
      <w:r w:rsidRPr="00AC57EA">
        <w:rPr>
          <w:rFonts w:eastAsiaTheme="minorHAnsi" w:cstheme="minorBidi"/>
          <w:sz w:val="16"/>
          <w:szCs w:val="16"/>
          <w:lang w:val="en-US" w:eastAsia="en-US"/>
        </w:rPr>
        <w:t>122.</w:t>
      </w:r>
    </w:p>
  </w:footnote>
  <w:footnote w:id="375">
    <w:p w14:paraId="49A7ABB6" w14:textId="6AF9D93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rFonts w:cs="Verdana-Italic"/>
          <w:i/>
          <w:iCs/>
          <w:sz w:val="16"/>
          <w:szCs w:val="16"/>
          <w:lang w:val="en-US" w:bidi="en-US"/>
        </w:rPr>
        <w:t>Case of Myrna Mack Chang v. Guatemala. Merits, reparations and costs</w:t>
      </w:r>
      <w:r w:rsidRPr="00AC57EA">
        <w:rPr>
          <w:rFonts w:cs="Verdana-Italic"/>
          <w:sz w:val="16"/>
          <w:szCs w:val="16"/>
          <w:lang w:val="en-US" w:bidi="en-US"/>
        </w:rPr>
        <w:t xml:space="preserve">. Judgment of November 25, 2003. </w:t>
      </w:r>
      <w:r w:rsidRPr="00D22834">
        <w:rPr>
          <w:rFonts w:cs="Verdana-Italic"/>
          <w:sz w:val="16"/>
          <w:szCs w:val="16"/>
          <w:lang w:val="en-US" w:bidi="en-US"/>
        </w:rPr>
        <w:t>Series C No. 101</w:t>
      </w:r>
      <w:r w:rsidRPr="00D22834">
        <w:rPr>
          <w:sz w:val="16"/>
          <w:szCs w:val="16"/>
          <w:lang w:val="en-US" w:bidi="en-US"/>
        </w:rPr>
        <w:t xml:space="preserve">, para. 211, and </w:t>
      </w:r>
      <w:r w:rsidRPr="00D22834">
        <w:rPr>
          <w:i/>
          <w:sz w:val="16"/>
          <w:szCs w:val="16"/>
          <w:lang w:val="en-US" w:bidi="en-US"/>
        </w:rPr>
        <w:t>Case of Ortiz Hernández et al. v. Venezuela, supra,</w:t>
      </w:r>
      <w:r w:rsidRPr="00D22834">
        <w:rPr>
          <w:sz w:val="16"/>
          <w:szCs w:val="16"/>
          <w:lang w:val="en-US"/>
        </w:rPr>
        <w:t xml:space="preserve"> para. </w:t>
      </w:r>
      <w:r w:rsidRPr="00AC57EA">
        <w:rPr>
          <w:sz w:val="16"/>
          <w:szCs w:val="16"/>
          <w:lang w:val="en-US"/>
        </w:rPr>
        <w:t>145.</w:t>
      </w:r>
    </w:p>
  </w:footnote>
  <w:footnote w:id="376">
    <w:p w14:paraId="3F666D9D" w14:textId="1CDDCFC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D22834">
        <w:rPr>
          <w:sz w:val="16"/>
          <w:szCs w:val="16"/>
          <w:lang w:val="en-US"/>
        </w:rPr>
        <w:t xml:space="preserve"> </w:t>
      </w:r>
      <w:r w:rsidRPr="00D22834">
        <w:rPr>
          <w:sz w:val="16"/>
          <w:szCs w:val="16"/>
          <w:lang w:val="en-US"/>
        </w:rPr>
        <w:tab/>
      </w:r>
      <w:r w:rsidRPr="00D22834">
        <w:rPr>
          <w:i/>
          <w:sz w:val="16"/>
          <w:szCs w:val="16"/>
          <w:lang w:val="en-US"/>
        </w:rPr>
        <w:t xml:space="preserve">Cf. Case of Valle Jaramillo et al. v. Colombia. </w:t>
      </w:r>
      <w:r w:rsidRPr="00AC57EA">
        <w:rPr>
          <w:i/>
          <w:sz w:val="16"/>
          <w:szCs w:val="16"/>
          <w:lang w:val="en-US"/>
        </w:rPr>
        <w:t xml:space="preserve">Merits, reparations and costs. </w:t>
      </w:r>
      <w:r w:rsidRPr="00AC57EA">
        <w:rPr>
          <w:sz w:val="16"/>
          <w:szCs w:val="16"/>
          <w:lang w:val="en-US"/>
        </w:rPr>
        <w:t xml:space="preserve">Judgment of November 27, 2008. </w:t>
      </w:r>
      <w:r w:rsidRPr="00AC57EA">
        <w:rPr>
          <w:sz w:val="16"/>
          <w:szCs w:val="16"/>
          <w:lang w:val="es-CR"/>
        </w:rPr>
        <w:t xml:space="preserve">Series C No. 192, para. 155, and </w:t>
      </w:r>
      <w:r w:rsidRPr="00AC57EA">
        <w:rPr>
          <w:rFonts w:eastAsiaTheme="minorHAnsi" w:cstheme="minorBidi"/>
          <w:i/>
          <w:sz w:val="16"/>
          <w:szCs w:val="16"/>
          <w:lang w:val="es-CR" w:eastAsia="en-US"/>
        </w:rPr>
        <w:t>Case of Pacheco León et al. v. Honduras, supra</w:t>
      </w:r>
      <w:r w:rsidRPr="00AC57EA">
        <w:rPr>
          <w:iCs/>
          <w:sz w:val="16"/>
          <w:szCs w:val="16"/>
          <w:lang w:val="es-CR"/>
        </w:rPr>
        <w:t xml:space="preserve">, para. </w:t>
      </w:r>
      <w:r w:rsidRPr="00AC57EA">
        <w:rPr>
          <w:iCs/>
          <w:sz w:val="16"/>
          <w:szCs w:val="16"/>
          <w:lang w:val="en-US"/>
        </w:rPr>
        <w:t>120</w:t>
      </w:r>
      <w:r w:rsidRPr="00AC57EA">
        <w:rPr>
          <w:sz w:val="16"/>
          <w:szCs w:val="16"/>
          <w:lang w:val="en-US"/>
        </w:rPr>
        <w:t>.</w:t>
      </w:r>
    </w:p>
  </w:footnote>
  <w:footnote w:id="377">
    <w:p w14:paraId="7FB54582" w14:textId="32593BB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eastAsia="Calibri"/>
          <w:i/>
          <w:sz w:val="16"/>
          <w:szCs w:val="16"/>
          <w:lang w:val="en-US" w:eastAsia="de-DE"/>
        </w:rPr>
        <w:t xml:space="preserve">Cf. </w:t>
      </w:r>
      <w:r w:rsidRPr="00AC57EA">
        <w:rPr>
          <w:rStyle w:val="apple-style-span"/>
          <w:bCs/>
          <w:i/>
          <w:sz w:val="16"/>
          <w:szCs w:val="16"/>
          <w:lang w:val="en-US"/>
        </w:rPr>
        <w:t>Case of Apitz Barbera et al. (“First Contentious Administrative Court”) v. Venezuela, supra</w:t>
      </w:r>
      <w:r w:rsidRPr="00AC57EA">
        <w:rPr>
          <w:rStyle w:val="apple-style-span"/>
          <w:bCs/>
          <w:sz w:val="16"/>
          <w:szCs w:val="16"/>
          <w:lang w:val="en-US"/>
        </w:rPr>
        <w:t xml:space="preserve">, </w:t>
      </w:r>
      <w:r w:rsidRPr="00AC57EA">
        <w:rPr>
          <w:sz w:val="16"/>
          <w:szCs w:val="16"/>
          <w:lang w:val="en-US"/>
        </w:rPr>
        <w:t>para. 209</w:t>
      </w:r>
      <w:r w:rsidRPr="00AC57EA">
        <w:rPr>
          <w:rStyle w:val="Textoennegrita"/>
          <w:b w:val="0"/>
          <w:color w:val="000000"/>
          <w:sz w:val="16"/>
          <w:szCs w:val="16"/>
          <w:shd w:val="clear" w:color="auto" w:fill="FFFFFF"/>
          <w:lang w:val="en-US"/>
        </w:rPr>
        <w:t xml:space="preserve">, and </w:t>
      </w:r>
      <w:r w:rsidRPr="00AC57EA">
        <w:rPr>
          <w:rFonts w:cs="Courier New"/>
          <w:i/>
          <w:sz w:val="16"/>
          <w:szCs w:val="16"/>
          <w:lang w:val="en-US"/>
        </w:rPr>
        <w:t>Case of Veliz Franco et al. v. Guatemala. Preliminary objections, merits, reparations and costs</w:t>
      </w:r>
      <w:r w:rsidRPr="00AC57EA">
        <w:rPr>
          <w:rFonts w:cs="Courier New"/>
          <w:sz w:val="16"/>
          <w:szCs w:val="16"/>
          <w:lang w:val="en-US"/>
        </w:rPr>
        <w:t>. Judgment of May 19, 2014. Series C No. 277, para. 214</w:t>
      </w:r>
      <w:r w:rsidRPr="00AC57EA">
        <w:rPr>
          <w:rStyle w:val="Textoennegrita"/>
          <w:b w:val="0"/>
          <w:sz w:val="16"/>
          <w:szCs w:val="16"/>
          <w:lang w:val="en-US"/>
        </w:rPr>
        <w:t>.</w:t>
      </w:r>
    </w:p>
  </w:footnote>
  <w:footnote w:id="378">
    <w:p w14:paraId="4AB14739" w14:textId="2475C7E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iCs/>
          <w:sz w:val="16"/>
          <w:szCs w:val="16"/>
          <w:lang w:val="en-US"/>
        </w:rPr>
        <w:t>Cf.</w:t>
      </w:r>
      <w:r w:rsidRPr="00AC57EA">
        <w:rPr>
          <w:color w:val="000000"/>
          <w:sz w:val="16"/>
          <w:szCs w:val="16"/>
          <w:lang w:val="en-US"/>
        </w:rPr>
        <w:t xml:space="preserve"> </w:t>
      </w:r>
      <w:r w:rsidRPr="00AC57EA">
        <w:rPr>
          <w:rFonts w:cs="Courier New"/>
          <w:i/>
          <w:sz w:val="16"/>
          <w:szCs w:val="16"/>
          <w:lang w:val="en-US"/>
        </w:rPr>
        <w:t>Case of Yatama v. Nicaragua. Preliminary objections, merits, reparations and costs.</w:t>
      </w:r>
      <w:r w:rsidRPr="00AC57EA">
        <w:rPr>
          <w:rFonts w:cs="Courier New"/>
          <w:sz w:val="16"/>
          <w:szCs w:val="16"/>
          <w:lang w:val="en-US"/>
        </w:rPr>
        <w:t xml:space="preserve"> Judgment of June 23, 2005. Series C No. 127</w:t>
      </w:r>
      <w:r w:rsidRPr="00AC57EA">
        <w:rPr>
          <w:sz w:val="16"/>
          <w:szCs w:val="16"/>
          <w:lang w:val="en-US"/>
        </w:rPr>
        <w:t xml:space="preserve">, para. 185, and </w:t>
      </w:r>
      <w:r w:rsidRPr="00AC57EA">
        <w:rPr>
          <w:rFonts w:cs="Courier New"/>
          <w:i/>
          <w:sz w:val="16"/>
          <w:szCs w:val="16"/>
          <w:lang w:val="en-US"/>
        </w:rPr>
        <w:t>Case of Vélez Loor v. Panama. Preliminary objections, merits, reparations and costs</w:t>
      </w:r>
      <w:r w:rsidRPr="00AC57EA">
        <w:rPr>
          <w:rFonts w:cs="Courier New"/>
          <w:sz w:val="16"/>
          <w:szCs w:val="16"/>
          <w:lang w:val="en-US"/>
        </w:rPr>
        <w:t>. Judgment of November 23, 2010. Series C No. 218</w:t>
      </w:r>
      <w:r w:rsidRPr="00AC57EA">
        <w:rPr>
          <w:sz w:val="16"/>
          <w:szCs w:val="16"/>
          <w:lang w:val="en-US"/>
        </w:rPr>
        <w:t>, para. 248.</w:t>
      </w:r>
    </w:p>
  </w:footnote>
  <w:footnote w:id="379">
    <w:p w14:paraId="33C25D13" w14:textId="005FB19B"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J. v. Peru. Preliminary objection, merits, reparations and costs. </w:t>
      </w:r>
      <w:r w:rsidRPr="00AC57EA">
        <w:rPr>
          <w:sz w:val="16"/>
          <w:szCs w:val="16"/>
          <w:lang w:val="en-US"/>
        </w:rPr>
        <w:t>Judgment of November 27, 2013. Series C No. 275</w:t>
      </w:r>
      <w:r w:rsidRPr="00AC57EA">
        <w:rPr>
          <w:i/>
          <w:sz w:val="16"/>
          <w:szCs w:val="16"/>
          <w:lang w:val="en-US"/>
        </w:rPr>
        <w:t>,</w:t>
      </w:r>
      <w:r w:rsidRPr="00AC57EA">
        <w:rPr>
          <w:sz w:val="16"/>
          <w:szCs w:val="16"/>
          <w:lang w:val="en-US"/>
        </w:rPr>
        <w:t xml:space="preserve"> para. 359, and </w:t>
      </w:r>
      <w:r w:rsidRPr="00AC57EA">
        <w:rPr>
          <w:i/>
          <w:sz w:val="16"/>
          <w:szCs w:val="16"/>
          <w:lang w:val="en-US"/>
        </w:rPr>
        <w:t>Case of Espinoza Gonzáles v. Peru, supra</w:t>
      </w:r>
      <w:r w:rsidRPr="00AC57EA">
        <w:rPr>
          <w:sz w:val="16"/>
          <w:szCs w:val="16"/>
          <w:lang w:val="en-US"/>
        </w:rPr>
        <w:t>, para. 192.</w:t>
      </w:r>
    </w:p>
  </w:footnote>
  <w:footnote w:id="380">
    <w:p w14:paraId="15C380F9" w14:textId="45A4CE4C" w:rsidR="003C0AC1" w:rsidRPr="00AC57EA" w:rsidRDefault="003C0AC1" w:rsidP="00AC57EA">
      <w:pPr>
        <w:pStyle w:val="Textonotapie"/>
        <w:tabs>
          <w:tab w:val="left" w:pos="540"/>
          <w:tab w:val="left" w:pos="72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González et al. </w:t>
      </w:r>
      <w:r w:rsidRPr="00AC57EA">
        <w:rPr>
          <w:i/>
          <w:sz w:val="16"/>
          <w:szCs w:val="16"/>
          <w:lang w:val="es-CR"/>
        </w:rPr>
        <w:t>(“Cotton Field”) v. Mexico, supra</w:t>
      </w:r>
      <w:r w:rsidRPr="00AC57EA">
        <w:rPr>
          <w:sz w:val="16"/>
          <w:szCs w:val="16"/>
          <w:lang w:val="es-CR"/>
        </w:rPr>
        <w:t xml:space="preserve">, paras. </w:t>
      </w:r>
      <w:r w:rsidRPr="00AC57EA">
        <w:rPr>
          <w:sz w:val="16"/>
          <w:szCs w:val="16"/>
          <w:lang w:val="en-US"/>
        </w:rPr>
        <w:t xml:space="preserve">394 and 395, citing the Convention of Belém do Pará, preamble and Article 6; the Convention on the Elimination of All Forms of Violence against Women of December 18, 1979, Article 1, and the Committee for the Elimination of Violence against Women, </w:t>
      </w:r>
      <w:r w:rsidRPr="00AC57EA">
        <w:rPr>
          <w:i/>
          <w:sz w:val="16"/>
          <w:szCs w:val="16"/>
          <w:lang w:val="en-US"/>
        </w:rPr>
        <w:t>General Recommendation No. 19: Violence against women</w:t>
      </w:r>
      <w:r w:rsidRPr="00AC57EA">
        <w:rPr>
          <w:sz w:val="16"/>
          <w:szCs w:val="16"/>
          <w:lang w:val="en-US"/>
        </w:rPr>
        <w:t>, UN Doc. A/47/38, January 29, 1992, paras. 1 and 6.</w:t>
      </w:r>
    </w:p>
  </w:footnote>
  <w:footnote w:id="381">
    <w:p w14:paraId="0837934C" w14:textId="1B78C6B1" w:rsidR="003C0AC1" w:rsidRPr="00AC57EA" w:rsidRDefault="003C0AC1" w:rsidP="00AC57EA">
      <w:pPr>
        <w:pStyle w:val="Textonotapie"/>
        <w:tabs>
          <w:tab w:val="left" w:pos="540"/>
          <w:tab w:val="left" w:pos="72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cs="Vrinda"/>
          <w:i/>
          <w:sz w:val="16"/>
          <w:szCs w:val="16"/>
          <w:lang w:val="en-US"/>
        </w:rPr>
        <w:t xml:space="preserve">Cf. </w:t>
      </w:r>
      <w:r w:rsidRPr="00AC57EA">
        <w:rPr>
          <w:i/>
          <w:sz w:val="16"/>
          <w:szCs w:val="16"/>
          <w:lang w:val="en-US"/>
        </w:rPr>
        <w:t xml:space="preserve">Case of González et al. </w:t>
      </w:r>
      <w:r w:rsidRPr="00AC57EA">
        <w:rPr>
          <w:i/>
          <w:sz w:val="16"/>
          <w:szCs w:val="16"/>
          <w:lang w:val="es-CR"/>
        </w:rPr>
        <w:t>(“Cotton Field”) v. Mexico, supra</w:t>
      </w:r>
      <w:r w:rsidRPr="00AC57EA">
        <w:rPr>
          <w:sz w:val="16"/>
          <w:szCs w:val="16"/>
          <w:lang w:val="es-CR"/>
        </w:rPr>
        <w:t xml:space="preserve">, paras. </w:t>
      </w:r>
      <w:r w:rsidRPr="00AC57EA">
        <w:rPr>
          <w:sz w:val="16"/>
          <w:szCs w:val="16"/>
          <w:lang w:val="en-US"/>
        </w:rPr>
        <w:t xml:space="preserve">388 and 400, and </w:t>
      </w:r>
      <w:r w:rsidRPr="00AC57EA">
        <w:rPr>
          <w:rFonts w:cs="Courier New"/>
          <w:i/>
          <w:sz w:val="16"/>
          <w:szCs w:val="16"/>
          <w:lang w:val="en-US"/>
        </w:rPr>
        <w:t>Case of Gutiérrez Hernández et al. v. Guatemala, supra</w:t>
      </w:r>
      <w:r w:rsidRPr="00AC57EA">
        <w:rPr>
          <w:rFonts w:cs="Courier New"/>
          <w:sz w:val="16"/>
          <w:szCs w:val="16"/>
          <w:lang w:val="en-US"/>
        </w:rPr>
        <w:t>, para. 176</w:t>
      </w:r>
      <w:r w:rsidRPr="00AC57EA">
        <w:rPr>
          <w:sz w:val="16"/>
          <w:szCs w:val="16"/>
          <w:lang w:val="en-US"/>
        </w:rPr>
        <w:t xml:space="preserve">. </w:t>
      </w:r>
    </w:p>
  </w:footnote>
  <w:footnote w:id="382">
    <w:p w14:paraId="571A7EFC" w14:textId="4C96871C" w:rsidR="003C0AC1" w:rsidRPr="00AC57EA" w:rsidRDefault="003C0AC1" w:rsidP="00AC57EA">
      <w:pPr>
        <w:tabs>
          <w:tab w:val="left" w:pos="540"/>
        </w:tabs>
        <w:spacing w:after="60" w:line="240" w:lineRule="auto"/>
        <w:rPr>
          <w:color w:val="000000" w:themeColor="text1"/>
          <w:sz w:val="16"/>
          <w:szCs w:val="16"/>
          <w:lang w:val="en-US"/>
        </w:rPr>
      </w:pPr>
      <w:r w:rsidRPr="00AC57EA">
        <w:rPr>
          <w:rStyle w:val="Refdenotaalpie"/>
          <w:rFonts w:eastAsia="Calibri"/>
          <w:color w:val="000000" w:themeColor="text1"/>
          <w:sz w:val="16"/>
          <w:szCs w:val="16"/>
          <w:lang w:val="en-US"/>
        </w:rPr>
        <w:footnoteRef/>
      </w:r>
      <w:r w:rsidRPr="00AC57EA">
        <w:rPr>
          <w:color w:val="000000" w:themeColor="text1"/>
          <w:sz w:val="16"/>
          <w:szCs w:val="16"/>
          <w:lang w:val="en-US"/>
        </w:rPr>
        <w:t xml:space="preserve"> </w:t>
      </w:r>
      <w:r w:rsidRPr="00AC57EA">
        <w:rPr>
          <w:color w:val="000000" w:themeColor="text1"/>
          <w:sz w:val="16"/>
          <w:szCs w:val="16"/>
          <w:lang w:val="en-US"/>
        </w:rPr>
        <w:tab/>
        <w:t>Article</w:t>
      </w:r>
      <w:r w:rsidRPr="00AC57EA">
        <w:rPr>
          <w:rFonts w:cs="MinionPro-Bold"/>
          <w:bCs/>
          <w:color w:val="000000" w:themeColor="text1"/>
          <w:sz w:val="16"/>
          <w:szCs w:val="16"/>
          <w:lang w:val="en-US"/>
        </w:rPr>
        <w:t xml:space="preserve"> 1 of the Convention of Belém do Pará.</w:t>
      </w:r>
    </w:p>
  </w:footnote>
  <w:footnote w:id="383">
    <w:p w14:paraId="2E86621D" w14:textId="79EE1E8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22(1) establishes that: “[e]</w:t>
      </w:r>
      <w:r w:rsidRPr="00AC57EA">
        <w:rPr>
          <w:spacing w:val="-3"/>
          <w:sz w:val="16"/>
          <w:szCs w:val="16"/>
          <w:lang w:val="en-US"/>
        </w:rPr>
        <w:t>very person lawfully in the territory of a State Party has the right to move about in it, and to reside in it subject to the provisions of the law.</w:t>
      </w:r>
      <w:r w:rsidRPr="00AC57EA">
        <w:rPr>
          <w:sz w:val="16"/>
          <w:szCs w:val="16"/>
          <w:lang w:val="en-US"/>
        </w:rPr>
        <w:t>”</w:t>
      </w:r>
    </w:p>
  </w:footnote>
  <w:footnote w:id="384">
    <w:p w14:paraId="746EC0D5" w14:textId="4252B4C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17(1) stipulates that: “</w:t>
      </w:r>
      <w:r w:rsidRPr="00AC57EA">
        <w:rPr>
          <w:rFonts w:cs="Tahoma"/>
          <w:sz w:val="16"/>
          <w:szCs w:val="16"/>
          <w:lang w:val="en-US"/>
        </w:rPr>
        <w:t>[t]</w:t>
      </w:r>
      <w:r w:rsidRPr="00AC57EA">
        <w:rPr>
          <w:spacing w:val="-3"/>
          <w:sz w:val="16"/>
          <w:szCs w:val="16"/>
          <w:lang w:val="en-US"/>
        </w:rPr>
        <w:t>he family is the natural and fundamental group unit of society and is entitled to protection by society and the State.</w:t>
      </w:r>
      <w:r w:rsidRPr="00AC57EA">
        <w:rPr>
          <w:sz w:val="16"/>
          <w:szCs w:val="16"/>
          <w:lang w:val="en-US"/>
        </w:rPr>
        <w:t>”</w:t>
      </w:r>
    </w:p>
  </w:footnote>
  <w:footnote w:id="385">
    <w:p w14:paraId="57E8A476" w14:textId="0E9B831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19 provides that: “</w:t>
      </w:r>
      <w:r w:rsidRPr="00AC57EA">
        <w:rPr>
          <w:rFonts w:cs="Tahoma"/>
          <w:sz w:val="16"/>
          <w:szCs w:val="16"/>
          <w:lang w:val="en-US"/>
        </w:rPr>
        <w:t>[e]</w:t>
      </w:r>
      <w:r w:rsidRPr="00AC57EA">
        <w:rPr>
          <w:spacing w:val="-3"/>
          <w:sz w:val="16"/>
          <w:szCs w:val="16"/>
          <w:lang w:val="en-US"/>
        </w:rPr>
        <w:t>very minor child has the right to the measures of protection required by his condition as a minor on the part of his family, society, and the State.</w:t>
      </w:r>
      <w:r w:rsidRPr="00AC57EA">
        <w:rPr>
          <w:sz w:val="16"/>
          <w:szCs w:val="16"/>
          <w:lang w:val="en-US"/>
        </w:rPr>
        <w:t>”</w:t>
      </w:r>
    </w:p>
  </w:footnote>
  <w:footnote w:id="386">
    <w:p w14:paraId="1C21373C" w14:textId="72C0B63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bCs/>
          <w:i/>
          <w:sz w:val="16"/>
          <w:szCs w:val="16"/>
          <w:lang w:val="en-US"/>
        </w:rPr>
        <w:t>Case of the Massacres of El Mozote and neighboring places v. El Salvador. Merits, reparations and costs</w:t>
      </w:r>
      <w:r w:rsidRPr="00AC57EA">
        <w:rPr>
          <w:bCs/>
          <w:sz w:val="16"/>
          <w:szCs w:val="16"/>
          <w:lang w:val="en-US"/>
        </w:rPr>
        <w:t xml:space="preserve">. Judgment of October 25, 2012. Series C No. 252, para. 186, and </w:t>
      </w:r>
      <w:r w:rsidRPr="00AC57EA">
        <w:rPr>
          <w:bCs/>
          <w:i/>
          <w:sz w:val="16"/>
          <w:szCs w:val="16"/>
          <w:lang w:val="en-US"/>
        </w:rPr>
        <w:t>Case of Yarce et al. v. Colombia, supra</w:t>
      </w:r>
      <w:r w:rsidRPr="00AC57EA">
        <w:rPr>
          <w:bCs/>
          <w:sz w:val="16"/>
          <w:szCs w:val="16"/>
          <w:lang w:val="en-US"/>
        </w:rPr>
        <w:t>, para. 214.</w:t>
      </w:r>
    </w:p>
  </w:footnote>
  <w:footnote w:id="387">
    <w:p w14:paraId="2339FA40" w14:textId="4152783D"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eastAsiaTheme="minorHAnsi" w:cstheme="minorBidi"/>
          <w:i/>
          <w:sz w:val="16"/>
          <w:szCs w:val="16"/>
          <w:lang w:val="en-US" w:eastAsia="en-US"/>
        </w:rPr>
        <w:t xml:space="preserve">Cf. </w:t>
      </w:r>
      <w:r w:rsidRPr="00AC57EA">
        <w:rPr>
          <w:bCs/>
          <w:i/>
          <w:sz w:val="16"/>
          <w:szCs w:val="16"/>
          <w:lang w:val="en-US"/>
        </w:rPr>
        <w:t>Case of Ricardo Canese v. Paraguay.</w:t>
      </w:r>
      <w:r w:rsidRPr="00AC57EA">
        <w:rPr>
          <w:b/>
          <w:bCs/>
          <w:i/>
          <w:sz w:val="16"/>
          <w:szCs w:val="16"/>
          <w:lang w:val="en-US"/>
        </w:rPr>
        <w:t xml:space="preserve"> </w:t>
      </w:r>
      <w:r w:rsidRPr="00AC57EA">
        <w:rPr>
          <w:i/>
          <w:sz w:val="16"/>
          <w:szCs w:val="16"/>
          <w:lang w:val="en-US"/>
        </w:rPr>
        <w:t>Merits, reparations and costs</w:t>
      </w:r>
      <w:r w:rsidRPr="00AC57EA">
        <w:rPr>
          <w:sz w:val="16"/>
          <w:szCs w:val="16"/>
          <w:lang w:val="en-US"/>
        </w:rPr>
        <w:t xml:space="preserve">. Judgment of August 31, 2004. Series C No. 111, para. 115, and </w:t>
      </w:r>
      <w:r w:rsidRPr="00AC57EA">
        <w:rPr>
          <w:rFonts w:eastAsiaTheme="minorHAnsi" w:cstheme="minorBidi"/>
          <w:i/>
          <w:sz w:val="16"/>
          <w:szCs w:val="16"/>
          <w:lang w:val="en-US" w:eastAsia="en-US"/>
        </w:rPr>
        <w:t>Case of Yarce et al. v. Colombia, supra</w:t>
      </w:r>
      <w:r w:rsidRPr="00AC57EA">
        <w:rPr>
          <w:rFonts w:eastAsiaTheme="minorHAnsi" w:cstheme="minorBidi"/>
          <w:sz w:val="16"/>
          <w:szCs w:val="16"/>
          <w:lang w:val="en-US" w:eastAsia="en-US"/>
        </w:rPr>
        <w:t>, para. 214.</w:t>
      </w:r>
    </w:p>
  </w:footnote>
  <w:footnote w:id="388">
    <w:p w14:paraId="02423A40" w14:textId="117F57DF" w:rsidR="003C0AC1" w:rsidRPr="00D22834" w:rsidRDefault="003C0AC1" w:rsidP="00AC57EA">
      <w:pPr>
        <w:pStyle w:val="Textonotapie"/>
        <w:tabs>
          <w:tab w:val="left" w:pos="540"/>
        </w:tabs>
        <w:spacing w:after="60"/>
        <w:ind w:right="49"/>
        <w:rPr>
          <w:sz w:val="16"/>
          <w:szCs w:val="16"/>
          <w:lang w:val="es-CR"/>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eastAsia="Calibri" w:cs="Verdana"/>
          <w:i/>
          <w:iCs/>
          <w:sz w:val="16"/>
          <w:szCs w:val="16"/>
          <w:lang w:val="en-US"/>
        </w:rPr>
        <w:t xml:space="preserve">Cf. Case of the Moiwana Community v. Suriname. Preliminary objections, merits, reparations and costs. </w:t>
      </w:r>
      <w:r w:rsidRPr="00AC57EA">
        <w:rPr>
          <w:rFonts w:eastAsia="Calibri" w:cs="Verdana"/>
          <w:iCs/>
          <w:sz w:val="16"/>
          <w:szCs w:val="16"/>
          <w:lang w:val="en-US"/>
        </w:rPr>
        <w:t xml:space="preserve">Judgment of June 15, 2005. Series C No. 124, </w:t>
      </w:r>
      <w:r w:rsidRPr="00AC57EA">
        <w:rPr>
          <w:rFonts w:eastAsia="Calibri" w:cs="Verdana"/>
          <w:sz w:val="16"/>
          <w:szCs w:val="16"/>
          <w:lang w:val="en-US"/>
        </w:rPr>
        <w:t xml:space="preserve">paras. 119 and 120, and </w:t>
      </w:r>
      <w:r w:rsidRPr="00AC57EA">
        <w:rPr>
          <w:bCs/>
          <w:i/>
          <w:sz w:val="16"/>
          <w:szCs w:val="16"/>
          <w:lang w:val="en-US"/>
        </w:rPr>
        <w:t xml:space="preserve">Case of Members of the Village of Chichupac and neighboring communities of the municipality of Rabinal v. Guatemala. Preliminary objections, merits, reparations and costs. </w:t>
      </w:r>
      <w:r w:rsidRPr="00AC57EA">
        <w:rPr>
          <w:bCs/>
          <w:sz w:val="16"/>
          <w:szCs w:val="16"/>
          <w:lang w:val="en-US"/>
        </w:rPr>
        <w:t xml:space="preserve">Judgment of November 30, 2016. Series C No. 328, para. </w:t>
      </w:r>
      <w:r w:rsidRPr="00D22834">
        <w:rPr>
          <w:bCs/>
          <w:sz w:val="16"/>
          <w:szCs w:val="16"/>
          <w:lang w:val="es-CR"/>
        </w:rPr>
        <w:t>174.</w:t>
      </w:r>
    </w:p>
  </w:footnote>
  <w:footnote w:id="389">
    <w:p w14:paraId="41C16A4A" w14:textId="11BD3CE4" w:rsidR="003C0AC1" w:rsidRPr="00AC57EA" w:rsidRDefault="003C0AC1" w:rsidP="00AC57EA">
      <w:pPr>
        <w:pStyle w:val="Textonotapie"/>
        <w:tabs>
          <w:tab w:val="left" w:pos="540"/>
        </w:tabs>
        <w:spacing w:after="60"/>
        <w:ind w:right="49"/>
        <w:rPr>
          <w:sz w:val="16"/>
          <w:szCs w:val="16"/>
          <w:lang w:val="en-US"/>
        </w:rPr>
      </w:pPr>
      <w:r w:rsidRPr="00AC57EA">
        <w:rPr>
          <w:rStyle w:val="Refdenotaalpie"/>
          <w:sz w:val="16"/>
          <w:szCs w:val="16"/>
          <w:lang w:val="en-US"/>
        </w:rPr>
        <w:footnoteRef/>
      </w:r>
      <w:r w:rsidRPr="00D22834">
        <w:rPr>
          <w:sz w:val="16"/>
          <w:szCs w:val="16"/>
          <w:lang w:val="es-CR"/>
        </w:rPr>
        <w:t xml:space="preserve"> </w:t>
      </w:r>
      <w:r w:rsidRPr="00D22834">
        <w:rPr>
          <w:sz w:val="16"/>
          <w:szCs w:val="16"/>
          <w:lang w:val="es-CR"/>
        </w:rPr>
        <w:tab/>
      </w:r>
      <w:r w:rsidRPr="00D22834">
        <w:rPr>
          <w:i/>
          <w:sz w:val="16"/>
          <w:szCs w:val="16"/>
          <w:lang w:val="es-CR"/>
        </w:rPr>
        <w:t xml:space="preserve">Cf. </w:t>
      </w:r>
      <w:r w:rsidRPr="00D22834">
        <w:rPr>
          <w:rFonts w:eastAsia="Calibri" w:cs="Verdana"/>
          <w:i/>
          <w:iCs/>
          <w:sz w:val="16"/>
          <w:szCs w:val="16"/>
          <w:lang w:val="es-CR"/>
        </w:rPr>
        <w:t>Case of Valle Jaramillo et al. v. Colombia, supra</w:t>
      </w:r>
      <w:r w:rsidRPr="00D22834">
        <w:rPr>
          <w:rFonts w:eastAsia="Calibri" w:cs="Verdana"/>
          <w:sz w:val="16"/>
          <w:szCs w:val="16"/>
          <w:lang w:val="es-CR"/>
        </w:rPr>
        <w:t xml:space="preserve">, </w:t>
      </w:r>
      <w:r w:rsidRPr="00D22834">
        <w:rPr>
          <w:sz w:val="16"/>
          <w:szCs w:val="16"/>
          <w:lang w:val="es-CR"/>
        </w:rPr>
        <w:t xml:space="preserve">para. </w:t>
      </w:r>
      <w:r w:rsidRPr="00AC57EA">
        <w:rPr>
          <w:sz w:val="16"/>
          <w:szCs w:val="16"/>
          <w:lang w:val="en-US"/>
        </w:rPr>
        <w:t xml:space="preserve">139, and </w:t>
      </w:r>
      <w:r w:rsidRPr="00AC57EA">
        <w:rPr>
          <w:bCs/>
          <w:i/>
          <w:sz w:val="16"/>
          <w:szCs w:val="16"/>
          <w:lang w:val="en-US"/>
        </w:rPr>
        <w:t>Case of Members of the Village of Chichupac and neighboring communities of the municipality of Rabinal v. Guatemala, supra</w:t>
      </w:r>
      <w:r w:rsidRPr="00AC57EA">
        <w:rPr>
          <w:bCs/>
          <w:sz w:val="16"/>
          <w:szCs w:val="16"/>
          <w:lang w:val="en-US"/>
        </w:rPr>
        <w:t>, para. 174.</w:t>
      </w:r>
    </w:p>
  </w:footnote>
  <w:footnote w:id="390">
    <w:p w14:paraId="341765D6" w14:textId="36A775F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bCs/>
          <w:i/>
          <w:sz w:val="16"/>
          <w:szCs w:val="16"/>
          <w:lang w:val="en-US"/>
        </w:rPr>
        <w:t>Case of Manuel Cepeda Vargas v. Colombia. Preliminary objections, merits, reparations and costs</w:t>
      </w:r>
      <w:r w:rsidRPr="00AC57EA">
        <w:rPr>
          <w:bCs/>
          <w:sz w:val="16"/>
          <w:szCs w:val="16"/>
          <w:lang w:val="en-US"/>
        </w:rPr>
        <w:t>. Judgment of May 26, 2010. Series C No. 213, para. 201.</w:t>
      </w:r>
    </w:p>
  </w:footnote>
  <w:footnote w:id="391">
    <w:p w14:paraId="00AAA221" w14:textId="6B7DF2F2" w:rsidR="003C0AC1" w:rsidRPr="00AC57EA" w:rsidRDefault="003C0AC1" w:rsidP="00AC57EA">
      <w:pPr>
        <w:pStyle w:val="Textonotapie"/>
        <w:tabs>
          <w:tab w:val="left" w:pos="540"/>
        </w:tabs>
        <w:spacing w:after="60"/>
        <w:ind w:right="49"/>
        <w:rPr>
          <w:rFonts w:eastAsiaTheme="minorHAnsi" w:cstheme="minorBidi"/>
          <w:sz w:val="16"/>
          <w:szCs w:val="16"/>
          <w:lang w:val="en-US" w:eastAsia="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bCs/>
          <w:i/>
          <w:sz w:val="16"/>
          <w:szCs w:val="16"/>
          <w:lang w:val="en-US"/>
        </w:rPr>
        <w:t xml:space="preserve"> </w:t>
      </w:r>
      <w:r w:rsidRPr="00AC57EA">
        <w:rPr>
          <w:rFonts w:eastAsia="Calibri" w:cs="Verdana"/>
          <w:i/>
          <w:iCs/>
          <w:sz w:val="16"/>
          <w:szCs w:val="16"/>
          <w:lang w:val="en-US"/>
        </w:rPr>
        <w:t>Case of the Moiwana Community v. Suriname, supra</w:t>
      </w:r>
      <w:r w:rsidRPr="00AC57EA">
        <w:rPr>
          <w:rFonts w:eastAsia="Calibri" w:cs="Verdana"/>
          <w:iCs/>
          <w:sz w:val="16"/>
          <w:szCs w:val="16"/>
          <w:lang w:val="en-US"/>
        </w:rPr>
        <w:t xml:space="preserve">, </w:t>
      </w:r>
      <w:r w:rsidRPr="00AC57EA">
        <w:rPr>
          <w:rFonts w:eastAsia="Calibri" w:cs="Verdana"/>
          <w:sz w:val="16"/>
          <w:szCs w:val="16"/>
          <w:lang w:val="en-US"/>
        </w:rPr>
        <w:t>paras. 119 and 120,</w:t>
      </w:r>
      <w:r w:rsidRPr="00AC57EA">
        <w:rPr>
          <w:rFonts w:cs="Verdana"/>
          <w:sz w:val="16"/>
          <w:szCs w:val="16"/>
          <w:lang w:val="en-US"/>
        </w:rPr>
        <w:t xml:space="preserve"> and </w:t>
      </w:r>
      <w:r w:rsidRPr="00AC57EA">
        <w:rPr>
          <w:bCs/>
          <w:i/>
          <w:sz w:val="16"/>
          <w:szCs w:val="16"/>
          <w:lang w:val="en-US"/>
        </w:rPr>
        <w:t>Case of Members of the Village of Chichupac and neighboring communities of the municipality of Rabinal v. Guatemala, supra</w:t>
      </w:r>
      <w:r w:rsidRPr="00AC57EA">
        <w:rPr>
          <w:bCs/>
          <w:sz w:val="16"/>
          <w:szCs w:val="16"/>
          <w:lang w:val="en-US"/>
        </w:rPr>
        <w:t>, para. 174.</w:t>
      </w:r>
    </w:p>
  </w:footnote>
  <w:footnote w:id="392">
    <w:p w14:paraId="2D1A883B" w14:textId="5230B48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t>
      </w:r>
      <w:r w:rsidRPr="00AC57EA">
        <w:rPr>
          <w:rStyle w:val="Textoennegrita"/>
          <w:b w:val="0"/>
          <w:i/>
          <w:sz w:val="16"/>
          <w:szCs w:val="16"/>
          <w:shd w:val="clear" w:color="auto" w:fill="FFFFFF"/>
          <w:lang w:val="en-US"/>
        </w:rPr>
        <w:t>Case of Vélez Restrepo and family members v. Colombia. Preliminary objection, merits, reparations and costs</w:t>
      </w:r>
      <w:r w:rsidRPr="00AC57EA">
        <w:rPr>
          <w:rStyle w:val="Textoennegrita"/>
          <w:b w:val="0"/>
          <w:sz w:val="16"/>
          <w:szCs w:val="16"/>
          <w:shd w:val="clear" w:color="auto" w:fill="FFFFFF"/>
          <w:lang w:val="en-US"/>
        </w:rPr>
        <w:t>. Judgment of September 3, 2012. Series C No. 248, para. 161.</w:t>
      </w:r>
    </w:p>
  </w:footnote>
  <w:footnote w:id="393">
    <w:p w14:paraId="6DE91AC5" w14:textId="3140876E" w:rsidR="003C0AC1" w:rsidRPr="00AC57EA" w:rsidRDefault="003C0AC1" w:rsidP="00AC57EA">
      <w:pPr>
        <w:pStyle w:val="Textonotapie"/>
        <w:tabs>
          <w:tab w:val="left" w:pos="540"/>
          <w:tab w:val="left" w:pos="709"/>
        </w:tabs>
        <w:spacing w:after="60"/>
        <w:rPr>
          <w:bCs/>
          <w:sz w:val="16"/>
          <w:szCs w:val="16"/>
          <w:lang w:val="en-US"/>
        </w:rPr>
      </w:pPr>
      <w:r w:rsidRPr="00AC57EA">
        <w:rPr>
          <w:sz w:val="16"/>
          <w:szCs w:val="16"/>
          <w:vertAlign w:val="superscript"/>
          <w:lang w:val="en-US"/>
        </w:rPr>
        <w:footnoteRef/>
      </w:r>
      <w:r w:rsidRPr="00AC57EA">
        <w:rPr>
          <w:rFonts w:cs="Verdana"/>
          <w:bCs/>
          <w:sz w:val="16"/>
          <w:szCs w:val="16"/>
          <w:lang w:val="en-US"/>
        </w:rPr>
        <w:t xml:space="preserve"> </w:t>
      </w:r>
      <w:r w:rsidRPr="00AC57EA">
        <w:rPr>
          <w:rFonts w:cs="Verdana"/>
          <w:bCs/>
          <w:sz w:val="16"/>
          <w:szCs w:val="16"/>
          <w:lang w:val="en-US"/>
        </w:rPr>
        <w:tab/>
      </w:r>
      <w:r w:rsidRPr="00AC57EA">
        <w:rPr>
          <w:i/>
          <w:sz w:val="16"/>
          <w:szCs w:val="16"/>
          <w:lang w:val="en-US"/>
        </w:rPr>
        <w:t>Cf.</w:t>
      </w:r>
      <w:r w:rsidRPr="00AC57EA">
        <w:rPr>
          <w:bCs/>
          <w:i/>
          <w:sz w:val="16"/>
          <w:szCs w:val="16"/>
          <w:lang w:val="en-US"/>
        </w:rPr>
        <w:t xml:space="preserve"> </w:t>
      </w:r>
      <w:r w:rsidRPr="00AC57EA">
        <w:rPr>
          <w:i/>
          <w:sz w:val="16"/>
          <w:szCs w:val="16"/>
          <w:lang w:val="en-US"/>
        </w:rPr>
        <w:t>Juridical Status and Human Rights of the Child.</w:t>
      </w:r>
      <w:r w:rsidRPr="00AC57EA">
        <w:rPr>
          <w:sz w:val="16"/>
          <w:szCs w:val="16"/>
          <w:lang w:val="en-US"/>
        </w:rPr>
        <w:t xml:space="preserve"> Advisory Opinion OC-17/02, </w:t>
      </w:r>
      <w:r w:rsidRPr="00AC57EA">
        <w:rPr>
          <w:i/>
          <w:sz w:val="16"/>
          <w:szCs w:val="16"/>
          <w:lang w:val="en-US"/>
        </w:rPr>
        <w:t>supra</w:t>
      </w:r>
      <w:r w:rsidRPr="00AC57EA">
        <w:rPr>
          <w:sz w:val="16"/>
          <w:szCs w:val="16"/>
          <w:lang w:val="en-US"/>
        </w:rPr>
        <w:t xml:space="preserve">, para. 71, and </w:t>
      </w:r>
      <w:r w:rsidRPr="00AC57EA">
        <w:rPr>
          <w:rFonts w:eastAsiaTheme="minorHAnsi" w:cstheme="minorBidi"/>
          <w:i/>
          <w:sz w:val="16"/>
          <w:szCs w:val="16"/>
          <w:lang w:val="en-US" w:eastAsia="en-US"/>
        </w:rPr>
        <w:t>Case of Yarce et al. v. Colombia, supra</w:t>
      </w:r>
      <w:r w:rsidRPr="00AC57EA">
        <w:rPr>
          <w:rFonts w:eastAsiaTheme="minorHAnsi" w:cstheme="minorBidi"/>
          <w:sz w:val="16"/>
          <w:szCs w:val="16"/>
          <w:lang w:val="en-US" w:eastAsia="en-US"/>
        </w:rPr>
        <w:t>, para. 246</w:t>
      </w:r>
      <w:r w:rsidRPr="00AC57EA">
        <w:rPr>
          <w:bCs/>
          <w:sz w:val="16"/>
          <w:szCs w:val="16"/>
          <w:lang w:val="en-US"/>
        </w:rPr>
        <w:t>.</w:t>
      </w:r>
    </w:p>
  </w:footnote>
  <w:footnote w:id="394">
    <w:p w14:paraId="22B4ED05" w14:textId="75C224BE" w:rsidR="003C0AC1" w:rsidRPr="00AC57EA" w:rsidRDefault="003C0AC1" w:rsidP="00AC57EA">
      <w:pPr>
        <w:pStyle w:val="Textonotapie"/>
        <w:tabs>
          <w:tab w:val="left" w:pos="540"/>
        </w:tabs>
        <w:spacing w:after="60"/>
        <w:ind w:right="51"/>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bCs/>
          <w:i/>
          <w:sz w:val="16"/>
          <w:szCs w:val="16"/>
          <w:lang w:val="en-US"/>
        </w:rPr>
        <w:t xml:space="preserve"> </w:t>
      </w:r>
      <w:r w:rsidRPr="00AC57EA">
        <w:rPr>
          <w:rFonts w:cs="Courier New"/>
          <w:i/>
          <w:sz w:val="16"/>
          <w:szCs w:val="16"/>
          <w:lang w:val="en-US"/>
        </w:rPr>
        <w:t>Case of the Serrano Cruz Sisters v. El Salvador. Merits, reparations and costs, supra</w:t>
      </w:r>
      <w:r w:rsidRPr="00AC57EA">
        <w:rPr>
          <w:rFonts w:cs="Courier New"/>
          <w:sz w:val="16"/>
          <w:szCs w:val="16"/>
          <w:lang w:val="en-US"/>
        </w:rPr>
        <w:t>,</w:t>
      </w:r>
      <w:r w:rsidRPr="00AC57EA">
        <w:rPr>
          <w:rFonts w:cs="Calibri"/>
          <w:sz w:val="16"/>
          <w:szCs w:val="16"/>
          <w:lang w:val="en-US"/>
        </w:rPr>
        <w:t xml:space="preserve"> </w:t>
      </w:r>
      <w:r w:rsidRPr="00AC57EA">
        <w:rPr>
          <w:sz w:val="16"/>
          <w:szCs w:val="16"/>
          <w:lang w:val="en-US"/>
        </w:rPr>
        <w:t xml:space="preserve">para. 142, and </w:t>
      </w:r>
      <w:r w:rsidRPr="00AC57EA">
        <w:rPr>
          <w:rFonts w:cs="Courier New"/>
          <w:i/>
          <w:sz w:val="16"/>
          <w:szCs w:val="16"/>
          <w:lang w:val="en-US"/>
        </w:rPr>
        <w:t>Case of Rochac Hernández et al. v. El Salvador. Merits, reparations and costs.</w:t>
      </w:r>
      <w:r w:rsidRPr="00AC57EA">
        <w:rPr>
          <w:rFonts w:cs="Courier New"/>
          <w:sz w:val="16"/>
          <w:szCs w:val="16"/>
          <w:lang w:val="en-US"/>
        </w:rPr>
        <w:t xml:space="preserve"> Judgment of October 14, 2014. Series C No. 285,</w:t>
      </w:r>
      <w:r w:rsidRPr="00AC57EA">
        <w:rPr>
          <w:bCs/>
          <w:sz w:val="16"/>
          <w:szCs w:val="16"/>
          <w:lang w:val="en-US"/>
        </w:rPr>
        <w:t xml:space="preserve"> para. 104.</w:t>
      </w:r>
    </w:p>
  </w:footnote>
  <w:footnote w:id="395">
    <w:p w14:paraId="11F594D6" w14:textId="20DEB4C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United Nations High Commissioner for Refugees (UNHCR),</w:t>
      </w:r>
      <w:r w:rsidRPr="00AC57EA">
        <w:rPr>
          <w:i/>
          <w:sz w:val="16"/>
          <w:szCs w:val="16"/>
          <w:lang w:val="en-US"/>
        </w:rPr>
        <w:t xml:space="preserve"> Guidelines on international protection: Gender-related Persecution within the context of Article 1A(2) of the 1951 Convention and/or its 1967 Protocol relating to the Status of Refugees</w:t>
      </w:r>
      <w:r w:rsidRPr="00AC57EA">
        <w:rPr>
          <w:sz w:val="16"/>
          <w:szCs w:val="16"/>
          <w:lang w:val="en-US"/>
        </w:rPr>
        <w:t>, UN Doc. HCR/GIP/02/01, May 7, 2002, which establish that: “[i]t is an established principle that the refugee definition as a whole should be interpreted with an awareness of possible gender dimensions” (para. 2).</w:t>
      </w:r>
    </w:p>
  </w:footnote>
  <w:footnote w:id="396">
    <w:p w14:paraId="155B9C2D" w14:textId="753E4BC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Committee on the Rights of the Child,</w:t>
      </w:r>
      <w:r w:rsidRPr="00AC57EA">
        <w:rPr>
          <w:i/>
          <w:sz w:val="16"/>
          <w:szCs w:val="16"/>
          <w:lang w:val="en-US"/>
        </w:rPr>
        <w:t xml:space="preserve"> General Comment No. 6, Treatment of unaccompanied and separated children outside their country of origin, </w:t>
      </w:r>
      <w:r w:rsidRPr="00AC57EA">
        <w:rPr>
          <w:sz w:val="16"/>
          <w:szCs w:val="16"/>
          <w:lang w:val="en-US"/>
        </w:rPr>
        <w:t>UN Doc. CRC/GC/2005/6, September 1, 2005, para. 74.</w:t>
      </w:r>
    </w:p>
  </w:footnote>
  <w:footnote w:id="397">
    <w:p w14:paraId="76833A4B" w14:textId="0078A63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United Nations High Commissioner for Refugees (UNHCR),</w:t>
      </w:r>
      <w:r w:rsidRPr="00AC57EA">
        <w:rPr>
          <w:i/>
          <w:sz w:val="16"/>
          <w:szCs w:val="16"/>
          <w:lang w:val="en-US"/>
        </w:rPr>
        <w:t xml:space="preserve"> Guidelines on international protection: Gender-related Persecution within the context of Article 1A(2) of the 1951 Convention and/or its 1967 Protocol relating to the Status of Refugees</w:t>
      </w:r>
      <w:r w:rsidRPr="00AC57EA">
        <w:rPr>
          <w:sz w:val="16"/>
          <w:szCs w:val="16"/>
          <w:lang w:val="en-US"/>
        </w:rPr>
        <w:t>, UN Doc. HCR/GIP/02/01, May 7, 2002, para. 9, which indicates that “[i]</w:t>
      </w:r>
      <w:r w:rsidRPr="00AC57EA">
        <w:rPr>
          <w:rFonts w:cs="Arial"/>
          <w:sz w:val="16"/>
          <w:szCs w:val="16"/>
          <w:lang w:val="en-US"/>
        </w:rPr>
        <w:t>nternational human rights law and international criminal law clearly identify certain acts as violations of these laws, such as sexual violence, and support their characterisation as serious abuses, amounting to persecution. In this sense, international law can assist decision-makers to determine the persecutory nature of a particular act. There is no doubt that rape and other forms of gender-related violence, such as dowry-related violence, female genital mutilation, intrafamily violence, and trafficking, are acts which inflict severe pain and suffering – both mental and physical – and which have been used as forms of persecution, whether perpetrated by State or private actors.”</w:t>
      </w:r>
    </w:p>
  </w:footnote>
  <w:footnote w:id="398">
    <w:p w14:paraId="2360482F" w14:textId="0C82CF6B" w:rsidR="003C0AC1" w:rsidRPr="00AC57EA" w:rsidRDefault="003C0AC1" w:rsidP="00AC57EA">
      <w:pPr>
        <w:tabs>
          <w:tab w:val="left" w:pos="540"/>
        </w:tabs>
        <w:autoSpaceDE w:val="0"/>
        <w:autoSpaceDN w:val="0"/>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United Nations High Commissioner for Refugees (UNHCR),</w:t>
      </w:r>
      <w:r w:rsidRPr="00AC57EA">
        <w:rPr>
          <w:i/>
          <w:sz w:val="16"/>
          <w:szCs w:val="16"/>
          <w:lang w:val="en-US"/>
        </w:rPr>
        <w:t xml:space="preserve"> Guidelines on international protection: Gender-related Persecution within the context of Article 1A(2) of the 1951 Convention and/or its 1967 Protocol relating to the Status of Refugees</w:t>
      </w:r>
      <w:r w:rsidRPr="00AC57EA">
        <w:rPr>
          <w:sz w:val="16"/>
          <w:szCs w:val="16"/>
          <w:lang w:val="en-US"/>
        </w:rPr>
        <w:t>, UN Doc. HCR/GIP/02/01, May 7, 2002, para. 19, indicates that: “[t]</w:t>
      </w:r>
      <w:r w:rsidRPr="00AC57EA">
        <w:rPr>
          <w:rFonts w:cs="Arial"/>
          <w:sz w:val="16"/>
          <w:szCs w:val="16"/>
          <w:lang w:val="en-US"/>
        </w:rPr>
        <w:t>here is scope within the refugee definition to recognise both State and non-State actors of persecution. While persecution is most often perpetrated by the authorities of a country, serious discriminatory or other offensive acts committed by the local populace, or by individuals, can also be considered persecution if such acts are knowingly tolerated by the authorities, or if the authorities refuse, or are unable, to offer effective protection</w:t>
      </w:r>
      <w:r w:rsidRPr="00AC57EA">
        <w:rPr>
          <w:sz w:val="16"/>
          <w:szCs w:val="16"/>
          <w:lang w:val="en-US"/>
        </w:rPr>
        <w:t>.</w:t>
      </w:r>
      <w:r w:rsidRPr="00AC57EA">
        <w:rPr>
          <w:rFonts w:cs="TimesNewRoman"/>
          <w:sz w:val="16"/>
          <w:szCs w:val="16"/>
          <w:lang w:val="en-US"/>
        </w:rPr>
        <w:t xml:space="preserve">” Similarly, </w:t>
      </w:r>
      <w:r w:rsidRPr="00AC57EA">
        <w:rPr>
          <w:sz w:val="16"/>
          <w:szCs w:val="16"/>
          <w:lang w:val="en-US"/>
        </w:rPr>
        <w:t>United Nations High Commissioner for Refugees (UNHCR),</w:t>
      </w:r>
      <w:r w:rsidRPr="00AC57EA">
        <w:rPr>
          <w:i/>
          <w:sz w:val="16"/>
          <w:szCs w:val="16"/>
          <w:lang w:val="en-US"/>
        </w:rPr>
        <w:t xml:space="preserve"> Handbook on Procedures and Criteria for Determining Refugee Status under the 1951 Convention and the 1967 Protocol relating to the Status of Refugees, </w:t>
      </w:r>
      <w:r w:rsidRPr="00AC57EA">
        <w:rPr>
          <w:sz w:val="16"/>
          <w:szCs w:val="16"/>
          <w:lang w:val="en-US"/>
        </w:rPr>
        <w:t>HCR/IP/4/Eng/Rev.1, December 2011, paragraph 65 of which indicates: “[p]</w:t>
      </w:r>
      <w:r w:rsidRPr="00AC57EA">
        <w:rPr>
          <w:rFonts w:cs="Arial"/>
          <w:sz w:val="16"/>
          <w:szCs w:val="16"/>
          <w:lang w:val="en-US"/>
        </w:rPr>
        <w:t>ersecution is normally related to action by the authorities of a country. It may also emanate from sections of the population that do not respect the standards established by the laws of the country concerned. […] Where serious discriminatory or other offensive acts are committed by the local populace, they can be considered as persecution if they are knowingly tolerated by the authorities, or if the authorities refuse, or prove unable, to offer effective protection.</w:t>
      </w:r>
      <w:r w:rsidRPr="00AC57EA">
        <w:rPr>
          <w:sz w:val="16"/>
          <w:szCs w:val="16"/>
          <w:lang w:val="en-US"/>
        </w:rPr>
        <w:t>”</w:t>
      </w:r>
    </w:p>
  </w:footnote>
  <w:footnote w:id="399">
    <w:p w14:paraId="3FBDED25" w14:textId="4910FF0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Writ of summons against V.P.C. and L.A.C.G. in relation to complaints filed against her: (1) Writ of summons against V.P.C. of December 19, 2001, in the criminal action for defamation filed by the assistant prosecutor of the department of Jinotega (file of procedure before</w:t>
      </w:r>
      <w:r w:rsidRPr="00AC57EA">
        <w:rPr>
          <w:rFonts w:cs="Verdana"/>
          <w:sz w:val="16"/>
          <w:szCs w:val="16"/>
          <w:lang w:val="en-US"/>
        </w:rPr>
        <w:t xml:space="preserve"> the Commission</w:t>
      </w:r>
      <w:r w:rsidRPr="00AC57EA">
        <w:rPr>
          <w:sz w:val="16"/>
          <w:szCs w:val="16"/>
          <w:lang w:val="en-US"/>
        </w:rPr>
        <w:t>, volume VII, folio 2862); (2) Writs of summons against V.P.C. of April 29, May 8 and May 14, 2002, in the criminal action for libel filed by the forensic physician (evidence file, volume XX, annex 7.b of the helpful evidence, folios 9699, 9711, 9721); (3) Writ of summons against V.P.C. of July 22, 2002, in the criminal action for defamation filed by the forensic physician (file of procedure before</w:t>
      </w:r>
      <w:r w:rsidRPr="00AC57EA">
        <w:rPr>
          <w:rFonts w:cs="Verdana"/>
          <w:sz w:val="16"/>
          <w:szCs w:val="16"/>
          <w:lang w:val="en-US"/>
        </w:rPr>
        <w:t xml:space="preserve"> the Commission</w:t>
      </w:r>
      <w:r w:rsidRPr="00AC57EA">
        <w:rPr>
          <w:sz w:val="16"/>
          <w:szCs w:val="16"/>
          <w:lang w:val="en-US"/>
        </w:rPr>
        <w:t>, volume VII, folio 2495); (4) Writ of summons against V.P.C. of May 8, 2002, in the criminal action for defamation and libel filed by the judge of law and president of the Jury Court (file of procedure before</w:t>
      </w:r>
      <w:r w:rsidRPr="00AC57EA">
        <w:rPr>
          <w:rFonts w:cs="Verdana"/>
          <w:sz w:val="16"/>
          <w:szCs w:val="16"/>
          <w:lang w:val="en-US"/>
        </w:rPr>
        <w:t xml:space="preserve"> the Commission</w:t>
      </w:r>
      <w:r w:rsidRPr="00AC57EA">
        <w:rPr>
          <w:sz w:val="16"/>
          <w:szCs w:val="16"/>
          <w:lang w:val="en-US"/>
        </w:rPr>
        <w:t>, volume VII, folio 2586); 5) Writ of summons against V.P.C. of May 8, 2002, in the criminal action for defamation filed by a member of the Jury Court (file of procedure before</w:t>
      </w:r>
      <w:r w:rsidRPr="00AC57EA">
        <w:rPr>
          <w:rFonts w:cs="Verdana"/>
          <w:sz w:val="16"/>
          <w:szCs w:val="16"/>
          <w:lang w:val="en-US"/>
        </w:rPr>
        <w:t xml:space="preserve"> the Commission</w:t>
      </w:r>
      <w:r w:rsidRPr="00AC57EA">
        <w:rPr>
          <w:sz w:val="16"/>
          <w:szCs w:val="16"/>
          <w:lang w:val="en-US"/>
        </w:rPr>
        <w:t>, volume VII, folio 2587), and (6) Writ of summons against L.A.C.G. of June 5, 2002 (file of procedure before</w:t>
      </w:r>
      <w:r w:rsidRPr="00AC57EA">
        <w:rPr>
          <w:rFonts w:cs="Verdana"/>
          <w:sz w:val="16"/>
          <w:szCs w:val="16"/>
          <w:lang w:val="en-US"/>
        </w:rPr>
        <w:t xml:space="preserve"> the Commission</w:t>
      </w:r>
      <w:r w:rsidRPr="00AC57EA">
        <w:rPr>
          <w:sz w:val="16"/>
          <w:szCs w:val="16"/>
          <w:lang w:val="en-US"/>
        </w:rPr>
        <w:t>, volume VII, folio 2496).</w:t>
      </w:r>
    </w:p>
  </w:footnote>
  <w:footnote w:id="400">
    <w:p w14:paraId="743F7583" w14:textId="46E01E3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Statement made by V.P.C. before the Inter-American Court during the public hearing held on October 16 and 17, 2017.</w:t>
      </w:r>
    </w:p>
  </w:footnote>
  <w:footnote w:id="401">
    <w:p w14:paraId="418C10F6" w14:textId="56D7C7A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Statement made by V.R.P. before the Inter-American Court during the private hearing held on October 16, 2017, in which she asserted that: “they began to accuse [her] mother saying that what she had said about the doctor and the judge were lies. [She] was afraid that they would put [her] mother in prison, that they would hand [her] over to [her] father. [She] was afraid that they would take [her] away and hand [her] over to him and that they would do something to [her] mother. [They] had to leave; [they] had to leave [her] brothers, who were [her] support, they made [her] feel that [she] was protected, that [she] was safe.”</w:t>
      </w:r>
    </w:p>
  </w:footnote>
  <w:footnote w:id="402">
    <w:p w14:paraId="35737646" w14:textId="2373B9AE"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Affidavit made by H.J.R.P. on October 9, 2017 (evidence file, volume XVIII, </w:t>
      </w:r>
      <w:r w:rsidRPr="00AC57EA">
        <w:rPr>
          <w:iCs/>
          <w:sz w:val="16"/>
          <w:szCs w:val="16"/>
          <w:lang w:val="en-US"/>
        </w:rPr>
        <w:t>affidavits,</w:t>
      </w:r>
      <w:r w:rsidRPr="00AC57EA">
        <w:rPr>
          <w:sz w:val="16"/>
          <w:szCs w:val="16"/>
          <w:lang w:val="en-US"/>
        </w:rPr>
        <w:t xml:space="preserve"> folio 8349).</w:t>
      </w:r>
    </w:p>
  </w:footnote>
  <w:footnote w:id="403">
    <w:p w14:paraId="298D2B28" w14:textId="69636F5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D22834">
        <w:rPr>
          <w:sz w:val="16"/>
          <w:szCs w:val="16"/>
          <w:lang w:val="es-CR"/>
        </w:rPr>
        <w:t xml:space="preserve"> </w:t>
      </w:r>
      <w:r w:rsidRPr="00D22834">
        <w:rPr>
          <w:sz w:val="16"/>
          <w:szCs w:val="16"/>
          <w:lang w:val="es-CR"/>
        </w:rPr>
        <w:tab/>
      </w:r>
      <w:r w:rsidRPr="00D22834">
        <w:rPr>
          <w:i/>
          <w:sz w:val="16"/>
          <w:szCs w:val="16"/>
          <w:lang w:val="es-CR"/>
        </w:rPr>
        <w:t xml:space="preserve">Cf. </w:t>
      </w:r>
      <w:r w:rsidRPr="00D22834">
        <w:rPr>
          <w:bCs/>
          <w:i/>
          <w:sz w:val="16"/>
          <w:szCs w:val="16"/>
          <w:lang w:val="es-CR"/>
        </w:rPr>
        <w:t>Case of Acosta et al. v. Nicaragua, supra</w:t>
      </w:r>
      <w:r w:rsidRPr="00D22834">
        <w:rPr>
          <w:bCs/>
          <w:sz w:val="16"/>
          <w:szCs w:val="16"/>
          <w:lang w:val="es-CR"/>
        </w:rPr>
        <w:t xml:space="preserve">, para. </w:t>
      </w:r>
      <w:r w:rsidRPr="00AC57EA">
        <w:rPr>
          <w:bCs/>
          <w:sz w:val="16"/>
          <w:szCs w:val="16"/>
          <w:lang w:val="en-US"/>
        </w:rPr>
        <w:t>192.</w:t>
      </w:r>
    </w:p>
  </w:footnote>
  <w:footnote w:id="404">
    <w:p w14:paraId="266079D0" w14:textId="0B9D544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 xml:space="preserve">Human Rights Council, </w:t>
      </w:r>
      <w:r w:rsidRPr="00AC57EA">
        <w:rPr>
          <w:i/>
          <w:sz w:val="16"/>
          <w:szCs w:val="16"/>
          <w:lang w:val="en-US"/>
        </w:rPr>
        <w:t>Report of the Working Group on the Universal Periodic Review: Nicaragua</w:t>
      </w:r>
      <w:r w:rsidRPr="00AC57EA">
        <w:rPr>
          <w:sz w:val="16"/>
          <w:szCs w:val="16"/>
          <w:lang w:val="en-US"/>
        </w:rPr>
        <w:t xml:space="preserve">, UN Doc. A/HRC/14/3, March 17, 2010, paras. 82, 92.36 to 92.39; CEDAW, </w:t>
      </w:r>
      <w:r w:rsidRPr="00AC57EA">
        <w:rPr>
          <w:i/>
          <w:sz w:val="16"/>
          <w:szCs w:val="16"/>
          <w:lang w:val="en-US"/>
        </w:rPr>
        <w:t>Concluding Comments of the Committee on the Elimination of Violence against Women: Nicaragua</w:t>
      </w:r>
      <w:r w:rsidRPr="00AC57EA">
        <w:rPr>
          <w:sz w:val="16"/>
          <w:szCs w:val="16"/>
          <w:lang w:val="en-US"/>
        </w:rPr>
        <w:t xml:space="preserve">, February 2, 2007, UN Doc. CEDAW/C/NIC/CO/6, paras. 19 and 20; Human Rights Committee, </w:t>
      </w:r>
      <w:r w:rsidRPr="00AC57EA">
        <w:rPr>
          <w:i/>
          <w:sz w:val="16"/>
          <w:szCs w:val="16"/>
          <w:lang w:val="en-US"/>
        </w:rPr>
        <w:t>Consideration of reports submitted by States Parties under Article 40 of the Covenant. Concluding observations of the Human Rights Committee: Nicaragua,</w:t>
      </w:r>
      <w:r w:rsidRPr="00AC57EA">
        <w:rPr>
          <w:sz w:val="16"/>
          <w:szCs w:val="16"/>
          <w:lang w:val="en-US"/>
        </w:rPr>
        <w:t xml:space="preserve"> UN Doc. CCPR/C/NIC/CO/3, December 12, 2008, paras. 8, 12 and 19, and Committee on the Rights of the Child, </w:t>
      </w:r>
      <w:r w:rsidRPr="00AC57EA">
        <w:rPr>
          <w:i/>
          <w:sz w:val="16"/>
          <w:szCs w:val="16"/>
          <w:lang w:val="en-US"/>
        </w:rPr>
        <w:t>Consideration of reports submitted by States parties under article 12 (1) of the Optional Protocol to the Convention on the Rights of the Child on the sale of children, child prostitution, and child pornography</w:t>
      </w:r>
      <w:r w:rsidRPr="00AC57EA">
        <w:rPr>
          <w:sz w:val="16"/>
          <w:szCs w:val="16"/>
          <w:lang w:val="en-US"/>
        </w:rPr>
        <w:t xml:space="preserve">, </w:t>
      </w:r>
      <w:r w:rsidRPr="00AC57EA">
        <w:rPr>
          <w:i/>
          <w:iCs/>
          <w:sz w:val="16"/>
          <w:szCs w:val="16"/>
          <w:lang w:val="en-US"/>
        </w:rPr>
        <w:t>Concluding observations: Nicaragua</w:t>
      </w:r>
      <w:r w:rsidRPr="00AC57EA">
        <w:rPr>
          <w:sz w:val="16"/>
          <w:szCs w:val="16"/>
          <w:lang w:val="en-US"/>
        </w:rPr>
        <w:t>. UN Doc. CRC/C/OPSC/NIC/CO/1, October 21, 2010, paras. 33 to 36.</w:t>
      </w:r>
    </w:p>
  </w:footnote>
  <w:footnote w:id="405">
    <w:p w14:paraId="5E2DE293" w14:textId="05A16F74" w:rsidR="003C0AC1" w:rsidRPr="00AC57EA" w:rsidRDefault="003C0AC1" w:rsidP="00AC57EA">
      <w:pPr>
        <w:pStyle w:val="Textonotapie"/>
        <w:tabs>
          <w:tab w:val="left" w:pos="540"/>
        </w:tabs>
        <w:spacing w:after="60"/>
        <w:rPr>
          <w:sz w:val="16"/>
          <w:szCs w:val="16"/>
          <w:lang w:val="en-US"/>
        </w:rPr>
      </w:pPr>
      <w:r w:rsidRPr="00AC57EA">
        <w:rPr>
          <w:rStyle w:val="Refdenotaalpie"/>
          <w:rFonts w:eastAsiaTheme="majorEastAsia"/>
          <w:sz w:val="16"/>
          <w:szCs w:val="16"/>
          <w:lang w:val="en-US"/>
        </w:rPr>
        <w:footnoteRef/>
      </w:r>
      <w:r w:rsidRPr="00AC57EA">
        <w:rPr>
          <w:sz w:val="16"/>
          <w:szCs w:val="16"/>
          <w:lang w:val="en-US"/>
        </w:rPr>
        <w:t xml:space="preserve"> </w:t>
      </w:r>
      <w:r w:rsidRPr="00AC57EA">
        <w:rPr>
          <w:sz w:val="16"/>
          <w:szCs w:val="16"/>
          <w:lang w:val="en-US"/>
        </w:rPr>
        <w:tab/>
        <w:t>Article 5(1) of the Convention stipulates that: “[E]</w:t>
      </w:r>
      <w:r w:rsidRPr="00AC57EA">
        <w:rPr>
          <w:spacing w:val="-3"/>
          <w:sz w:val="16"/>
          <w:szCs w:val="16"/>
          <w:lang w:val="en-US"/>
        </w:rPr>
        <w:t>very person has the right to have his physical, mental, and moral integrity respected.</w:t>
      </w:r>
      <w:r w:rsidRPr="00AC57EA">
        <w:rPr>
          <w:sz w:val="16"/>
          <w:szCs w:val="16"/>
          <w:lang w:val="en-US"/>
        </w:rPr>
        <w:t>”</w:t>
      </w:r>
    </w:p>
  </w:footnote>
  <w:footnote w:id="406">
    <w:p w14:paraId="2159FC38" w14:textId="78D2784F"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Ximenes Lopes v. Brazil. </w:t>
      </w:r>
      <w:r w:rsidRPr="00AC57EA">
        <w:rPr>
          <w:sz w:val="16"/>
          <w:szCs w:val="16"/>
          <w:lang w:val="en-US"/>
        </w:rPr>
        <w:t xml:space="preserve">Judgment of July 4, 2006. Series C No. 149, para. </w:t>
      </w:r>
      <w:r w:rsidRPr="00D22834">
        <w:rPr>
          <w:sz w:val="16"/>
          <w:szCs w:val="16"/>
        </w:rPr>
        <w:t xml:space="preserve">156, and </w:t>
      </w:r>
      <w:r w:rsidRPr="00D22834">
        <w:rPr>
          <w:i/>
          <w:sz w:val="16"/>
          <w:szCs w:val="16"/>
        </w:rPr>
        <w:t>Case of Vereda La Esperanza v. Colombia, supra</w:t>
      </w:r>
      <w:r w:rsidRPr="00D22834">
        <w:rPr>
          <w:sz w:val="16"/>
          <w:szCs w:val="16"/>
        </w:rPr>
        <w:t>,</w:t>
      </w:r>
      <w:r w:rsidRPr="00D22834">
        <w:rPr>
          <w:i/>
          <w:sz w:val="16"/>
          <w:szCs w:val="16"/>
        </w:rPr>
        <w:t xml:space="preserve"> </w:t>
      </w:r>
      <w:r w:rsidRPr="00D22834">
        <w:rPr>
          <w:sz w:val="16"/>
          <w:szCs w:val="16"/>
        </w:rPr>
        <w:t xml:space="preserve">para. </w:t>
      </w:r>
      <w:r w:rsidRPr="00AC57EA">
        <w:rPr>
          <w:sz w:val="16"/>
          <w:szCs w:val="16"/>
          <w:lang w:val="en-US"/>
        </w:rPr>
        <w:t>249.</w:t>
      </w:r>
    </w:p>
  </w:footnote>
  <w:footnote w:id="407">
    <w:p w14:paraId="142DA984" w14:textId="7EFA414D" w:rsidR="003C0AC1" w:rsidRPr="00AC57EA" w:rsidRDefault="003C0AC1" w:rsidP="00AC57EA">
      <w:pPr>
        <w:pStyle w:val="Piedepgina"/>
        <w:tabs>
          <w:tab w:val="left" w:pos="540"/>
          <w:tab w:val="left" w:pos="720"/>
        </w:tabs>
        <w:spacing w:after="60"/>
        <w:jc w:val="both"/>
        <w:rPr>
          <w:rFonts w:ascii="Verdana" w:hAnsi="Verdana"/>
          <w:sz w:val="16"/>
          <w:szCs w:val="16"/>
        </w:rPr>
      </w:pPr>
      <w:r w:rsidRPr="00AC57EA">
        <w:rPr>
          <w:rStyle w:val="Refdenotaalpie"/>
          <w:rFonts w:ascii="Verdana" w:hAnsi="Verdana"/>
          <w:sz w:val="16"/>
          <w:szCs w:val="16"/>
        </w:rPr>
        <w:footnoteRef/>
      </w:r>
      <w:r w:rsidRPr="00AC57EA">
        <w:rPr>
          <w:rFonts w:ascii="Verdana" w:hAnsi="Verdana"/>
          <w:sz w:val="16"/>
          <w:szCs w:val="16"/>
        </w:rPr>
        <w:t xml:space="preserve"> </w:t>
      </w:r>
      <w:r w:rsidRPr="00AC57EA">
        <w:rPr>
          <w:rFonts w:ascii="Verdana" w:hAnsi="Verdana"/>
          <w:sz w:val="16"/>
          <w:szCs w:val="16"/>
        </w:rPr>
        <w:tab/>
      </w:r>
      <w:r w:rsidRPr="00AC57EA">
        <w:rPr>
          <w:rFonts w:ascii="Verdana" w:hAnsi="Verdana"/>
          <w:i/>
          <w:sz w:val="16"/>
          <w:szCs w:val="16"/>
        </w:rPr>
        <w:t xml:space="preserve">Cf. Case of Blake v. Guatemala. Merits. </w:t>
      </w:r>
      <w:r w:rsidRPr="00AC57EA">
        <w:rPr>
          <w:rFonts w:ascii="Verdana" w:hAnsi="Verdana"/>
          <w:sz w:val="16"/>
          <w:szCs w:val="16"/>
        </w:rPr>
        <w:t>Judgment of January 24, 1998.</w:t>
      </w:r>
      <w:r w:rsidRPr="00AC57EA">
        <w:rPr>
          <w:rFonts w:ascii="Verdana" w:hAnsi="Verdana"/>
          <w:i/>
          <w:sz w:val="16"/>
          <w:szCs w:val="16"/>
        </w:rPr>
        <w:t xml:space="preserve"> </w:t>
      </w:r>
      <w:r w:rsidRPr="00D22834">
        <w:rPr>
          <w:rFonts w:ascii="Verdana" w:hAnsi="Verdana"/>
          <w:sz w:val="16"/>
          <w:szCs w:val="16"/>
          <w:lang w:val="es-CR"/>
        </w:rPr>
        <w:t xml:space="preserve">Series C No. 36, para. 114, and </w:t>
      </w:r>
      <w:r w:rsidRPr="00D22834">
        <w:rPr>
          <w:rFonts w:ascii="Verdana" w:hAnsi="Verdana"/>
          <w:i/>
          <w:sz w:val="16"/>
          <w:szCs w:val="16"/>
          <w:lang w:val="es-CR"/>
        </w:rPr>
        <w:t xml:space="preserve">Case of Valencia Hinojosa et al. v. Ecuador. </w:t>
      </w:r>
      <w:r w:rsidRPr="00AC57EA">
        <w:rPr>
          <w:rFonts w:ascii="Verdana" w:hAnsi="Verdana"/>
          <w:i/>
          <w:sz w:val="16"/>
          <w:szCs w:val="16"/>
        </w:rPr>
        <w:t>Preliminary objections, merits, reparations and costs</w:t>
      </w:r>
      <w:r w:rsidRPr="00AC57EA">
        <w:rPr>
          <w:rFonts w:ascii="Verdana" w:hAnsi="Verdana"/>
          <w:sz w:val="16"/>
          <w:szCs w:val="16"/>
        </w:rPr>
        <w:t>. Judgment of November 29, 2016. Series C No. 327, para. 142.</w:t>
      </w:r>
    </w:p>
  </w:footnote>
  <w:footnote w:id="408">
    <w:p w14:paraId="36CCF722" w14:textId="39969C77" w:rsidR="003C0AC1" w:rsidRPr="00AC57EA" w:rsidRDefault="003C0AC1" w:rsidP="00AC57EA">
      <w:pPr>
        <w:tabs>
          <w:tab w:val="left" w:pos="426"/>
          <w:tab w:val="left" w:pos="540"/>
        </w:tabs>
        <w:spacing w:after="60" w:line="240" w:lineRule="auto"/>
        <w:rPr>
          <w:rFonts w:eastAsiaTheme="minorEastAsia" w:cstheme="minorBidi"/>
          <w:i/>
          <w:sz w:val="16"/>
          <w:szCs w:val="16"/>
          <w:lang w:val="en-US" w:eastAsia="es-PE"/>
        </w:rPr>
      </w:pPr>
      <w:r w:rsidRPr="00AC57EA">
        <w:rPr>
          <w:rStyle w:val="Refdenotaalpie"/>
          <w:sz w:val="16"/>
          <w:szCs w:val="16"/>
          <w:lang w:val="en-US"/>
        </w:rPr>
        <w:footnoteRef/>
      </w:r>
      <w:r w:rsidRPr="00AC57EA">
        <w:rPr>
          <w:sz w:val="16"/>
          <w:szCs w:val="16"/>
          <w:lang w:val="en-US"/>
        </w:rPr>
        <w:tab/>
      </w:r>
      <w:r w:rsidRPr="00AC57EA">
        <w:rPr>
          <w:rFonts w:eastAsiaTheme="minorEastAsia" w:cstheme="minorBidi"/>
          <w:i/>
          <w:sz w:val="16"/>
          <w:szCs w:val="16"/>
          <w:lang w:val="en-US" w:eastAsia="es-PE"/>
        </w:rPr>
        <w:t xml:space="preserve">Cf. Case of Bámaca Velásquez v. Guatemala. Merits. </w:t>
      </w:r>
      <w:r w:rsidRPr="00AC57EA">
        <w:rPr>
          <w:rFonts w:eastAsiaTheme="minorEastAsia" w:cstheme="minorBidi"/>
          <w:sz w:val="16"/>
          <w:szCs w:val="16"/>
          <w:lang w:val="en-US" w:eastAsia="es-PE"/>
        </w:rPr>
        <w:t xml:space="preserve">Judgment of November 25, 2000. </w:t>
      </w:r>
      <w:r w:rsidRPr="00D22834">
        <w:rPr>
          <w:rFonts w:eastAsiaTheme="minorEastAsia" w:cstheme="minorBidi"/>
          <w:sz w:val="16"/>
          <w:szCs w:val="16"/>
          <w:lang w:eastAsia="es-PE"/>
        </w:rPr>
        <w:t xml:space="preserve">Series C No. 70, para. 163, and </w:t>
      </w:r>
      <w:r w:rsidRPr="00D22834">
        <w:rPr>
          <w:i/>
          <w:sz w:val="16"/>
          <w:szCs w:val="16"/>
        </w:rPr>
        <w:t>Case of Valencia Hinojosa et al. v. Ecuador, supra</w:t>
      </w:r>
      <w:r w:rsidRPr="00D22834">
        <w:rPr>
          <w:sz w:val="16"/>
          <w:szCs w:val="16"/>
        </w:rPr>
        <w:t xml:space="preserve">, para. </w:t>
      </w:r>
      <w:r w:rsidRPr="00AC57EA">
        <w:rPr>
          <w:sz w:val="16"/>
          <w:szCs w:val="16"/>
          <w:lang w:val="en-US"/>
        </w:rPr>
        <w:t>142.</w:t>
      </w:r>
    </w:p>
  </w:footnote>
  <w:footnote w:id="409">
    <w:p w14:paraId="42B3240B" w14:textId="75E9AA66" w:rsidR="003C0AC1" w:rsidRPr="00D22834" w:rsidRDefault="003C0AC1" w:rsidP="00AC57EA">
      <w:pPr>
        <w:pStyle w:val="Textonotapie"/>
        <w:tabs>
          <w:tab w:val="left" w:pos="540"/>
          <w:tab w:val="left" w:pos="709"/>
        </w:tabs>
        <w:spacing w:after="60"/>
        <w:rPr>
          <w:rFonts w:eastAsiaTheme="minorEastAsia" w:cstheme="minorBidi"/>
          <w:sz w:val="16"/>
          <w:szCs w:val="16"/>
          <w:lang w:val="es-CR" w:eastAsia="es-PE"/>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The Court has applied the </w:t>
      </w:r>
      <w:r w:rsidRPr="00AC57EA">
        <w:rPr>
          <w:rFonts w:eastAsia="MS Mincho"/>
          <w:i/>
          <w:sz w:val="16"/>
          <w:szCs w:val="16"/>
          <w:lang w:val="en-US"/>
        </w:rPr>
        <w:t>iuris tantum</w:t>
      </w:r>
      <w:r w:rsidRPr="00AC57EA">
        <w:rPr>
          <w:rFonts w:eastAsia="MS Mincho"/>
          <w:sz w:val="16"/>
          <w:szCs w:val="16"/>
          <w:lang w:val="en-US"/>
        </w:rPr>
        <w:t xml:space="preserve"> </w:t>
      </w:r>
      <w:r w:rsidRPr="00AC57EA">
        <w:rPr>
          <w:sz w:val="16"/>
          <w:szCs w:val="16"/>
          <w:lang w:val="en-US"/>
        </w:rPr>
        <w:t>presumption</w:t>
      </w:r>
      <w:r w:rsidRPr="00AC57EA">
        <w:rPr>
          <w:rFonts w:eastAsia="MS Mincho"/>
          <w:sz w:val="16"/>
          <w:szCs w:val="16"/>
          <w:lang w:val="en-US"/>
        </w:rPr>
        <w:t xml:space="preserve"> with regard to mothers and fathers, daughters and sons, spouses and permanent companions, for example in cases of massacres, forced disappearances and extrajudicial executions. </w:t>
      </w:r>
      <w:r w:rsidRPr="00D22834">
        <w:rPr>
          <w:rFonts w:eastAsia="MS Mincho"/>
          <w:i/>
          <w:sz w:val="16"/>
          <w:szCs w:val="16"/>
          <w:lang w:val="es-CR"/>
        </w:rPr>
        <w:t>Cf. Case of Valle Jaramillo et al. v. Colombia, supra,</w:t>
      </w:r>
      <w:r w:rsidRPr="00D22834">
        <w:rPr>
          <w:rFonts w:eastAsia="MS Mincho"/>
          <w:sz w:val="16"/>
          <w:szCs w:val="16"/>
          <w:lang w:val="es-CR"/>
        </w:rPr>
        <w:t xml:space="preserve"> para. 119, and </w:t>
      </w:r>
      <w:r w:rsidRPr="00D22834">
        <w:rPr>
          <w:i/>
          <w:sz w:val="16"/>
          <w:szCs w:val="16"/>
          <w:lang w:val="es-CR"/>
        </w:rPr>
        <w:t>Case of Espinoza Gonzáles v. Peru, supra</w:t>
      </w:r>
      <w:r w:rsidRPr="00D22834">
        <w:rPr>
          <w:sz w:val="16"/>
          <w:szCs w:val="16"/>
          <w:lang w:val="es-CR"/>
        </w:rPr>
        <w:t>, para. 296</w:t>
      </w:r>
      <w:r w:rsidRPr="00D22834">
        <w:rPr>
          <w:rFonts w:cs="Courier New"/>
          <w:sz w:val="16"/>
          <w:szCs w:val="16"/>
          <w:lang w:val="es-CR"/>
        </w:rPr>
        <w:t>.</w:t>
      </w:r>
    </w:p>
  </w:footnote>
  <w:footnote w:id="410">
    <w:p w14:paraId="01807B31" w14:textId="66EBE8D9" w:rsidR="003C0AC1" w:rsidRPr="00AC57EA" w:rsidRDefault="003C0AC1" w:rsidP="00AC57EA">
      <w:pPr>
        <w:pStyle w:val="Textonotapie"/>
        <w:tabs>
          <w:tab w:val="left" w:pos="540"/>
        </w:tabs>
        <w:spacing w:after="60"/>
        <w:rPr>
          <w:rFonts w:eastAsiaTheme="minorEastAsia"/>
          <w:i/>
          <w:sz w:val="16"/>
          <w:szCs w:val="16"/>
          <w:lang w:val="en-US" w:eastAsia="es-PE"/>
        </w:rPr>
      </w:pPr>
      <w:r w:rsidRPr="00AC57EA">
        <w:rPr>
          <w:rFonts w:eastAsiaTheme="minorEastAsia"/>
          <w:sz w:val="16"/>
          <w:szCs w:val="16"/>
          <w:vertAlign w:val="superscript"/>
          <w:lang w:val="en-US" w:eastAsia="es-PE"/>
        </w:rPr>
        <w:footnoteRef/>
      </w:r>
      <w:r w:rsidRPr="00D22834">
        <w:rPr>
          <w:rFonts w:eastAsiaTheme="minorEastAsia"/>
          <w:i/>
          <w:sz w:val="16"/>
          <w:szCs w:val="16"/>
          <w:lang w:val="es-CR" w:eastAsia="es-PE"/>
        </w:rPr>
        <w:t xml:space="preserve"> </w:t>
      </w:r>
      <w:r w:rsidRPr="00D22834">
        <w:rPr>
          <w:rFonts w:eastAsiaTheme="minorEastAsia"/>
          <w:i/>
          <w:sz w:val="16"/>
          <w:szCs w:val="16"/>
          <w:lang w:val="es-CR" w:eastAsia="es-PE"/>
        </w:rPr>
        <w:tab/>
        <w:t>Cf. Case of Valle Jaramillo et al. v. Colombia, supra</w:t>
      </w:r>
      <w:r w:rsidRPr="00D22834">
        <w:rPr>
          <w:rFonts w:eastAsiaTheme="minorEastAsia"/>
          <w:sz w:val="16"/>
          <w:szCs w:val="16"/>
          <w:lang w:val="es-CR" w:eastAsia="es-PE"/>
        </w:rPr>
        <w:t xml:space="preserve">, para. 119, and </w:t>
      </w:r>
      <w:r w:rsidRPr="00D22834">
        <w:rPr>
          <w:rFonts w:eastAsiaTheme="minorEastAsia"/>
          <w:i/>
          <w:sz w:val="16"/>
          <w:szCs w:val="16"/>
          <w:lang w:val="es-CR" w:eastAsia="es-PE"/>
        </w:rPr>
        <w:t>Case of Valencia Hinojosa et al. v. Ecuador, supra</w:t>
      </w:r>
      <w:r w:rsidRPr="00D22834">
        <w:rPr>
          <w:rFonts w:eastAsiaTheme="minorEastAsia"/>
          <w:sz w:val="16"/>
          <w:szCs w:val="16"/>
          <w:lang w:val="es-CR" w:eastAsia="es-PE"/>
        </w:rPr>
        <w:t xml:space="preserve">, para. </w:t>
      </w:r>
      <w:r w:rsidRPr="00AC57EA">
        <w:rPr>
          <w:rFonts w:eastAsiaTheme="minorEastAsia"/>
          <w:sz w:val="16"/>
          <w:szCs w:val="16"/>
          <w:lang w:val="en-US" w:eastAsia="es-PE"/>
        </w:rPr>
        <w:t>143.</w:t>
      </w:r>
    </w:p>
  </w:footnote>
  <w:footnote w:id="411">
    <w:p w14:paraId="3902B34F" w14:textId="46137C6B"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Statement made by V.P.C. before the Inter-American Court during the public hearing held on October 17, 2017.</w:t>
      </w:r>
    </w:p>
  </w:footnote>
  <w:footnote w:id="412">
    <w:p w14:paraId="37A5B37E" w14:textId="7BEF106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Expert opinion provided by Enrique Oscar Stola before the Inter-American Court during the public hearing held on October 16 and 17, 2017.</w:t>
      </w:r>
    </w:p>
  </w:footnote>
  <w:footnote w:id="413">
    <w:p w14:paraId="3615A771" w14:textId="2B831CD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Statement made by V.P.C. before the Inter-American Court during the public hearing held on October 17, 2017.</w:t>
      </w:r>
    </w:p>
  </w:footnote>
  <w:footnote w:id="414">
    <w:p w14:paraId="6AE3CD40" w14:textId="6C9584E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Statement made by V.P.C. before the Inter-American Court during the public hearing held on October 17, 2017.</w:t>
      </w:r>
    </w:p>
  </w:footnote>
  <w:footnote w:id="415">
    <w:p w14:paraId="208771D3" w14:textId="09C0DD6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Affidavit made by H.J.R.P. on October 9, 2017 (evidence file, volume XVIII, </w:t>
      </w:r>
      <w:r w:rsidRPr="00AC57EA">
        <w:rPr>
          <w:iCs/>
          <w:sz w:val="16"/>
          <w:szCs w:val="16"/>
          <w:lang w:val="en-US"/>
        </w:rPr>
        <w:t>affidavits, folios</w:t>
      </w:r>
      <w:r w:rsidRPr="00AC57EA">
        <w:rPr>
          <w:sz w:val="16"/>
          <w:szCs w:val="16"/>
          <w:lang w:val="en-US"/>
        </w:rPr>
        <w:t xml:space="preserve"> 8352 to 8358).</w:t>
      </w:r>
    </w:p>
  </w:footnote>
  <w:footnote w:id="416">
    <w:p w14:paraId="5887FF9E" w14:textId="7971BFB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Specifically, he stated that: “when my mother and my sisters left Nicaragua […] I lost all hope, I had no one to give me a mother’s emotional support; I had no one to give me financial support to continue studying. […] Everything fell to pieces, not only because of what had happened to my sister, but also because those who should have looked after them did not do so; they were left alone. The fact of being unable to study has destroyed me. […] The separation and disintegration of the family has affected all of us a lot. We cannot get over it […]. The gap is difficult to fill even after so many years. My health has got worse for this reason. The situation has prevented me from developing as a person, […]. My goal was to be a professional. I could not fulfill it because I did not have a mother. […] All this has affected my immune system, with reiterated health problems.” Affidavit made by V.A.R.P. on October 9, 2017 (evidence file, volume XVIII, </w:t>
      </w:r>
      <w:r w:rsidRPr="00AC57EA">
        <w:rPr>
          <w:iCs/>
          <w:sz w:val="16"/>
          <w:szCs w:val="16"/>
          <w:lang w:val="en-US"/>
        </w:rPr>
        <w:t>affidavits, folios</w:t>
      </w:r>
      <w:r w:rsidRPr="00AC57EA">
        <w:rPr>
          <w:sz w:val="16"/>
          <w:szCs w:val="16"/>
          <w:lang w:val="en-US"/>
        </w:rPr>
        <w:t xml:space="preserve"> 8364 to 8375). </w:t>
      </w:r>
    </w:p>
  </w:footnote>
  <w:footnote w:id="417">
    <w:p w14:paraId="5F09F814" w14:textId="3D6D902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In particular, she indicated: “[…] this situation has affected me in all spheres of my life […]. And in June [2017] I was hospitalized in a psychiatric hospital because I had a relapse owing to the events that took place in my past […].  The whole stressful situation experienced, post-traumatic stress, has cause severe harm to my health, even though I am young, but my health has deteriorated greatly.” Affidavit made by N.R.P. on October 10, 2017 (evidence file, volume XVIII, </w:t>
      </w:r>
      <w:r w:rsidRPr="00AC57EA">
        <w:rPr>
          <w:iCs/>
          <w:sz w:val="16"/>
          <w:szCs w:val="16"/>
          <w:lang w:val="en-US"/>
        </w:rPr>
        <w:t>affidavits, folios</w:t>
      </w:r>
      <w:r w:rsidRPr="00AC57EA">
        <w:rPr>
          <w:sz w:val="16"/>
          <w:szCs w:val="16"/>
          <w:lang w:val="en-US"/>
        </w:rPr>
        <w:t xml:space="preserve"> 8378 to 8398).</w:t>
      </w:r>
    </w:p>
  </w:footnote>
  <w:footnote w:id="418">
    <w:p w14:paraId="0EEAD246" w14:textId="752EF65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Article 63(1) of the Convention dispone que “[i]</w:t>
      </w:r>
      <w:r w:rsidRPr="00AC57EA">
        <w:rPr>
          <w:spacing w:val="-3"/>
          <w:sz w:val="16"/>
          <w:szCs w:val="16"/>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AC57EA">
        <w:rPr>
          <w:sz w:val="16"/>
          <w:szCs w:val="16"/>
          <w:lang w:val="en-US"/>
        </w:rPr>
        <w:t>”</w:t>
      </w:r>
    </w:p>
  </w:footnote>
  <w:footnote w:id="419">
    <w:p w14:paraId="61918924" w14:textId="0C1D3862" w:rsidR="003C0AC1" w:rsidRPr="00AC57EA" w:rsidRDefault="003C0AC1" w:rsidP="00AC57EA">
      <w:pPr>
        <w:tabs>
          <w:tab w:val="left" w:pos="540"/>
        </w:tabs>
        <w:spacing w:after="60" w:line="240" w:lineRule="auto"/>
        <w:rPr>
          <w:rFonts w:eastAsiaTheme="minorEastAsia"/>
          <w:i/>
          <w:sz w:val="16"/>
          <w:szCs w:val="16"/>
          <w:lang w:val="en-US" w:eastAsia="es-PE"/>
        </w:rPr>
      </w:pPr>
      <w:r w:rsidRPr="00AC57EA">
        <w:rPr>
          <w:rStyle w:val="Refdenotaalpie"/>
          <w:sz w:val="16"/>
          <w:szCs w:val="16"/>
          <w:lang w:val="en-US"/>
        </w:rPr>
        <w:footnoteRef/>
      </w:r>
      <w:r w:rsidRPr="00D22834">
        <w:rPr>
          <w:sz w:val="16"/>
          <w:szCs w:val="16"/>
        </w:rPr>
        <w:t xml:space="preserve"> </w:t>
      </w:r>
      <w:r w:rsidRPr="00D22834">
        <w:rPr>
          <w:sz w:val="16"/>
          <w:szCs w:val="16"/>
        </w:rPr>
        <w:tab/>
      </w:r>
      <w:r w:rsidRPr="00D22834">
        <w:rPr>
          <w:rFonts w:eastAsiaTheme="minorEastAsia"/>
          <w:i/>
          <w:sz w:val="16"/>
          <w:szCs w:val="16"/>
          <w:lang w:eastAsia="es-PE"/>
        </w:rPr>
        <w:t xml:space="preserve">Cf. Case of Velásquez Rodríguez v. Honduras. </w:t>
      </w:r>
      <w:r w:rsidRPr="00AC57EA">
        <w:rPr>
          <w:rFonts w:eastAsiaTheme="minorEastAsia"/>
          <w:i/>
          <w:sz w:val="16"/>
          <w:szCs w:val="16"/>
          <w:lang w:val="en-US" w:eastAsia="es-PE"/>
        </w:rPr>
        <w:t xml:space="preserve">Reparations and costs. </w:t>
      </w:r>
      <w:r w:rsidRPr="00AC57EA">
        <w:rPr>
          <w:rFonts w:eastAsiaTheme="minorEastAsia"/>
          <w:sz w:val="16"/>
          <w:szCs w:val="16"/>
          <w:lang w:val="en-US" w:eastAsia="es-PE"/>
        </w:rPr>
        <w:t xml:space="preserve">Judgment of July 21, 1989. Series C No. 7, para. 25, and </w:t>
      </w:r>
      <w:r w:rsidRPr="00AC57EA">
        <w:rPr>
          <w:rFonts w:eastAsiaTheme="minorEastAsia"/>
          <w:i/>
          <w:sz w:val="16"/>
          <w:szCs w:val="16"/>
          <w:lang w:val="en-US" w:eastAsia="es-PE"/>
        </w:rPr>
        <w:t xml:space="preserve">Case of the Dismissed Employees of PetroPerú et al. v. Peru, supra, </w:t>
      </w:r>
      <w:r w:rsidRPr="00AC57EA">
        <w:rPr>
          <w:rFonts w:eastAsiaTheme="minorEastAsia"/>
          <w:sz w:val="16"/>
          <w:szCs w:val="16"/>
          <w:lang w:val="en-US" w:eastAsia="es-PE"/>
        </w:rPr>
        <w:t>para. 194.</w:t>
      </w:r>
    </w:p>
  </w:footnote>
  <w:footnote w:id="420">
    <w:p w14:paraId="27470F62" w14:textId="17944105" w:rsidR="003C0AC1" w:rsidRPr="00AC57EA" w:rsidRDefault="003C0AC1" w:rsidP="00AC57EA">
      <w:pPr>
        <w:tabs>
          <w:tab w:val="left" w:pos="540"/>
        </w:tabs>
        <w:spacing w:after="60" w:line="240" w:lineRule="auto"/>
        <w:rPr>
          <w:rFonts w:eastAsiaTheme="minorEastAsia"/>
          <w:i/>
          <w:sz w:val="16"/>
          <w:szCs w:val="16"/>
          <w:lang w:val="en-US" w:eastAsia="es-PE"/>
        </w:rPr>
      </w:pPr>
      <w:r w:rsidRPr="00AC57EA">
        <w:rPr>
          <w:rStyle w:val="Refdenotaalpie"/>
          <w:rFonts w:eastAsia="MS Mincho"/>
          <w:sz w:val="16"/>
          <w:szCs w:val="16"/>
          <w:lang w:val="en-US"/>
        </w:rPr>
        <w:footnoteRef/>
      </w:r>
      <w:r w:rsidRPr="00AC57EA">
        <w:rPr>
          <w:sz w:val="16"/>
          <w:szCs w:val="16"/>
          <w:lang w:val="en-US"/>
        </w:rPr>
        <w:t xml:space="preserve"> </w:t>
      </w:r>
      <w:r w:rsidRPr="00AC57EA">
        <w:rPr>
          <w:sz w:val="16"/>
          <w:szCs w:val="16"/>
          <w:lang w:val="en-US"/>
        </w:rPr>
        <w:tab/>
      </w:r>
      <w:r w:rsidRPr="00AC57EA">
        <w:rPr>
          <w:rFonts w:eastAsiaTheme="minorEastAsia"/>
          <w:i/>
          <w:sz w:val="16"/>
          <w:szCs w:val="16"/>
          <w:lang w:val="en-US" w:eastAsia="es-PE"/>
        </w:rPr>
        <w:t>Cf. Case of Velásquez Rodríguez v. Honduras. Reparations and costs, supra</w:t>
      </w:r>
      <w:r w:rsidRPr="00AC57EA">
        <w:rPr>
          <w:rFonts w:eastAsiaTheme="minorEastAsia"/>
          <w:sz w:val="16"/>
          <w:szCs w:val="16"/>
          <w:lang w:val="en-US" w:eastAsia="es-PE"/>
        </w:rPr>
        <w:t xml:space="preserve">, paras. 25 and 26, and </w:t>
      </w:r>
      <w:r w:rsidRPr="00AC57EA">
        <w:rPr>
          <w:rFonts w:eastAsiaTheme="minorEastAsia"/>
          <w:i/>
          <w:sz w:val="16"/>
          <w:szCs w:val="16"/>
          <w:lang w:val="en-US" w:eastAsia="es-PE"/>
        </w:rPr>
        <w:t>Case of the Dismissed Employees of PetroPerú et al. v. Peru, supra</w:t>
      </w:r>
      <w:r w:rsidRPr="00AC57EA">
        <w:rPr>
          <w:rFonts w:eastAsiaTheme="minorEastAsia"/>
          <w:sz w:val="16"/>
          <w:szCs w:val="16"/>
          <w:lang w:val="en-US" w:eastAsia="es-PE"/>
        </w:rPr>
        <w:t>, paras. 194 and 195.</w:t>
      </w:r>
    </w:p>
  </w:footnote>
  <w:footnote w:id="421">
    <w:p w14:paraId="6C25EC41" w14:textId="6DC5304D" w:rsidR="003C0AC1" w:rsidRPr="00AC57EA" w:rsidRDefault="003C0AC1" w:rsidP="00AC57EA">
      <w:pPr>
        <w:tabs>
          <w:tab w:val="left" w:pos="540"/>
        </w:tabs>
        <w:spacing w:after="60" w:line="240" w:lineRule="auto"/>
        <w:rPr>
          <w:rFonts w:cs="Courier New"/>
          <w:bC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bCs/>
          <w:i/>
          <w:sz w:val="16"/>
          <w:szCs w:val="16"/>
          <w:lang w:val="en-US"/>
        </w:rPr>
        <w:t xml:space="preserve"> Case of Cantoral Benavides v. Peru. </w:t>
      </w:r>
      <w:r w:rsidRPr="00AC57EA">
        <w:rPr>
          <w:i/>
          <w:sz w:val="16"/>
          <w:szCs w:val="16"/>
          <w:lang w:val="en-US"/>
        </w:rPr>
        <w:t>Reparations and costs</w:t>
      </w:r>
      <w:r w:rsidRPr="00AC57EA">
        <w:rPr>
          <w:sz w:val="16"/>
          <w:szCs w:val="16"/>
          <w:lang w:val="en-US"/>
        </w:rPr>
        <w:t xml:space="preserve">. Judgment of December 3, 2001. Series C No. 88, paras. 79 a 81, and </w:t>
      </w:r>
      <w:r w:rsidRPr="00AC57EA">
        <w:rPr>
          <w:rFonts w:eastAsiaTheme="minorEastAsia"/>
          <w:i/>
          <w:sz w:val="16"/>
          <w:szCs w:val="16"/>
          <w:lang w:val="en-US" w:eastAsia="es-PE"/>
        </w:rPr>
        <w:t>Case of the Dismissed Employees of PetroPerú et al. v. Peru, supra</w:t>
      </w:r>
      <w:r w:rsidRPr="00AC57EA">
        <w:rPr>
          <w:rFonts w:eastAsiaTheme="minorEastAsia"/>
          <w:sz w:val="16"/>
          <w:szCs w:val="16"/>
          <w:lang w:val="en-US" w:eastAsia="es-PE"/>
        </w:rPr>
        <w:t>, para. 195.</w:t>
      </w:r>
    </w:p>
  </w:footnote>
  <w:footnote w:id="422">
    <w:p w14:paraId="05E568A9" w14:textId="219B63C4" w:rsidR="003C0AC1" w:rsidRPr="00AC57EA" w:rsidRDefault="003C0AC1" w:rsidP="00AC57EA">
      <w:pPr>
        <w:tabs>
          <w:tab w:val="left" w:pos="540"/>
        </w:tabs>
        <w:spacing w:after="60" w:line="240" w:lineRule="auto"/>
        <w:rPr>
          <w:bCs/>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Ticona Estrada v. Bolivia. Merits, reparations and costs. </w:t>
      </w:r>
      <w:r w:rsidRPr="00AC57EA">
        <w:rPr>
          <w:sz w:val="16"/>
          <w:szCs w:val="16"/>
          <w:lang w:val="en-US"/>
        </w:rPr>
        <w:t xml:space="preserve">Judgment of November 27, 2008. Series C No. 191, para. 110, and </w:t>
      </w:r>
      <w:r w:rsidRPr="00AC57EA">
        <w:rPr>
          <w:rFonts w:eastAsiaTheme="minorEastAsia"/>
          <w:i/>
          <w:sz w:val="16"/>
          <w:szCs w:val="16"/>
          <w:lang w:val="en-US" w:eastAsia="es-PE"/>
        </w:rPr>
        <w:t xml:space="preserve">Case of the Dismissed Employees of PetroPerú et al. v. Peru, supra, </w:t>
      </w:r>
      <w:r w:rsidRPr="00AC57EA">
        <w:rPr>
          <w:rFonts w:eastAsiaTheme="minorEastAsia"/>
          <w:sz w:val="16"/>
          <w:szCs w:val="16"/>
          <w:lang w:val="en-US" w:eastAsia="es-PE"/>
        </w:rPr>
        <w:t>para. 196.</w:t>
      </w:r>
    </w:p>
  </w:footnote>
  <w:footnote w:id="423">
    <w:p w14:paraId="4CECD65D" w14:textId="7FAACF41" w:rsidR="003C0AC1" w:rsidRPr="00AC57EA" w:rsidRDefault="003C0AC1" w:rsidP="00AC57EA">
      <w:pPr>
        <w:pStyle w:val="Textonotapie"/>
        <w:tabs>
          <w:tab w:val="left" w:pos="540"/>
          <w:tab w:val="left" w:pos="709"/>
        </w:tabs>
        <w:spacing w:after="60"/>
        <w:rPr>
          <w:rFonts w:eastAsiaTheme="minorEastAsia"/>
          <w:i/>
          <w:sz w:val="16"/>
          <w:szCs w:val="16"/>
          <w:lang w:val="en-US" w:eastAsia="es-PE"/>
        </w:rPr>
      </w:pPr>
      <w:r w:rsidRPr="00AC57EA">
        <w:rPr>
          <w:rStyle w:val="Refdenotaalpie"/>
          <w:sz w:val="16"/>
          <w:szCs w:val="16"/>
          <w:lang w:val="en-US"/>
        </w:rPr>
        <w:footnoteRef/>
      </w:r>
      <w:r w:rsidRPr="00AC57EA">
        <w:rPr>
          <w:rFonts w:cs="Verdana"/>
          <w:bCs/>
          <w:i/>
          <w:sz w:val="16"/>
          <w:szCs w:val="16"/>
          <w:lang w:val="en-US"/>
        </w:rPr>
        <w:tab/>
      </w:r>
      <w:r w:rsidRPr="00AC57EA">
        <w:rPr>
          <w:i/>
          <w:sz w:val="16"/>
          <w:szCs w:val="16"/>
          <w:lang w:val="en-US"/>
        </w:rPr>
        <w:t>Cf.</w:t>
      </w:r>
      <w:r w:rsidRPr="00AC57EA">
        <w:rPr>
          <w:bCs/>
          <w:i/>
          <w:sz w:val="16"/>
          <w:szCs w:val="16"/>
          <w:lang w:val="en-US"/>
        </w:rPr>
        <w:t xml:space="preserve"> Case of Velásquez Rodríguez v. Honduras. </w:t>
      </w:r>
      <w:r w:rsidRPr="00AC57EA">
        <w:rPr>
          <w:i/>
          <w:sz w:val="16"/>
          <w:szCs w:val="16"/>
          <w:lang w:val="en-US"/>
        </w:rPr>
        <w:t>Reparations and costs</w:t>
      </w:r>
      <w:r w:rsidRPr="00AC57EA">
        <w:rPr>
          <w:sz w:val="16"/>
          <w:szCs w:val="16"/>
          <w:lang w:val="en-US"/>
        </w:rPr>
        <w:t xml:space="preserve">, </w:t>
      </w:r>
      <w:r w:rsidRPr="00AC57EA">
        <w:rPr>
          <w:i/>
          <w:sz w:val="16"/>
          <w:szCs w:val="16"/>
          <w:lang w:val="en-US"/>
        </w:rPr>
        <w:t>supra</w:t>
      </w:r>
      <w:r w:rsidRPr="00AC57EA">
        <w:rPr>
          <w:sz w:val="16"/>
          <w:szCs w:val="16"/>
          <w:lang w:val="en-US"/>
        </w:rPr>
        <w:t xml:space="preserve">, paras. 25 to 27, and </w:t>
      </w:r>
      <w:r w:rsidRPr="00AC57EA">
        <w:rPr>
          <w:rFonts w:eastAsiaTheme="minorEastAsia"/>
          <w:i/>
          <w:sz w:val="16"/>
          <w:szCs w:val="16"/>
          <w:lang w:val="en-US" w:eastAsia="es-PE"/>
        </w:rPr>
        <w:t>Case of the Dismissed Employees of PetroPerú et al. v. Peru, supra</w:t>
      </w:r>
      <w:r w:rsidRPr="00AC57EA">
        <w:rPr>
          <w:rFonts w:eastAsiaTheme="minorEastAsia"/>
          <w:sz w:val="16"/>
          <w:szCs w:val="16"/>
          <w:lang w:val="en-US" w:eastAsia="es-PE"/>
        </w:rPr>
        <w:t>,</w:t>
      </w:r>
      <w:r w:rsidRPr="00AC57EA">
        <w:rPr>
          <w:rFonts w:eastAsiaTheme="minorEastAsia"/>
          <w:i/>
          <w:sz w:val="16"/>
          <w:szCs w:val="16"/>
          <w:lang w:val="en-US" w:eastAsia="es-PE"/>
        </w:rPr>
        <w:t xml:space="preserve"> </w:t>
      </w:r>
      <w:r w:rsidRPr="00AC57EA">
        <w:rPr>
          <w:rFonts w:eastAsiaTheme="minorEastAsia"/>
          <w:sz w:val="16"/>
          <w:szCs w:val="16"/>
          <w:lang w:val="en-US" w:eastAsia="es-PE"/>
        </w:rPr>
        <w:t>para. 197.</w:t>
      </w:r>
    </w:p>
  </w:footnote>
  <w:footnote w:id="424">
    <w:p w14:paraId="34E885C1" w14:textId="1263BA2F"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Death certificate of H.R.A. (evidence file, volume XVII, annex 43 to the answering brief of the State, folio 8344).</w:t>
      </w:r>
    </w:p>
  </w:footnote>
  <w:footnote w:id="425">
    <w:p w14:paraId="575FFA07" w14:textId="6830F900" w:rsidR="003C0AC1" w:rsidRPr="00AC57EA" w:rsidRDefault="003C0AC1" w:rsidP="00AC57EA">
      <w:pPr>
        <w:pStyle w:val="Textonotapie"/>
        <w:tabs>
          <w:tab w:val="left" w:pos="540"/>
        </w:tabs>
        <w:spacing w:after="60"/>
        <w:rPr>
          <w:sz w:val="16"/>
          <w:szCs w:val="16"/>
          <w:lang w:val="en-US"/>
        </w:rPr>
      </w:pPr>
      <w:r w:rsidRPr="00AC57EA">
        <w:rPr>
          <w:rStyle w:val="Refdenotaalpie"/>
          <w:rFonts w:eastAsia="MS ????"/>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w:t>
      </w:r>
      <w:r w:rsidRPr="00AC57EA">
        <w:rPr>
          <w:i/>
          <w:sz w:val="16"/>
          <w:szCs w:val="16"/>
          <w:lang w:val="en-US"/>
        </w:rPr>
        <w:t>Case of Barrios Altos v. Peru</w:t>
      </w:r>
      <w:r w:rsidRPr="00AC57EA">
        <w:rPr>
          <w:sz w:val="16"/>
          <w:szCs w:val="16"/>
          <w:lang w:val="en-US"/>
        </w:rPr>
        <w:t xml:space="preserve">. </w:t>
      </w:r>
      <w:r w:rsidRPr="00AC57EA">
        <w:rPr>
          <w:i/>
          <w:sz w:val="16"/>
          <w:szCs w:val="16"/>
          <w:lang w:val="en-US"/>
        </w:rPr>
        <w:t>Reparations and costs.</w:t>
      </w:r>
      <w:r w:rsidRPr="00AC57EA">
        <w:rPr>
          <w:sz w:val="16"/>
          <w:szCs w:val="16"/>
          <w:lang w:val="en-US"/>
        </w:rPr>
        <w:t xml:space="preserve"> Judgment of November 30, 2001. Series C No. 87, paras. 42 and 45, and </w:t>
      </w:r>
      <w:r w:rsidRPr="00AC57EA">
        <w:rPr>
          <w:rStyle w:val="Textoennegrita"/>
          <w:b w:val="0"/>
          <w:i/>
          <w:sz w:val="16"/>
          <w:szCs w:val="16"/>
          <w:lang w:val="en-US"/>
        </w:rPr>
        <w:t xml:space="preserve">Case of </w:t>
      </w:r>
      <w:r w:rsidRPr="00AC57EA">
        <w:rPr>
          <w:bCs/>
          <w:i/>
          <w:sz w:val="16"/>
          <w:szCs w:val="16"/>
          <w:lang w:val="en-US"/>
        </w:rPr>
        <w:t>Favela Nova Brasilia v. Brazil, supra</w:t>
      </w:r>
      <w:r w:rsidRPr="00AC57EA">
        <w:rPr>
          <w:bCs/>
          <w:sz w:val="16"/>
          <w:szCs w:val="16"/>
          <w:lang w:val="en-US"/>
        </w:rPr>
        <w:t>, para. 296</w:t>
      </w:r>
      <w:r w:rsidRPr="00AC57EA">
        <w:rPr>
          <w:sz w:val="16"/>
          <w:szCs w:val="16"/>
          <w:lang w:val="en-US"/>
        </w:rPr>
        <w:t>.</w:t>
      </w:r>
    </w:p>
  </w:footnote>
  <w:footnote w:id="426">
    <w:p w14:paraId="1807D23C" w14:textId="6B6B0A04"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r>
      <w:r w:rsidRPr="00AC57EA">
        <w:rPr>
          <w:i/>
          <w:iCs/>
          <w:sz w:val="16"/>
          <w:szCs w:val="16"/>
          <w:lang w:val="en-US"/>
        </w:rPr>
        <w:t>Cf. Case of Heliodoro Portugal v. Panama</w:t>
      </w:r>
      <w:r w:rsidRPr="00AC57EA">
        <w:rPr>
          <w:sz w:val="16"/>
          <w:szCs w:val="16"/>
          <w:lang w:val="en-US"/>
        </w:rPr>
        <w:t>.</w:t>
      </w:r>
      <w:r w:rsidRPr="00AC57EA">
        <w:rPr>
          <w:rFonts w:cs="Verdana"/>
          <w:bCs/>
          <w:i/>
          <w:sz w:val="16"/>
          <w:szCs w:val="16"/>
          <w:lang w:val="en-US"/>
        </w:rPr>
        <w:t xml:space="preserve"> Monitoring compliance with judgment.</w:t>
      </w:r>
      <w:r w:rsidRPr="00AC57EA">
        <w:rPr>
          <w:rFonts w:cs="Verdana"/>
          <w:bCs/>
          <w:sz w:val="16"/>
          <w:szCs w:val="16"/>
          <w:lang w:val="en-US"/>
        </w:rPr>
        <w:t xml:space="preserve"> Order issued by the Inter-American Court on May 28, 2010, </w:t>
      </w:r>
      <w:r w:rsidRPr="00AC57EA">
        <w:rPr>
          <w:rFonts w:cs="Verdana"/>
          <w:bCs/>
          <w:i/>
          <w:iCs/>
          <w:sz w:val="16"/>
          <w:szCs w:val="16"/>
          <w:lang w:val="en-US"/>
        </w:rPr>
        <w:t>considerandum</w:t>
      </w:r>
      <w:r w:rsidRPr="00AC57EA">
        <w:rPr>
          <w:rFonts w:cs="Verdana"/>
          <w:bCs/>
          <w:sz w:val="16"/>
          <w:szCs w:val="16"/>
          <w:lang w:val="en-US"/>
        </w:rPr>
        <w:t xml:space="preserve"> 28, and </w:t>
      </w:r>
      <w:r w:rsidRPr="00AC57EA">
        <w:rPr>
          <w:bCs/>
          <w:i/>
          <w:sz w:val="16"/>
          <w:szCs w:val="16"/>
          <w:lang w:val="en-US"/>
        </w:rPr>
        <w:t>Case of Ortiz Hernández et al. v. Venezuela, supra</w:t>
      </w:r>
      <w:r w:rsidRPr="00AC57EA">
        <w:rPr>
          <w:sz w:val="16"/>
          <w:szCs w:val="16"/>
          <w:lang w:val="en-US"/>
        </w:rPr>
        <w:t>, para. 199</w:t>
      </w:r>
      <w:r w:rsidRPr="00AC57EA">
        <w:rPr>
          <w:rFonts w:cs="Verdana"/>
          <w:bCs/>
          <w:sz w:val="16"/>
          <w:szCs w:val="16"/>
          <w:lang w:val="en-US"/>
        </w:rPr>
        <w:t>.</w:t>
      </w:r>
    </w:p>
  </w:footnote>
  <w:footnote w:id="427">
    <w:p w14:paraId="7F190CA7" w14:textId="1A17FE87"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r>
      <w:r w:rsidRPr="00AC57EA">
        <w:rPr>
          <w:i/>
          <w:iCs/>
          <w:sz w:val="16"/>
          <w:szCs w:val="16"/>
          <w:lang w:val="en-US"/>
        </w:rPr>
        <w:t xml:space="preserve">Cf. </w:t>
      </w:r>
      <w:r w:rsidRPr="00AC57EA">
        <w:rPr>
          <w:bCs/>
          <w:i/>
          <w:sz w:val="16"/>
          <w:szCs w:val="16"/>
          <w:lang w:val="en-US"/>
        </w:rPr>
        <w:t xml:space="preserve">Case of the Las Dos Erres Massacre v. Guatemala. Preliminary objection, merits, reparations and costs. </w:t>
      </w:r>
      <w:r w:rsidRPr="00AC57EA">
        <w:rPr>
          <w:bCs/>
          <w:sz w:val="16"/>
          <w:szCs w:val="16"/>
          <w:lang w:val="en-US"/>
        </w:rPr>
        <w:t>Judgment of November 24, 2009. Series C No. 211</w:t>
      </w:r>
      <w:r w:rsidRPr="00AC57EA">
        <w:rPr>
          <w:sz w:val="16"/>
          <w:szCs w:val="16"/>
          <w:lang w:val="en-US"/>
        </w:rPr>
        <w:t>, para. 270,</w:t>
      </w:r>
      <w:r w:rsidRPr="00AC57EA">
        <w:rPr>
          <w:rFonts w:cs="Verdana"/>
          <w:bCs/>
          <w:sz w:val="16"/>
          <w:szCs w:val="16"/>
          <w:lang w:val="en-US"/>
        </w:rPr>
        <w:t xml:space="preserve"> and </w:t>
      </w:r>
      <w:r w:rsidRPr="00AC57EA">
        <w:rPr>
          <w:bCs/>
          <w:i/>
          <w:sz w:val="16"/>
          <w:szCs w:val="16"/>
          <w:lang w:val="en-US"/>
        </w:rPr>
        <w:t>Case of Ortiz Hernández et al. v. Venezuela, supra</w:t>
      </w:r>
      <w:r w:rsidRPr="00AC57EA">
        <w:rPr>
          <w:sz w:val="16"/>
          <w:szCs w:val="16"/>
          <w:lang w:val="en-US"/>
        </w:rPr>
        <w:t>, para. 199</w:t>
      </w:r>
      <w:r w:rsidRPr="00AC57EA">
        <w:rPr>
          <w:rFonts w:cs="Verdana"/>
          <w:bCs/>
          <w:sz w:val="16"/>
          <w:szCs w:val="16"/>
          <w:lang w:val="en-US"/>
        </w:rPr>
        <w:t>.</w:t>
      </w:r>
    </w:p>
  </w:footnote>
  <w:footnote w:id="428">
    <w:p w14:paraId="7F076018" w14:textId="0DE8F144" w:rsidR="003C0AC1" w:rsidRPr="00D22834" w:rsidRDefault="003C0AC1" w:rsidP="00AC57EA">
      <w:pPr>
        <w:pStyle w:val="Textonotapie"/>
        <w:tabs>
          <w:tab w:val="left" w:pos="540"/>
        </w:tabs>
        <w:spacing w:after="60"/>
        <w:rPr>
          <w:sz w:val="16"/>
          <w:szCs w:val="16"/>
          <w:lang w:val="es-CR"/>
        </w:rPr>
      </w:pPr>
      <w:r w:rsidRPr="00AC57EA">
        <w:rPr>
          <w:rStyle w:val="Refdenotaalpie"/>
          <w:rFonts w:eastAsia="Calibri"/>
          <w:sz w:val="16"/>
          <w:szCs w:val="16"/>
          <w:lang w:val="en-US"/>
        </w:rPr>
        <w:footnoteRef/>
      </w:r>
      <w:r w:rsidRPr="00AC57EA">
        <w:rPr>
          <w:rFonts w:cs="Verdana"/>
          <w:bCs/>
          <w:sz w:val="16"/>
          <w:szCs w:val="16"/>
          <w:lang w:val="en-US"/>
        </w:rPr>
        <w:tab/>
      </w:r>
      <w:r w:rsidRPr="00AC57EA">
        <w:rPr>
          <w:i/>
          <w:iCs/>
          <w:sz w:val="16"/>
          <w:szCs w:val="16"/>
          <w:lang w:val="en-US"/>
        </w:rPr>
        <w:t xml:space="preserve">Cf. </w:t>
      </w:r>
      <w:r w:rsidRPr="00AC57EA">
        <w:rPr>
          <w:bCs/>
          <w:i/>
          <w:sz w:val="16"/>
          <w:szCs w:val="16"/>
          <w:lang w:val="en-US"/>
        </w:rPr>
        <w:t>Case of the Las Dos Erres Massacre v. Guatemala, supra</w:t>
      </w:r>
      <w:r w:rsidRPr="00AC57EA">
        <w:rPr>
          <w:sz w:val="16"/>
          <w:szCs w:val="16"/>
          <w:lang w:val="en-US"/>
        </w:rPr>
        <w:t xml:space="preserve">, para. </w:t>
      </w:r>
      <w:r w:rsidRPr="00D22834">
        <w:rPr>
          <w:sz w:val="16"/>
          <w:szCs w:val="16"/>
          <w:lang w:val="es-CR"/>
        </w:rPr>
        <w:t>270,</w:t>
      </w:r>
      <w:r w:rsidRPr="00D22834">
        <w:rPr>
          <w:rFonts w:cs="Verdana"/>
          <w:bCs/>
          <w:sz w:val="16"/>
          <w:szCs w:val="16"/>
          <w:lang w:val="es-CR"/>
        </w:rPr>
        <w:t xml:space="preserve"> and </w:t>
      </w:r>
      <w:r w:rsidRPr="00D22834">
        <w:rPr>
          <w:bCs/>
          <w:i/>
          <w:sz w:val="16"/>
          <w:szCs w:val="16"/>
          <w:lang w:val="es-CR"/>
        </w:rPr>
        <w:t>Case of Ortiz Hernández et al. v. Venezuela, supra</w:t>
      </w:r>
      <w:r w:rsidRPr="00D22834">
        <w:rPr>
          <w:sz w:val="16"/>
          <w:szCs w:val="16"/>
          <w:lang w:val="es-CR"/>
        </w:rPr>
        <w:t>, para. 199</w:t>
      </w:r>
      <w:r w:rsidRPr="00D22834">
        <w:rPr>
          <w:rFonts w:cs="Verdana"/>
          <w:bCs/>
          <w:sz w:val="16"/>
          <w:szCs w:val="16"/>
          <w:lang w:val="es-CR"/>
        </w:rPr>
        <w:t>.</w:t>
      </w:r>
    </w:p>
  </w:footnote>
  <w:footnote w:id="429">
    <w:p w14:paraId="58FE7B9E" w14:textId="2DBEBC04" w:rsidR="003C0AC1" w:rsidRPr="00AC57EA" w:rsidRDefault="003C0AC1" w:rsidP="00AC57EA">
      <w:pPr>
        <w:pStyle w:val="Textonotapie"/>
        <w:tabs>
          <w:tab w:val="left" w:pos="540"/>
        </w:tabs>
        <w:spacing w:after="60"/>
        <w:rPr>
          <w:i/>
          <w:sz w:val="16"/>
          <w:szCs w:val="16"/>
          <w:lang w:val="en-US"/>
        </w:rPr>
      </w:pPr>
      <w:r w:rsidRPr="00AC57EA">
        <w:rPr>
          <w:rStyle w:val="Refdenotaalpie"/>
          <w:rFonts w:eastAsia="Calibri"/>
          <w:sz w:val="16"/>
          <w:szCs w:val="16"/>
          <w:lang w:val="en-US"/>
        </w:rPr>
        <w:footnoteRef/>
      </w:r>
      <w:r w:rsidRPr="00D22834">
        <w:rPr>
          <w:sz w:val="16"/>
          <w:szCs w:val="16"/>
          <w:lang w:val="es-CR"/>
        </w:rPr>
        <w:t xml:space="preserve"> </w:t>
      </w:r>
      <w:r w:rsidRPr="00D22834">
        <w:rPr>
          <w:sz w:val="16"/>
          <w:szCs w:val="16"/>
          <w:lang w:val="es-CR"/>
        </w:rPr>
        <w:tab/>
      </w:r>
      <w:r w:rsidRPr="00D22834">
        <w:rPr>
          <w:i/>
          <w:sz w:val="16"/>
          <w:szCs w:val="16"/>
          <w:lang w:val="es-CR"/>
        </w:rPr>
        <w:t>Cf. Case of Rosendo Cantú et al. v. Mexico, supra</w:t>
      </w:r>
      <w:r w:rsidRPr="00D22834">
        <w:rPr>
          <w:sz w:val="16"/>
          <w:szCs w:val="16"/>
          <w:lang w:val="es-CR"/>
        </w:rPr>
        <w:t xml:space="preserve">, para. 253, and </w:t>
      </w:r>
      <w:r w:rsidRPr="00D22834">
        <w:rPr>
          <w:i/>
          <w:sz w:val="16"/>
          <w:szCs w:val="16"/>
          <w:lang w:val="es-CR"/>
        </w:rPr>
        <w:t>Case of Ortiz Hernández et al. v. Venezuela, supra</w:t>
      </w:r>
      <w:r w:rsidRPr="00D22834">
        <w:rPr>
          <w:sz w:val="16"/>
          <w:szCs w:val="16"/>
          <w:lang w:val="es-CR"/>
        </w:rPr>
        <w:t xml:space="preserve">, para. </w:t>
      </w:r>
      <w:r w:rsidRPr="00AC57EA">
        <w:rPr>
          <w:sz w:val="16"/>
          <w:szCs w:val="16"/>
          <w:lang w:val="en-US"/>
        </w:rPr>
        <w:t>199</w:t>
      </w:r>
      <w:r w:rsidRPr="00AC57EA">
        <w:rPr>
          <w:i/>
          <w:sz w:val="16"/>
          <w:szCs w:val="16"/>
          <w:lang w:val="en-US"/>
        </w:rPr>
        <w:t>.</w:t>
      </w:r>
    </w:p>
  </w:footnote>
  <w:footnote w:id="430">
    <w:p w14:paraId="35D942D4" w14:textId="3DEE464E" w:rsidR="003C0AC1" w:rsidRPr="00AC57EA" w:rsidRDefault="003C0AC1" w:rsidP="00AC57EA">
      <w:pPr>
        <w:tabs>
          <w:tab w:val="left" w:pos="540"/>
        </w:tabs>
        <w:spacing w:after="60" w:line="240" w:lineRule="auto"/>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i/>
          <w:sz w:val="16"/>
          <w:szCs w:val="16"/>
          <w:lang w:val="en-US" w:eastAsia="x-none"/>
        </w:rPr>
        <w:t xml:space="preserve"> Case of Cantoral Benavides v. Peru, supra</w:t>
      </w:r>
      <w:r w:rsidRPr="00AC57EA">
        <w:rPr>
          <w:sz w:val="16"/>
          <w:szCs w:val="16"/>
          <w:lang w:val="en-US" w:eastAsia="x-none"/>
        </w:rPr>
        <w:t xml:space="preserve">, </w:t>
      </w:r>
      <w:r w:rsidRPr="00AC57EA">
        <w:rPr>
          <w:sz w:val="16"/>
          <w:szCs w:val="16"/>
          <w:lang w:val="en-US"/>
        </w:rPr>
        <w:t xml:space="preserve">para. 79, and </w:t>
      </w:r>
      <w:r w:rsidRPr="00AC57EA">
        <w:rPr>
          <w:i/>
          <w:sz w:val="16"/>
          <w:szCs w:val="16"/>
          <w:lang w:val="en-US"/>
        </w:rPr>
        <w:t>Case of the Dismissed Employees of PetroPerú et al. v. Peru, supra</w:t>
      </w:r>
      <w:r w:rsidRPr="00AC57EA">
        <w:rPr>
          <w:sz w:val="16"/>
          <w:szCs w:val="16"/>
          <w:lang w:val="en-US"/>
        </w:rPr>
        <w:t xml:space="preserve">, para. 218. </w:t>
      </w:r>
    </w:p>
  </w:footnote>
  <w:footnote w:id="431">
    <w:p w14:paraId="6AE57E1A" w14:textId="28D947C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Affidavit made by V.A.R.P. on October 10, 2017 (evidence file, volume XVIII, affidavits, folios 8363 to 8365).</w:t>
      </w:r>
    </w:p>
  </w:footnote>
  <w:footnote w:id="432">
    <w:p w14:paraId="0123A967" w14:textId="1EF1F74D"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the Gómez Paquiyauri Brothers v. Peru. Merits, reparations and costs. </w:t>
      </w:r>
      <w:r w:rsidRPr="00AC57EA">
        <w:rPr>
          <w:sz w:val="16"/>
          <w:szCs w:val="16"/>
          <w:lang w:val="en-US"/>
        </w:rPr>
        <w:t xml:space="preserve">Judgment of July 8, 2004. </w:t>
      </w:r>
      <w:r w:rsidRPr="00D22834">
        <w:rPr>
          <w:sz w:val="16"/>
          <w:szCs w:val="16"/>
          <w:lang w:val="es-CR"/>
        </w:rPr>
        <w:t xml:space="preserve">Series C No. 110, para. 237, and </w:t>
      </w:r>
      <w:r w:rsidRPr="00D22834">
        <w:rPr>
          <w:i/>
          <w:sz w:val="16"/>
          <w:szCs w:val="16"/>
          <w:lang w:val="es-CR"/>
        </w:rPr>
        <w:t>Case of Vereda La Esperanza v. Colombia, supra</w:t>
      </w:r>
      <w:r w:rsidRPr="00D22834">
        <w:rPr>
          <w:sz w:val="16"/>
          <w:szCs w:val="16"/>
          <w:lang w:val="es-CR"/>
        </w:rPr>
        <w:t xml:space="preserve">, para. </w:t>
      </w:r>
      <w:r w:rsidRPr="00AC57EA">
        <w:rPr>
          <w:sz w:val="16"/>
          <w:szCs w:val="16"/>
          <w:lang w:val="en-US"/>
        </w:rPr>
        <w:t>286.</w:t>
      </w:r>
    </w:p>
  </w:footnote>
  <w:footnote w:id="433">
    <w:p w14:paraId="7C647D7A" w14:textId="07583E4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iCs/>
          <w:sz w:val="16"/>
          <w:szCs w:val="16"/>
          <w:lang w:val="en-US"/>
        </w:rPr>
        <w:t>Cf.</w:t>
      </w:r>
      <w:r w:rsidRPr="00AC57EA">
        <w:rPr>
          <w:sz w:val="16"/>
          <w:szCs w:val="16"/>
          <w:lang w:val="en-US"/>
        </w:rPr>
        <w:t xml:space="preserve"> Order No. 010/03 of the National Police, Ministry of the Interior. “Manual of police procedures for specialized assistance to victims and survivors of intrafamily and sexual violence” (evidence file, volume XX, helpful evidence, folios 10009 to 10015); Protocol on assistance for victims of gender-based violence of the Specialized Victims Assistance Unit of the Public Prosecution Service (evidence file, volume XX, helpful evidence, folios 10108 to 10112); Protocol of the Public Prosecution Service on assistance to victims of crime (2010) (evidence file, volume XX, helpful evidence, folios 10174 to 1017); Protocol on prosecution of gender-based violence of the </w:t>
      </w:r>
      <w:r w:rsidRPr="00AC57EA">
        <w:rPr>
          <w:rFonts w:eastAsia="MS Mincho"/>
          <w:sz w:val="16"/>
          <w:szCs w:val="16"/>
          <w:lang w:val="en-US" w:bidi="en-US"/>
        </w:rPr>
        <w:t>Special Unit to combat crimes involving gender-based violence</w:t>
      </w:r>
      <w:r w:rsidRPr="00AC57EA">
        <w:rPr>
          <w:sz w:val="16"/>
          <w:szCs w:val="16"/>
          <w:lang w:val="en-US"/>
        </w:rPr>
        <w:t xml:space="preserve"> (2009) (evidence file, volume XXI, helpful evidence, folios 10902 to 10906); Model for comprehensive care for victims of gender-based violence in Nicaragua, of the Technical Team of the Comprehensive Care Model (MAI) (2012) (evidence file, volume XXI, helpful evidence, folios 11012 and 11013); Regulation 031 of the General Directorate of Outreach and Quality of Assistance, Ministry of Health. “Norms and Protocols for the prevention, detection and assistance of intrafamily and sexual violence” (2009) (evidence file, volume XX, helpful evidence, folios 10281 to 10342), and Protocol of norms and procedures for specialized attention to victims and survivors of gender, intrafamily and sexual violence of the Police Stations for Women, Children and Adolescents of the National Police (2014) (evidence file, volume XXI, helpful evidence, folios 10726 to 10728).</w:t>
      </w:r>
    </w:p>
  </w:footnote>
  <w:footnote w:id="434">
    <w:p w14:paraId="15EA53CD" w14:textId="2BB3CE1F" w:rsidR="003C0AC1" w:rsidRPr="00AC57EA" w:rsidRDefault="003C0AC1" w:rsidP="00AC57EA">
      <w:pPr>
        <w:pStyle w:val="Textonotapie"/>
        <w:tabs>
          <w:tab w:val="left" w:pos="540"/>
        </w:tabs>
        <w:spacing w:after="60"/>
        <w:rPr>
          <w:i/>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Law No. 779, “Comprehensive Law to combat violence against women and amendments to Law No. 641, ‘Criminal Code’” (evidence file, volume XX, annex 3 of the helpful evidence, folio 9464), and Regulations to Law No. 779, Comprehensive Law to combat violence against women and amendments to Law No. 641, “Criminal Code,” Decree No. 42-2014 of the President of the Republic of Nicaragua (evidence file, volume XXII, annex 9.g of the helpful evidence, folios 11160 to 11166).</w:t>
      </w:r>
    </w:p>
  </w:footnote>
  <w:footnote w:id="435">
    <w:p w14:paraId="0720551E" w14:textId="7336834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Regulations to Law No. 779, Comprehensive Law to combat violence against women and amendments to Law No. 641, “Criminal Code,” Decree No. 43-2014 of the President of the Republic of Nicaragua, “State policy for strengthening the Nicaraguan family and preventing violence” (evidence file, volume XXII, annex 9.g of the helpful evidence, folios 11160 to 11167).</w:t>
      </w:r>
    </w:p>
  </w:footnote>
  <w:footnote w:id="436">
    <w:p w14:paraId="7E6E1A90" w14:textId="4AB107B4" w:rsidR="003C0AC1" w:rsidRPr="00AC57EA" w:rsidRDefault="003C0AC1" w:rsidP="00AC57EA">
      <w:pPr>
        <w:tabs>
          <w:tab w:val="left" w:pos="540"/>
          <w:tab w:val="left" w:pos="720"/>
        </w:tabs>
        <w:autoSpaceDE w:val="0"/>
        <w:autoSpaceDN w:val="0"/>
        <w:spacing w:after="60" w:line="240" w:lineRule="auto"/>
        <w:rPr>
          <w:sz w:val="16"/>
          <w:szCs w:val="16"/>
          <w:lang w:val="en-US"/>
        </w:rPr>
      </w:pPr>
      <w:r w:rsidRPr="00AC57EA">
        <w:rPr>
          <w:rStyle w:val="Refdenotaalpie"/>
          <w:sz w:val="16"/>
          <w:szCs w:val="16"/>
          <w:lang w:val="en-US"/>
        </w:rPr>
        <w:footnoteRef/>
      </w:r>
      <w:r w:rsidRPr="00D22834">
        <w:rPr>
          <w:sz w:val="16"/>
          <w:szCs w:val="16"/>
        </w:rPr>
        <w:t xml:space="preserve"> </w:t>
      </w:r>
      <w:r w:rsidRPr="00D22834">
        <w:rPr>
          <w:sz w:val="16"/>
          <w:szCs w:val="16"/>
        </w:rPr>
        <w:tab/>
      </w:r>
      <w:r w:rsidRPr="00D22834">
        <w:rPr>
          <w:i/>
          <w:sz w:val="16"/>
          <w:szCs w:val="16"/>
        </w:rPr>
        <w:t xml:space="preserve">Cf. </w:t>
      </w:r>
      <w:r w:rsidRPr="00D22834">
        <w:rPr>
          <w:rStyle w:val="Textoennegrita"/>
          <w:b w:val="0"/>
          <w:i/>
          <w:sz w:val="16"/>
          <w:szCs w:val="16"/>
          <w:shd w:val="clear" w:color="auto" w:fill="FFFFFF"/>
        </w:rPr>
        <w:t>Case of Veliz Franco et al. v. Guatemala, supra</w:t>
      </w:r>
      <w:r w:rsidRPr="00D22834">
        <w:rPr>
          <w:rFonts w:cs="Calibri"/>
          <w:sz w:val="16"/>
          <w:szCs w:val="16"/>
        </w:rPr>
        <w:t xml:space="preserve">, para. </w:t>
      </w:r>
      <w:r w:rsidRPr="00AC57EA">
        <w:rPr>
          <w:rFonts w:cs="Calibri"/>
          <w:sz w:val="16"/>
          <w:szCs w:val="16"/>
          <w:lang w:val="en-US"/>
        </w:rPr>
        <w:t xml:space="preserve">264, and </w:t>
      </w:r>
      <w:r w:rsidRPr="00AC57EA">
        <w:rPr>
          <w:rFonts w:cs="Calibri"/>
          <w:i/>
          <w:sz w:val="16"/>
          <w:szCs w:val="16"/>
          <w:lang w:val="en-US"/>
        </w:rPr>
        <w:t xml:space="preserve">Case of Velásquez Paiz </w:t>
      </w:r>
      <w:r w:rsidRPr="00AC57EA">
        <w:rPr>
          <w:rStyle w:val="Textoennegrita"/>
          <w:b w:val="0"/>
          <w:i/>
          <w:sz w:val="16"/>
          <w:szCs w:val="16"/>
          <w:shd w:val="clear" w:color="auto" w:fill="FFFFFF"/>
          <w:lang w:val="en-US"/>
        </w:rPr>
        <w:t>et al. v. Guatemala, supra</w:t>
      </w:r>
      <w:r w:rsidRPr="00AC57EA">
        <w:rPr>
          <w:rFonts w:cs="Calibri"/>
          <w:sz w:val="16"/>
          <w:szCs w:val="16"/>
          <w:lang w:val="en-US"/>
        </w:rPr>
        <w:t>, para. 252.</w:t>
      </w:r>
    </w:p>
  </w:footnote>
  <w:footnote w:id="437">
    <w:p w14:paraId="7500703A" w14:textId="24F19C37"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 helpful evidence, folios 10009 to 10015.</w:t>
      </w:r>
    </w:p>
  </w:footnote>
  <w:footnote w:id="438">
    <w:p w14:paraId="2CDE4DF2" w14:textId="5D39C9F5"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 helpful evidence, folios 10108 to 10112.</w:t>
      </w:r>
    </w:p>
  </w:footnote>
  <w:footnote w:id="439">
    <w:p w14:paraId="6760F8EE" w14:textId="4A109673"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 helpful evidence, folios 10174 to 1176.</w:t>
      </w:r>
    </w:p>
  </w:footnote>
  <w:footnote w:id="440">
    <w:p w14:paraId="0E3AAF43" w14:textId="36A911E2"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XXI, helpful evidence, folios 10902 to 10906.</w:t>
      </w:r>
    </w:p>
  </w:footnote>
  <w:footnote w:id="441">
    <w:p w14:paraId="7C6246EC" w14:textId="5517A94D"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XXI, helpful evidence, folios 11012 to 11013.</w:t>
      </w:r>
    </w:p>
  </w:footnote>
  <w:footnote w:id="442">
    <w:p w14:paraId="6147C4AB" w14:textId="704942C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XXII, helpful evidence, folios 11273 to 11296.</w:t>
      </w:r>
    </w:p>
  </w:footnote>
  <w:footnote w:id="443">
    <w:p w14:paraId="1950B468" w14:textId="4C0B9B84"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XXI, helpful evidence, folios 10726 to 10728.</w:t>
      </w:r>
    </w:p>
  </w:footnote>
  <w:footnote w:id="444">
    <w:p w14:paraId="5B17236B" w14:textId="38D394CA"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 helpful evidence, folios 10227 to 10279.</w:t>
      </w:r>
    </w:p>
  </w:footnote>
  <w:footnote w:id="445">
    <w:p w14:paraId="544CD757" w14:textId="1F638BE1"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 helpful evidence, folios 10181 to 10226.</w:t>
      </w:r>
    </w:p>
  </w:footnote>
  <w:footnote w:id="446">
    <w:p w14:paraId="62302908" w14:textId="3AF65F7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Evidence file, volume XX, helpful evidence, folios 10281 to 10342.</w:t>
      </w:r>
    </w:p>
  </w:footnote>
  <w:footnote w:id="447">
    <w:p w14:paraId="60FE0F21" w14:textId="5CF5174B" w:rsidR="003C0AC1" w:rsidRPr="00D22834" w:rsidRDefault="003C0AC1" w:rsidP="00AC57EA">
      <w:pPr>
        <w:pStyle w:val="Textonotapie"/>
        <w:tabs>
          <w:tab w:val="left" w:pos="540"/>
        </w:tabs>
        <w:spacing w:after="60"/>
        <w:rPr>
          <w:sz w:val="16"/>
          <w:szCs w:val="16"/>
          <w:lang w:val="es-CR"/>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t xml:space="preserve">The Court notes that comparative experiences exist in which manuals of best practices have been adopted for the care of victims of sexual violence and rape in cases of children and adolescents. </w:t>
      </w:r>
      <w:r w:rsidRPr="00D22834">
        <w:rPr>
          <w:i/>
          <w:iCs/>
          <w:sz w:val="16"/>
          <w:szCs w:val="16"/>
          <w:lang w:val="es-CR"/>
        </w:rPr>
        <w:t>Cf.</w:t>
      </w:r>
      <w:r w:rsidRPr="00D22834">
        <w:rPr>
          <w:sz w:val="16"/>
          <w:szCs w:val="16"/>
          <w:lang w:val="es-CR"/>
        </w:rPr>
        <w:t xml:space="preserve"> UNICEF and Asociación por los Derechos Civiles (ADC), </w:t>
      </w:r>
      <w:r w:rsidRPr="00D22834">
        <w:rPr>
          <w:i/>
          <w:sz w:val="16"/>
          <w:szCs w:val="16"/>
          <w:lang w:val="es-CR"/>
        </w:rPr>
        <w:t>Guía de buenas prácticas para el abordaje de niños/as, adolescentes víctimas o testigos de abuso sexual y otros delitos</w:t>
      </w:r>
      <w:r w:rsidRPr="00D22834">
        <w:rPr>
          <w:sz w:val="16"/>
          <w:szCs w:val="16"/>
          <w:lang w:val="es-CR"/>
        </w:rPr>
        <w:t xml:space="preserve">, September 2013, pp. 66 to 69, and MSP, SIPIAV, UNICEF, </w:t>
      </w:r>
      <w:r w:rsidRPr="00D22834">
        <w:rPr>
          <w:i/>
          <w:iCs/>
          <w:sz w:val="16"/>
          <w:szCs w:val="16"/>
          <w:lang w:val="es-CR"/>
        </w:rPr>
        <w:t xml:space="preserve">Mapa de ruta para la prevención y la atención de situaciones de maltrato y abuso sexual infantil en el sector salud </w:t>
      </w:r>
      <w:r w:rsidRPr="00D22834">
        <w:rPr>
          <w:sz w:val="16"/>
          <w:szCs w:val="16"/>
          <w:lang w:val="es-CR"/>
        </w:rPr>
        <w:t>[Road map for the prevention and treatment of situations of ill-treatment and sexual abuse of children in the health sector], Uruguay, 2009.</w:t>
      </w:r>
    </w:p>
  </w:footnote>
  <w:footnote w:id="448">
    <w:p w14:paraId="0D9758E8" w14:textId="46C5567D" w:rsidR="003C0AC1" w:rsidRPr="00AC57EA" w:rsidRDefault="003C0AC1" w:rsidP="00AC57EA">
      <w:pPr>
        <w:tabs>
          <w:tab w:val="left" w:pos="540"/>
        </w:tabs>
        <w:spacing w:after="60" w:line="240" w:lineRule="auto"/>
        <w:rPr>
          <w:sz w:val="16"/>
          <w:szCs w:val="16"/>
          <w:lang w:val="en-US" w:eastAsia="es-ES"/>
        </w:rPr>
      </w:pPr>
      <w:r w:rsidRPr="00AC57EA">
        <w:rPr>
          <w:rStyle w:val="Refdenotaalpie"/>
          <w:rFonts w:eastAsia="MS ????"/>
          <w:sz w:val="16"/>
          <w:szCs w:val="16"/>
          <w:lang w:val="en-US"/>
        </w:rPr>
        <w:footnoteRef/>
      </w:r>
      <w:r w:rsidRPr="00AC57EA">
        <w:rPr>
          <w:sz w:val="16"/>
          <w:szCs w:val="16"/>
          <w:lang w:val="en-US"/>
        </w:rPr>
        <w:tab/>
      </w:r>
      <w:r w:rsidRPr="00AC57EA">
        <w:rPr>
          <w:i/>
          <w:sz w:val="16"/>
          <w:szCs w:val="16"/>
          <w:lang w:val="en-US"/>
        </w:rPr>
        <w:t xml:space="preserve">Cf. </w:t>
      </w:r>
      <w:r w:rsidRPr="00AC57EA">
        <w:rPr>
          <w:bCs/>
          <w:i/>
          <w:sz w:val="16"/>
          <w:szCs w:val="16"/>
          <w:lang w:val="en-US"/>
        </w:rPr>
        <w:t xml:space="preserve">Case of Bámaca Velásquez v. Guatemala. </w:t>
      </w:r>
      <w:r w:rsidRPr="00AC57EA">
        <w:rPr>
          <w:i/>
          <w:sz w:val="16"/>
          <w:szCs w:val="16"/>
          <w:lang w:val="en-US"/>
        </w:rPr>
        <w:t>Reparations and costs</w:t>
      </w:r>
      <w:r w:rsidRPr="00AC57EA">
        <w:rPr>
          <w:sz w:val="16"/>
          <w:szCs w:val="16"/>
          <w:lang w:val="en-US"/>
        </w:rPr>
        <w:t xml:space="preserve">. Judgment of February 22, 2002. Series C No. 91, para. 43, and </w:t>
      </w:r>
      <w:r w:rsidRPr="00AC57EA">
        <w:rPr>
          <w:bCs/>
          <w:i/>
          <w:sz w:val="16"/>
          <w:szCs w:val="16"/>
          <w:lang w:val="en-US"/>
        </w:rPr>
        <w:t>Case of the Dismissed Employees of PetroPerú et al. v. Peru, supra</w:t>
      </w:r>
      <w:r w:rsidRPr="00AC57EA">
        <w:rPr>
          <w:bCs/>
          <w:sz w:val="16"/>
          <w:szCs w:val="16"/>
          <w:lang w:val="en-US"/>
        </w:rPr>
        <w:t>, para. 215.</w:t>
      </w:r>
    </w:p>
  </w:footnote>
  <w:footnote w:id="449">
    <w:p w14:paraId="023A6FB0" w14:textId="734E8B16"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United States tax vouchers (evidence file, volume VXI, annex H.2 to the brief with pleadings, motions and evidence, folios 7721 to 7730).</w:t>
      </w:r>
    </w:p>
  </w:footnote>
  <w:footnote w:id="450">
    <w:p w14:paraId="16DB5748" w14:textId="66B5D080"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sz w:val="16"/>
          <w:szCs w:val="16"/>
          <w:lang w:val="en-US"/>
        </w:rPr>
        <w:t>Certification of employment and salary of V.P.C. (evidence file, volume XVI, annex H.1. to the pleadings and motions brief, folio 7719).</w:t>
      </w:r>
    </w:p>
  </w:footnote>
  <w:footnote w:id="451">
    <w:p w14:paraId="266C13FD" w14:textId="08C5A991"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 Case of the “Street Children” (Villagrán Morales et al.) v. Guatemala</w:t>
      </w:r>
      <w:r w:rsidRPr="00AC57EA">
        <w:rPr>
          <w:sz w:val="16"/>
          <w:szCs w:val="16"/>
          <w:lang w:val="en-US"/>
        </w:rPr>
        <w:t xml:space="preserve">. </w:t>
      </w:r>
      <w:r w:rsidRPr="00AC57EA">
        <w:rPr>
          <w:i/>
          <w:sz w:val="16"/>
          <w:szCs w:val="16"/>
          <w:lang w:val="en-US"/>
        </w:rPr>
        <w:t xml:space="preserve">Reparations and costs. </w:t>
      </w:r>
      <w:r w:rsidRPr="00AC57EA">
        <w:rPr>
          <w:sz w:val="16"/>
          <w:szCs w:val="16"/>
          <w:lang w:val="en-US"/>
        </w:rPr>
        <w:t>Judgment of May 26, 2001. Series C No. 77</w:t>
      </w:r>
      <w:r w:rsidRPr="00AC57EA">
        <w:rPr>
          <w:i/>
          <w:sz w:val="16"/>
          <w:szCs w:val="16"/>
          <w:lang w:val="en-US"/>
        </w:rPr>
        <w:t xml:space="preserve">, </w:t>
      </w:r>
      <w:r w:rsidRPr="00AC57EA">
        <w:rPr>
          <w:sz w:val="16"/>
          <w:szCs w:val="16"/>
          <w:lang w:val="en-US"/>
        </w:rPr>
        <w:t xml:space="preserve">para. 84, and </w:t>
      </w:r>
      <w:r w:rsidRPr="00AC57EA">
        <w:rPr>
          <w:bCs/>
          <w:i/>
          <w:sz w:val="16"/>
          <w:szCs w:val="16"/>
          <w:lang w:val="en-US"/>
        </w:rPr>
        <w:t>Case of the Dismissed Employees of PetroPerú et al. v. Peru, supra</w:t>
      </w:r>
      <w:r w:rsidRPr="00AC57EA">
        <w:rPr>
          <w:bCs/>
          <w:sz w:val="16"/>
          <w:szCs w:val="16"/>
          <w:lang w:val="en-US"/>
        </w:rPr>
        <w:t>,</w:t>
      </w:r>
      <w:r w:rsidRPr="00AC57EA">
        <w:rPr>
          <w:sz w:val="16"/>
          <w:szCs w:val="16"/>
          <w:lang w:val="en-US"/>
        </w:rPr>
        <w:t xml:space="preserve"> para. 227.</w:t>
      </w:r>
    </w:p>
  </w:footnote>
  <w:footnote w:id="452">
    <w:p w14:paraId="7B123B28" w14:textId="68C09E7A"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rFonts w:eastAsia="Calibri"/>
          <w:bCs/>
          <w:i/>
          <w:sz w:val="16"/>
          <w:szCs w:val="16"/>
          <w:shd w:val="clear" w:color="auto" w:fill="FFFFFF"/>
          <w:lang w:val="en-US"/>
        </w:rPr>
        <w:t>Case of Garrido and Baigorria v. Argentina. Reparations and costs.</w:t>
      </w:r>
      <w:r w:rsidRPr="00AC57EA">
        <w:rPr>
          <w:rFonts w:eastAsia="Calibri"/>
          <w:bCs/>
          <w:sz w:val="16"/>
          <w:szCs w:val="16"/>
          <w:shd w:val="clear" w:color="auto" w:fill="FFFFFF"/>
          <w:lang w:val="en-US"/>
        </w:rPr>
        <w:t xml:space="preserve"> Judgment of August 27, 1998. Series C No. 39, para. 79, and </w:t>
      </w:r>
      <w:r w:rsidRPr="00AC57EA">
        <w:rPr>
          <w:bCs/>
          <w:i/>
          <w:sz w:val="16"/>
          <w:szCs w:val="16"/>
          <w:lang w:val="en-US"/>
        </w:rPr>
        <w:t>Case of the Dismissed Employees of PetroPerú et al. v. Peru, supra</w:t>
      </w:r>
      <w:r w:rsidRPr="00AC57EA">
        <w:rPr>
          <w:bCs/>
          <w:sz w:val="16"/>
          <w:szCs w:val="16"/>
          <w:lang w:val="en-US"/>
        </w:rPr>
        <w:t>,</w:t>
      </w:r>
      <w:r w:rsidRPr="00AC57EA">
        <w:rPr>
          <w:sz w:val="16"/>
          <w:szCs w:val="16"/>
          <w:lang w:val="en-US"/>
        </w:rPr>
        <w:t xml:space="preserve"> para. 242.</w:t>
      </w:r>
    </w:p>
  </w:footnote>
  <w:footnote w:id="453">
    <w:p w14:paraId="05745CE1" w14:textId="1605E35C"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w:t>
      </w:r>
      <w:r w:rsidRPr="00AC57EA">
        <w:rPr>
          <w:rFonts w:eastAsia="Calibri"/>
          <w:bCs/>
          <w:i/>
          <w:sz w:val="16"/>
          <w:szCs w:val="16"/>
          <w:shd w:val="clear" w:color="auto" w:fill="FFFFFF"/>
          <w:lang w:val="en-US"/>
        </w:rPr>
        <w:t>Case of Garrido and Baigorria v. Argentina. Reparations and costs, supra</w:t>
      </w:r>
      <w:r w:rsidRPr="00AC57EA">
        <w:rPr>
          <w:sz w:val="16"/>
          <w:szCs w:val="16"/>
          <w:lang w:val="en-US"/>
        </w:rPr>
        <w:t xml:space="preserve">, para. 82, and </w:t>
      </w:r>
      <w:r w:rsidRPr="00AC57EA">
        <w:rPr>
          <w:bCs/>
          <w:i/>
          <w:sz w:val="16"/>
          <w:szCs w:val="16"/>
          <w:lang w:val="en-US"/>
        </w:rPr>
        <w:t>Case of the Dismissed Employees of PetroPerú et al. v. Peru, supra</w:t>
      </w:r>
      <w:r w:rsidRPr="00AC57EA">
        <w:rPr>
          <w:rFonts w:eastAsia="Calibri"/>
          <w:bCs/>
          <w:sz w:val="16"/>
          <w:szCs w:val="16"/>
          <w:shd w:val="clear" w:color="auto" w:fill="FFFFFF"/>
          <w:lang w:val="en-US"/>
        </w:rPr>
        <w:t>, para. 242.</w:t>
      </w:r>
    </w:p>
  </w:footnote>
  <w:footnote w:id="454">
    <w:p w14:paraId="5C1BD437" w14:textId="641BBCD3" w:rsidR="003C0AC1" w:rsidRPr="00D22834" w:rsidRDefault="003C0AC1" w:rsidP="00AC57EA">
      <w:pPr>
        <w:pStyle w:val="Textonotapie"/>
        <w:tabs>
          <w:tab w:val="left" w:pos="540"/>
          <w:tab w:val="left" w:pos="709"/>
        </w:tabs>
        <w:spacing w:after="60"/>
        <w:rPr>
          <w:sz w:val="16"/>
          <w:szCs w:val="16"/>
          <w:lang w:val="es-CR"/>
        </w:rPr>
      </w:pPr>
      <w:r w:rsidRPr="00AC57EA">
        <w:rPr>
          <w:rStyle w:val="Refdenotaalpie"/>
          <w:rFonts w:eastAsia="Calibri"/>
          <w:sz w:val="16"/>
          <w:szCs w:val="16"/>
          <w:lang w:val="en-US"/>
        </w:rPr>
        <w:footnoteRef/>
      </w:r>
      <w:r w:rsidRPr="00AC57EA">
        <w:rPr>
          <w:sz w:val="16"/>
          <w:szCs w:val="16"/>
          <w:lang w:val="en-US"/>
        </w:rPr>
        <w:tab/>
      </w:r>
      <w:r w:rsidRPr="00AC57EA">
        <w:rPr>
          <w:rFonts w:eastAsia="Calibri"/>
          <w:bCs/>
          <w:i/>
          <w:sz w:val="16"/>
          <w:szCs w:val="16"/>
          <w:shd w:val="clear" w:color="auto" w:fill="FFFFFF"/>
          <w:lang w:val="en-US"/>
        </w:rPr>
        <w:t>Case of Garrido and Baigorria v. Argentina. Reparations and costs, supra</w:t>
      </w:r>
      <w:r w:rsidRPr="00AC57EA">
        <w:rPr>
          <w:sz w:val="16"/>
          <w:szCs w:val="16"/>
          <w:lang w:val="en-US"/>
        </w:rPr>
        <w:t>, paras. 79 and 82,</w:t>
      </w:r>
      <w:r w:rsidRPr="00AC57EA">
        <w:rPr>
          <w:i/>
          <w:sz w:val="16"/>
          <w:szCs w:val="16"/>
          <w:lang w:val="en-US"/>
        </w:rPr>
        <w:t xml:space="preserve"> and Case of the Dismissed Employees of PetroPerú et al. v. Peru, supra</w:t>
      </w:r>
      <w:r w:rsidRPr="00AC57EA">
        <w:rPr>
          <w:sz w:val="16"/>
          <w:szCs w:val="16"/>
          <w:lang w:val="en-US"/>
        </w:rPr>
        <w:t xml:space="preserve">, para. </w:t>
      </w:r>
      <w:r w:rsidRPr="00D22834">
        <w:rPr>
          <w:sz w:val="16"/>
          <w:szCs w:val="16"/>
          <w:lang w:val="es-CR"/>
        </w:rPr>
        <w:t>243.</w:t>
      </w:r>
    </w:p>
  </w:footnote>
  <w:footnote w:id="455">
    <w:p w14:paraId="32A92FD4" w14:textId="70B1AD81" w:rsidR="003C0AC1" w:rsidRPr="00AC57EA" w:rsidRDefault="003C0AC1" w:rsidP="00AC57EA">
      <w:pPr>
        <w:tabs>
          <w:tab w:val="left" w:pos="540"/>
        </w:tabs>
        <w:spacing w:after="60" w:line="240" w:lineRule="auto"/>
        <w:rPr>
          <w:sz w:val="16"/>
          <w:szCs w:val="16"/>
          <w:lang w:val="en-US"/>
        </w:rPr>
      </w:pPr>
      <w:r w:rsidRPr="00AC57EA">
        <w:rPr>
          <w:rStyle w:val="Refdenotaalpie"/>
          <w:rFonts w:eastAsia="Calibri"/>
          <w:sz w:val="16"/>
          <w:szCs w:val="16"/>
          <w:lang w:val="en-US"/>
        </w:rPr>
        <w:footnoteRef/>
      </w:r>
      <w:r w:rsidRPr="00D22834">
        <w:rPr>
          <w:sz w:val="16"/>
          <w:szCs w:val="16"/>
        </w:rPr>
        <w:t xml:space="preserve"> </w:t>
      </w:r>
      <w:r w:rsidRPr="00D22834">
        <w:rPr>
          <w:sz w:val="16"/>
          <w:szCs w:val="16"/>
        </w:rPr>
        <w:tab/>
      </w:r>
      <w:r w:rsidRPr="00D22834">
        <w:rPr>
          <w:i/>
          <w:sz w:val="16"/>
          <w:szCs w:val="16"/>
        </w:rPr>
        <w:t>Cf. Case of Chaparro Álvarez and Lapo Íñiguez v. Ecuador, supra</w:t>
      </w:r>
      <w:r w:rsidRPr="00D22834">
        <w:rPr>
          <w:sz w:val="16"/>
          <w:szCs w:val="16"/>
        </w:rPr>
        <w:t xml:space="preserve">, para. </w:t>
      </w:r>
      <w:r w:rsidRPr="00AC57EA">
        <w:rPr>
          <w:sz w:val="16"/>
          <w:szCs w:val="16"/>
          <w:lang w:val="en-US"/>
        </w:rPr>
        <w:t xml:space="preserve">277, and </w:t>
      </w:r>
      <w:r w:rsidRPr="00AC57EA">
        <w:rPr>
          <w:i/>
          <w:sz w:val="16"/>
          <w:szCs w:val="16"/>
          <w:lang w:val="en-US"/>
        </w:rPr>
        <w:t>Case of the Dismissed Employees of PetroPerú et al. v. Peru, supra</w:t>
      </w:r>
      <w:r w:rsidRPr="00AC57EA">
        <w:rPr>
          <w:sz w:val="16"/>
          <w:szCs w:val="16"/>
          <w:lang w:val="en-US"/>
        </w:rPr>
        <w:t>, para. 243.</w:t>
      </w:r>
    </w:p>
  </w:footnote>
  <w:footnote w:id="456">
    <w:p w14:paraId="1F9C966F" w14:textId="1D605FF8"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 xml:space="preserve">Cf. Case of the Xákmok Kásek Indigenous Community v. Paraguay. Merits, reparations and costs. </w:t>
      </w:r>
      <w:r w:rsidRPr="00AC57EA">
        <w:rPr>
          <w:sz w:val="16"/>
          <w:szCs w:val="16"/>
          <w:lang w:val="en-US"/>
        </w:rPr>
        <w:t xml:space="preserve">Judgment of August 24, 2010. Series C No. 214, para. 331, and </w:t>
      </w:r>
      <w:r w:rsidRPr="00AC57EA">
        <w:rPr>
          <w:bCs/>
          <w:i/>
          <w:sz w:val="16"/>
          <w:szCs w:val="16"/>
          <w:lang w:val="en-US"/>
        </w:rPr>
        <w:t>Case of Pacheco León et al. v. Honduras, supra</w:t>
      </w:r>
      <w:r w:rsidRPr="00AC57EA">
        <w:rPr>
          <w:bCs/>
          <w:sz w:val="16"/>
          <w:szCs w:val="16"/>
          <w:lang w:val="en-US"/>
        </w:rPr>
        <w:t>, para. 224.</w:t>
      </w:r>
    </w:p>
  </w:footnote>
  <w:footnote w:id="457">
    <w:p w14:paraId="5543DF90" w14:textId="3C2B9BA9" w:rsidR="003C0AC1" w:rsidRPr="00AC57EA" w:rsidRDefault="003C0AC1" w:rsidP="00AC57EA">
      <w:pPr>
        <w:pStyle w:val="Textonotapie"/>
        <w:tabs>
          <w:tab w:val="left" w:pos="540"/>
        </w:tabs>
        <w:spacing w:after="60"/>
        <w:rPr>
          <w:sz w:val="16"/>
          <w:szCs w:val="16"/>
          <w:u w:val="single"/>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bCs/>
          <w:sz w:val="16"/>
          <w:szCs w:val="16"/>
          <w:lang w:val="en-US"/>
        </w:rPr>
        <w:t>AG/RES. 2426 (XXXVIII-O/08),</w:t>
      </w:r>
      <w:r w:rsidRPr="00AC57EA">
        <w:rPr>
          <w:rFonts w:cs="Verdana"/>
          <w:sz w:val="16"/>
          <w:szCs w:val="16"/>
          <w:lang w:val="en-US"/>
        </w:rPr>
        <w:t xml:space="preserve"> </w:t>
      </w:r>
      <w:r w:rsidRPr="00AC57EA">
        <w:rPr>
          <w:sz w:val="16"/>
          <w:szCs w:val="16"/>
          <w:lang w:val="en-US"/>
        </w:rPr>
        <w:t xml:space="preserve">Resolution adopted by the Thirty-eighth OAS General Assembly, at the four plenary session, held on June 3, 2008, </w:t>
      </w:r>
      <w:r w:rsidRPr="00AC57EA">
        <w:rPr>
          <w:i/>
          <w:sz w:val="16"/>
          <w:szCs w:val="16"/>
          <w:lang w:val="en-US"/>
        </w:rPr>
        <w:t xml:space="preserve">“Establishment of the Legal Assistance Fund of the Inter-American Human Rights System,”  </w:t>
      </w:r>
      <w:r w:rsidRPr="00AC57EA">
        <w:rPr>
          <w:sz w:val="16"/>
          <w:szCs w:val="16"/>
          <w:lang w:val="en-US"/>
        </w:rPr>
        <w:t>Operative paragraph 2(a</w:t>
      </w:r>
      <w:r w:rsidRPr="00AC57EA">
        <w:rPr>
          <w:rFonts w:cs="Verdana"/>
          <w:sz w:val="16"/>
          <w:szCs w:val="16"/>
          <w:lang w:val="en-US"/>
        </w:rPr>
        <w:t xml:space="preserve">), and </w:t>
      </w:r>
      <w:r w:rsidRPr="00AC57EA">
        <w:rPr>
          <w:sz w:val="16"/>
          <w:szCs w:val="16"/>
          <w:lang w:val="en-US"/>
        </w:rPr>
        <w:t>CP/RES. 963 (1728/09), Resolution adopted on November 11, 2009, by the OAS Permanent Council, “</w:t>
      </w:r>
      <w:r w:rsidRPr="00AC57EA">
        <w:rPr>
          <w:i/>
          <w:iCs/>
          <w:sz w:val="16"/>
          <w:szCs w:val="16"/>
          <w:lang w:val="en-US"/>
        </w:rPr>
        <w:t>Rules of Procedure for the Operation of the Legal Assistance Fund of the inter-American human rights system,</w:t>
      </w:r>
      <w:r w:rsidRPr="00AC57EA">
        <w:rPr>
          <w:sz w:val="16"/>
          <w:szCs w:val="16"/>
          <w:lang w:val="en-US"/>
        </w:rPr>
        <w:t>” Article 1(1).</w:t>
      </w:r>
    </w:p>
  </w:footnote>
  <w:footnote w:id="458">
    <w:p w14:paraId="27E47CD8" w14:textId="2854D0F9" w:rsidR="003C0AC1" w:rsidRPr="00AC57EA" w:rsidRDefault="003C0AC1" w:rsidP="00AC57EA">
      <w:pPr>
        <w:pStyle w:val="Textonotapie"/>
        <w:tabs>
          <w:tab w:val="left" w:pos="540"/>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i/>
          <w:sz w:val="16"/>
          <w:szCs w:val="16"/>
          <w:lang w:val="en-US"/>
        </w:rPr>
        <w:t>Cf.</w:t>
      </w:r>
      <w:r w:rsidRPr="00AC57EA">
        <w:rPr>
          <w:sz w:val="16"/>
          <w:szCs w:val="16"/>
          <w:lang w:val="en-US"/>
        </w:rPr>
        <w:t xml:space="preserve"> Order issued by the President of the Inter-American Court of Human Rights on September 21, 2017 (merits file, volume I, folios 838 to 852).</w:t>
      </w:r>
    </w:p>
  </w:footnote>
  <w:footnote w:id="459">
    <w:p w14:paraId="039622AB" w14:textId="59655E3B" w:rsidR="003C0AC1" w:rsidRPr="00AC57EA" w:rsidRDefault="003C0AC1" w:rsidP="00AC57EA">
      <w:pPr>
        <w:pStyle w:val="Textonotapie"/>
        <w:tabs>
          <w:tab w:val="left" w:pos="540"/>
        </w:tabs>
        <w:spacing w:after="60"/>
        <w:rPr>
          <w:sz w:val="16"/>
          <w:szCs w:val="16"/>
          <w:lang w:val="en-US"/>
        </w:rPr>
      </w:pPr>
      <w:r w:rsidRPr="00AC57EA">
        <w:rPr>
          <w:rStyle w:val="Refdenotaalpie"/>
          <w:rFonts w:eastAsia="Calibri"/>
          <w:sz w:val="16"/>
          <w:szCs w:val="16"/>
          <w:lang w:val="en-US"/>
        </w:rPr>
        <w:footnoteRef/>
      </w:r>
      <w:r w:rsidRPr="00AC57EA">
        <w:rPr>
          <w:sz w:val="16"/>
          <w:szCs w:val="16"/>
          <w:lang w:val="en-US"/>
        </w:rPr>
        <w:t xml:space="preserve"> </w:t>
      </w:r>
      <w:r w:rsidRPr="00AC57EA">
        <w:rPr>
          <w:sz w:val="16"/>
          <w:szCs w:val="16"/>
          <w:lang w:val="en-US"/>
        </w:rPr>
        <w:tab/>
        <w:t xml:space="preserve">The Victims’ Legal Assistance Fund was applied for the first time in the case of </w:t>
      </w:r>
      <w:r w:rsidRPr="00AC57EA">
        <w:rPr>
          <w:i/>
          <w:sz w:val="16"/>
          <w:szCs w:val="16"/>
          <w:lang w:val="en-US"/>
        </w:rPr>
        <w:t>Contreras et al. v. El Salvador</w:t>
      </w:r>
      <w:r w:rsidRPr="00AC57EA">
        <w:rPr>
          <w:sz w:val="16"/>
          <w:szCs w:val="16"/>
          <w:lang w:val="en-US"/>
        </w:rPr>
        <w:t>, in which the judgment was delivered on August 31, 2011.</w:t>
      </w:r>
    </w:p>
  </w:footnote>
  <w:footnote w:id="460">
    <w:p w14:paraId="31BCB671" w14:textId="5937897E" w:rsidR="003C0AC1" w:rsidRPr="00AC57EA" w:rsidRDefault="003C0AC1" w:rsidP="00AC57EA">
      <w:pPr>
        <w:pStyle w:val="Textonotapie"/>
        <w:tabs>
          <w:tab w:val="left" w:pos="540"/>
          <w:tab w:val="left" w:pos="709"/>
        </w:tabs>
        <w:spacing w:after="60"/>
        <w:rPr>
          <w:sz w:val="16"/>
          <w:szCs w:val="16"/>
          <w:lang w:val="en-US"/>
        </w:rPr>
      </w:pPr>
      <w:r w:rsidRPr="00AC57EA">
        <w:rPr>
          <w:rStyle w:val="Refdenotaalpie"/>
          <w:sz w:val="16"/>
          <w:szCs w:val="16"/>
          <w:lang w:val="en-US"/>
        </w:rPr>
        <w:footnoteRef/>
      </w:r>
      <w:r w:rsidRPr="00AC57EA">
        <w:rPr>
          <w:sz w:val="16"/>
          <w:szCs w:val="16"/>
          <w:lang w:val="en-US"/>
        </w:rPr>
        <w:t xml:space="preserve"> </w:t>
      </w:r>
      <w:r w:rsidRPr="00AC57EA">
        <w:rPr>
          <w:sz w:val="16"/>
          <w:szCs w:val="16"/>
          <w:lang w:val="en-US"/>
        </w:rPr>
        <w:tab/>
      </w:r>
      <w:r w:rsidRPr="00AC57EA">
        <w:rPr>
          <w:rFonts w:eastAsiaTheme="minorHAnsi" w:cstheme="minorBidi"/>
          <w:i/>
          <w:sz w:val="16"/>
          <w:szCs w:val="16"/>
          <w:lang w:val="en-US" w:eastAsia="en-US"/>
        </w:rPr>
        <w:t xml:space="preserve">Cf. Case of the Campesino Community of Santa Bárbara v. Peru. Preliminary objections, merits, reparations and costs. </w:t>
      </w:r>
      <w:r w:rsidRPr="00AC57EA">
        <w:rPr>
          <w:rFonts w:eastAsiaTheme="minorHAnsi" w:cstheme="minorBidi"/>
          <w:sz w:val="16"/>
          <w:szCs w:val="16"/>
          <w:lang w:val="en-US" w:eastAsia="en-US"/>
        </w:rPr>
        <w:t xml:space="preserve">Judgment of September 1, 2015. Series C No. 299, para. 355, and </w:t>
      </w:r>
      <w:r w:rsidRPr="00AC57EA">
        <w:rPr>
          <w:i/>
          <w:sz w:val="16"/>
          <w:szCs w:val="16"/>
          <w:lang w:val="en-US"/>
        </w:rPr>
        <w:t>Case of the Dismissed Employees of PetroPerú et al. v. Peru, supra</w:t>
      </w:r>
      <w:r w:rsidRPr="00AC57EA">
        <w:rPr>
          <w:sz w:val="16"/>
          <w:szCs w:val="16"/>
          <w:lang w:val="en-US"/>
        </w:rPr>
        <w:t>, para. 237.</w:t>
      </w:r>
    </w:p>
  </w:footnote>
  <w:footnote w:id="461">
    <w:p w14:paraId="2FAFC8FF" w14:textId="460CE453" w:rsidR="003C0AC1" w:rsidRPr="00060A7B" w:rsidRDefault="003C0AC1" w:rsidP="00AC57EA">
      <w:pPr>
        <w:tabs>
          <w:tab w:val="left" w:pos="540"/>
        </w:tabs>
        <w:autoSpaceDE w:val="0"/>
        <w:autoSpaceDN w:val="0"/>
        <w:spacing w:after="240" w:line="240" w:lineRule="auto"/>
        <w:rPr>
          <w:b/>
          <w:sz w:val="16"/>
          <w:szCs w:val="16"/>
          <w:u w:val="single"/>
          <w:lang w:val="en-US"/>
        </w:rPr>
      </w:pPr>
      <w:r w:rsidRPr="00AC57EA">
        <w:rPr>
          <w:rStyle w:val="Refdenotaalpie"/>
          <w:rFonts w:cs="Times"/>
          <w:sz w:val="16"/>
          <w:szCs w:val="16"/>
          <w:lang w:val="en-US"/>
        </w:rPr>
        <w:footnoteRef/>
      </w:r>
      <w:r w:rsidRPr="00AC57EA">
        <w:rPr>
          <w:sz w:val="16"/>
          <w:szCs w:val="16"/>
          <w:lang w:val="en-US"/>
        </w:rPr>
        <w:t xml:space="preserve"> </w:t>
      </w:r>
      <w:r w:rsidRPr="00AC57EA">
        <w:rPr>
          <w:sz w:val="16"/>
          <w:szCs w:val="16"/>
          <w:lang w:val="en-US"/>
        </w:rPr>
        <w:tab/>
        <w:t>This article establishes that “[i]n cases in which alleged victims are acting without duly accredited legal representation, the Court may, on its own motion, appoint an inter-American defender to represent them during the processing of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305D" w14:textId="1B106C68" w:rsidR="003C0AC1" w:rsidRPr="006A7984" w:rsidRDefault="003C0AC1" w:rsidP="00DD00E7">
    <w:pPr>
      <w:pStyle w:val="Encabezado"/>
      <w:jc w:val="center"/>
      <w:rPr>
        <w:rFonts w:ascii="Verdana" w:hAnsi="Verdana"/>
        <w:sz w:val="20"/>
        <w:szCs w:val="20"/>
      </w:rPr>
    </w:pPr>
    <w:r>
      <w:fldChar w:fldCharType="begin"/>
    </w:r>
    <w:r>
      <w:instrText xml:space="preserve"> PAGE   \* MERGEFORMAT </w:instrText>
    </w:r>
    <w:r>
      <w:fldChar w:fldCharType="separate"/>
    </w:r>
    <w:r w:rsidRPr="00EF48C1">
      <w:rPr>
        <w:rFonts w:ascii="Verdana" w:hAnsi="Verdana"/>
        <w:noProof/>
        <w:sz w:val="20"/>
        <w:szCs w:val="20"/>
      </w:rPr>
      <w:t>2</w:t>
    </w:r>
    <w:r>
      <w:rPr>
        <w:rFonts w:ascii="Verdana" w:hAnsi="Verdana"/>
        <w:noProof/>
        <w:sz w:val="20"/>
        <w:szCs w:val="20"/>
      </w:rPr>
      <w:fldChar w:fldCharType="end"/>
    </w:r>
  </w:p>
  <w:p w14:paraId="5A7E0335" w14:textId="77777777" w:rsidR="003C0AC1" w:rsidRPr="00DF3D71" w:rsidRDefault="003C0AC1">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CC1B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A1380F"/>
    <w:multiLevelType w:val="hybridMultilevel"/>
    <w:tmpl w:val="7D22E24E"/>
    <w:lvl w:ilvl="0" w:tplc="140A0015">
      <w:start w:val="1"/>
      <w:numFmt w:val="upperLetter"/>
      <w:lvlText w:val="%1."/>
      <w:lvlJc w:val="left"/>
      <w:pPr>
        <w:ind w:left="1288"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2" w15:restartNumberingAfterBreak="0">
    <w:nsid w:val="15087C57"/>
    <w:multiLevelType w:val="hybridMultilevel"/>
    <w:tmpl w:val="4F1E90E6"/>
    <w:lvl w:ilvl="0" w:tplc="4510CD36">
      <w:start w:val="1"/>
      <w:numFmt w:val="lowerLetter"/>
      <w:lvlText w:val="%1)"/>
      <w:lvlJc w:val="left"/>
      <w:pPr>
        <w:ind w:left="1854" w:hanging="360"/>
      </w:pPr>
      <w:rPr>
        <w:rFonts w:ascii="Verdana" w:hAnsi="Verdana" w:hint="default"/>
        <w:b w:val="0"/>
        <w:i/>
        <w:color w:val="auto"/>
        <w:sz w:val="20"/>
        <w:szCs w:val="20"/>
      </w:rPr>
    </w:lvl>
    <w:lvl w:ilvl="1" w:tplc="140A0019" w:tentative="1">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abstractNum w:abstractNumId="3" w15:restartNumberingAfterBreak="0">
    <w:nsid w:val="15330ACC"/>
    <w:multiLevelType w:val="hybridMultilevel"/>
    <w:tmpl w:val="495834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94A514D"/>
    <w:multiLevelType w:val="hybridMultilevel"/>
    <w:tmpl w:val="65140670"/>
    <w:lvl w:ilvl="0" w:tplc="140A0015">
      <w:start w:val="1"/>
      <w:numFmt w:val="upperLetter"/>
      <w:lvlText w:val="%1."/>
      <w:lvlJc w:val="left"/>
      <w:pPr>
        <w:ind w:left="1288"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5" w15:restartNumberingAfterBreak="0">
    <w:nsid w:val="252365FC"/>
    <w:multiLevelType w:val="hybridMultilevel"/>
    <w:tmpl w:val="A3987190"/>
    <w:lvl w:ilvl="0" w:tplc="2B8CEE1A">
      <w:start w:val="1"/>
      <w:numFmt w:val="lowerLetter"/>
      <w:lvlText w:val="%1)"/>
      <w:lvlJc w:val="left"/>
      <w:pPr>
        <w:ind w:left="1068" w:hanging="360"/>
      </w:pPr>
      <w:rPr>
        <w:i/>
        <w:sz w:val="20"/>
        <w:szCs w:val="2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15:restartNumberingAfterBreak="0">
    <w:nsid w:val="257A74DB"/>
    <w:multiLevelType w:val="hybridMultilevel"/>
    <w:tmpl w:val="9F60C734"/>
    <w:lvl w:ilvl="0" w:tplc="140A001B">
      <w:start w:val="1"/>
      <w:numFmt w:val="lowerRoman"/>
      <w:lvlText w:val="%1."/>
      <w:lvlJc w:val="right"/>
      <w:pPr>
        <w:ind w:left="2407" w:hanging="360"/>
      </w:pPr>
    </w:lvl>
    <w:lvl w:ilvl="1" w:tplc="140A0019" w:tentative="1">
      <w:start w:val="1"/>
      <w:numFmt w:val="lowerLetter"/>
      <w:lvlText w:val="%2."/>
      <w:lvlJc w:val="left"/>
      <w:pPr>
        <w:ind w:left="3127" w:hanging="360"/>
      </w:pPr>
    </w:lvl>
    <w:lvl w:ilvl="2" w:tplc="140A001B" w:tentative="1">
      <w:start w:val="1"/>
      <w:numFmt w:val="lowerRoman"/>
      <w:lvlText w:val="%3."/>
      <w:lvlJc w:val="right"/>
      <w:pPr>
        <w:ind w:left="3847" w:hanging="180"/>
      </w:pPr>
    </w:lvl>
    <w:lvl w:ilvl="3" w:tplc="140A000F" w:tentative="1">
      <w:start w:val="1"/>
      <w:numFmt w:val="decimal"/>
      <w:lvlText w:val="%4."/>
      <w:lvlJc w:val="left"/>
      <w:pPr>
        <w:ind w:left="4567" w:hanging="360"/>
      </w:pPr>
    </w:lvl>
    <w:lvl w:ilvl="4" w:tplc="140A0019" w:tentative="1">
      <w:start w:val="1"/>
      <w:numFmt w:val="lowerLetter"/>
      <w:lvlText w:val="%5."/>
      <w:lvlJc w:val="left"/>
      <w:pPr>
        <w:ind w:left="5287" w:hanging="360"/>
      </w:pPr>
    </w:lvl>
    <w:lvl w:ilvl="5" w:tplc="140A001B" w:tentative="1">
      <w:start w:val="1"/>
      <w:numFmt w:val="lowerRoman"/>
      <w:lvlText w:val="%6."/>
      <w:lvlJc w:val="right"/>
      <w:pPr>
        <w:ind w:left="6007" w:hanging="180"/>
      </w:pPr>
    </w:lvl>
    <w:lvl w:ilvl="6" w:tplc="140A000F" w:tentative="1">
      <w:start w:val="1"/>
      <w:numFmt w:val="decimal"/>
      <w:lvlText w:val="%7."/>
      <w:lvlJc w:val="left"/>
      <w:pPr>
        <w:ind w:left="6727" w:hanging="360"/>
      </w:pPr>
    </w:lvl>
    <w:lvl w:ilvl="7" w:tplc="140A0019" w:tentative="1">
      <w:start w:val="1"/>
      <w:numFmt w:val="lowerLetter"/>
      <w:lvlText w:val="%8."/>
      <w:lvlJc w:val="left"/>
      <w:pPr>
        <w:ind w:left="7447" w:hanging="360"/>
      </w:pPr>
    </w:lvl>
    <w:lvl w:ilvl="8" w:tplc="140A001B" w:tentative="1">
      <w:start w:val="1"/>
      <w:numFmt w:val="lowerRoman"/>
      <w:lvlText w:val="%9."/>
      <w:lvlJc w:val="right"/>
      <w:pPr>
        <w:ind w:left="8167" w:hanging="180"/>
      </w:pPr>
    </w:lvl>
  </w:abstractNum>
  <w:abstractNum w:abstractNumId="7" w15:restartNumberingAfterBreak="0">
    <w:nsid w:val="36807B10"/>
    <w:multiLevelType w:val="hybridMultilevel"/>
    <w:tmpl w:val="1A98B54A"/>
    <w:lvl w:ilvl="0" w:tplc="9FA4F6D6">
      <w:start w:val="2"/>
      <w:numFmt w:val="lowerLetter"/>
      <w:lvlText w:val="%1)"/>
      <w:lvlJc w:val="left"/>
      <w:pPr>
        <w:ind w:left="2345" w:hanging="360"/>
      </w:pPr>
      <w:rPr>
        <w:rFonts w:hint="default"/>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8" w15:restartNumberingAfterBreak="0">
    <w:nsid w:val="3AA17D5B"/>
    <w:multiLevelType w:val="hybridMultilevel"/>
    <w:tmpl w:val="EA58FA22"/>
    <w:lvl w:ilvl="0" w:tplc="7F4CEE40">
      <w:start w:val="1"/>
      <w:numFmt w:val="lowerLetter"/>
      <w:lvlText w:val="%1)"/>
      <w:lvlJc w:val="left"/>
      <w:pPr>
        <w:ind w:left="1776" w:hanging="360"/>
      </w:pPr>
      <w:rPr>
        <w:rFonts w:hint="default"/>
        <w:i/>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9" w15:restartNumberingAfterBreak="0">
    <w:nsid w:val="436C4FDE"/>
    <w:multiLevelType w:val="hybridMultilevel"/>
    <w:tmpl w:val="EA58FA22"/>
    <w:lvl w:ilvl="0" w:tplc="7F4CEE40">
      <w:start w:val="1"/>
      <w:numFmt w:val="lowerLetter"/>
      <w:lvlText w:val="%1)"/>
      <w:lvlJc w:val="left"/>
      <w:pPr>
        <w:ind w:left="1776" w:hanging="360"/>
      </w:pPr>
      <w:rPr>
        <w:rFonts w:hint="default"/>
        <w:i/>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10" w15:restartNumberingAfterBreak="0">
    <w:nsid w:val="4AFB3AB1"/>
    <w:multiLevelType w:val="hybridMultilevel"/>
    <w:tmpl w:val="EA58FA22"/>
    <w:lvl w:ilvl="0" w:tplc="7F4CEE40">
      <w:start w:val="1"/>
      <w:numFmt w:val="lowerLetter"/>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C5469CD"/>
    <w:multiLevelType w:val="hybridMultilevel"/>
    <w:tmpl w:val="672EBDF8"/>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63A88060">
      <w:start w:val="1"/>
      <w:numFmt w:val="lowerLetter"/>
      <w:pStyle w:val="Estilo4"/>
      <w:lvlText w:val="%2)"/>
      <w:lvlJc w:val="left"/>
      <w:pPr>
        <w:ind w:left="1440" w:hanging="360"/>
      </w:pPr>
      <w:rPr>
        <w:rFonts w:ascii="Verdana" w:hAnsi="Verdana" w:cs="Times New Roman" w:hint="default"/>
        <w:b/>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D671D"/>
    <w:multiLevelType w:val="hybridMultilevel"/>
    <w:tmpl w:val="7D22E24E"/>
    <w:lvl w:ilvl="0" w:tplc="140A0015">
      <w:start w:val="1"/>
      <w:numFmt w:val="upperLetter"/>
      <w:lvlText w:val="%1."/>
      <w:lvlJc w:val="left"/>
      <w:pPr>
        <w:ind w:left="1288"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13" w15:restartNumberingAfterBreak="0">
    <w:nsid w:val="52E42F38"/>
    <w:multiLevelType w:val="hybridMultilevel"/>
    <w:tmpl w:val="409AE8C0"/>
    <w:lvl w:ilvl="0" w:tplc="A7F61C1A">
      <w:start w:val="1"/>
      <w:numFmt w:val="decimal"/>
      <w:lvlText w:val="%1."/>
      <w:lvlJc w:val="left"/>
      <w:pPr>
        <w:ind w:left="1080" w:hanging="360"/>
      </w:pPr>
      <w:rPr>
        <w:rFonts w:hint="default"/>
        <w:vanish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15:restartNumberingAfterBreak="0">
    <w:nsid w:val="56164B7C"/>
    <w:multiLevelType w:val="hybridMultilevel"/>
    <w:tmpl w:val="8CC26DFC"/>
    <w:lvl w:ilvl="0" w:tplc="CF9AFCBE">
      <w:start w:val="1"/>
      <w:numFmt w:val="lowerLetter"/>
      <w:lvlText w:val="%1)"/>
      <w:lvlJc w:val="left"/>
      <w:pPr>
        <w:ind w:left="818" w:hanging="360"/>
      </w:pPr>
      <w:rPr>
        <w:color w:val="auto"/>
      </w:rPr>
    </w:lvl>
    <w:lvl w:ilvl="1" w:tplc="140A0019">
      <w:start w:val="1"/>
      <w:numFmt w:val="lowerLetter"/>
      <w:lvlText w:val="%2."/>
      <w:lvlJc w:val="left"/>
      <w:pPr>
        <w:ind w:left="1538" w:hanging="360"/>
      </w:pPr>
    </w:lvl>
    <w:lvl w:ilvl="2" w:tplc="140A001B">
      <w:start w:val="1"/>
      <w:numFmt w:val="lowerRoman"/>
      <w:lvlText w:val="%3."/>
      <w:lvlJc w:val="right"/>
      <w:pPr>
        <w:ind w:left="2258" w:hanging="180"/>
      </w:pPr>
    </w:lvl>
    <w:lvl w:ilvl="3" w:tplc="140A000F">
      <w:start w:val="1"/>
      <w:numFmt w:val="decimal"/>
      <w:lvlText w:val="%4."/>
      <w:lvlJc w:val="left"/>
      <w:pPr>
        <w:ind w:left="2978" w:hanging="360"/>
      </w:pPr>
    </w:lvl>
    <w:lvl w:ilvl="4" w:tplc="140A0019">
      <w:start w:val="1"/>
      <w:numFmt w:val="lowerLetter"/>
      <w:lvlText w:val="%5."/>
      <w:lvlJc w:val="left"/>
      <w:pPr>
        <w:ind w:left="3698" w:hanging="360"/>
      </w:pPr>
    </w:lvl>
    <w:lvl w:ilvl="5" w:tplc="140A001B">
      <w:start w:val="1"/>
      <w:numFmt w:val="lowerRoman"/>
      <w:lvlText w:val="%6."/>
      <w:lvlJc w:val="right"/>
      <w:pPr>
        <w:ind w:left="4418" w:hanging="180"/>
      </w:pPr>
    </w:lvl>
    <w:lvl w:ilvl="6" w:tplc="140A000F">
      <w:start w:val="1"/>
      <w:numFmt w:val="decimal"/>
      <w:lvlText w:val="%7."/>
      <w:lvlJc w:val="left"/>
      <w:pPr>
        <w:ind w:left="5138" w:hanging="360"/>
      </w:pPr>
    </w:lvl>
    <w:lvl w:ilvl="7" w:tplc="140A0019">
      <w:start w:val="1"/>
      <w:numFmt w:val="lowerLetter"/>
      <w:lvlText w:val="%8."/>
      <w:lvlJc w:val="left"/>
      <w:pPr>
        <w:ind w:left="5858" w:hanging="360"/>
      </w:pPr>
    </w:lvl>
    <w:lvl w:ilvl="8" w:tplc="140A001B">
      <w:start w:val="1"/>
      <w:numFmt w:val="lowerRoman"/>
      <w:lvlText w:val="%9."/>
      <w:lvlJc w:val="right"/>
      <w:pPr>
        <w:ind w:left="6578" w:hanging="180"/>
      </w:pPr>
    </w:lvl>
  </w:abstractNum>
  <w:abstractNum w:abstractNumId="16" w15:restartNumberingAfterBreak="0">
    <w:nsid w:val="5C9E584E"/>
    <w:multiLevelType w:val="hybridMultilevel"/>
    <w:tmpl w:val="AD16940A"/>
    <w:lvl w:ilvl="0" w:tplc="140A0015">
      <w:start w:val="1"/>
      <w:numFmt w:val="upperLetter"/>
      <w:lvlText w:val="%1."/>
      <w:lvlJc w:val="left"/>
      <w:pPr>
        <w:ind w:left="1288"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17" w15:restartNumberingAfterBreak="0">
    <w:nsid w:val="65146B17"/>
    <w:multiLevelType w:val="hybridMultilevel"/>
    <w:tmpl w:val="6810CEC0"/>
    <w:lvl w:ilvl="0" w:tplc="9FAAE09A">
      <w:start w:val="1"/>
      <w:numFmt w:val="decimal"/>
      <w:lvlText w:val="%1."/>
      <w:lvlJc w:val="left"/>
      <w:pPr>
        <w:tabs>
          <w:tab w:val="num" w:pos="2040"/>
        </w:tabs>
        <w:ind w:left="2040" w:hanging="1440"/>
      </w:pPr>
      <w:rPr>
        <w:rFonts w:ascii="Cambria" w:hAnsi="Cambria" w:hint="default"/>
        <w:b w:val="0"/>
        <w:i w:val="0"/>
        <w:vanish w:val="0"/>
        <w:sz w:val="20"/>
        <w:szCs w:val="20"/>
      </w:rPr>
    </w:lvl>
    <w:lvl w:ilvl="1" w:tplc="FFFFFFFF">
      <w:start w:val="6"/>
      <w:numFmt w:val="upperRoman"/>
      <w:lvlText w:val="%2."/>
      <w:lvlJc w:val="left"/>
      <w:pPr>
        <w:tabs>
          <w:tab w:val="num" w:pos="1860"/>
        </w:tabs>
        <w:ind w:left="1860" w:hanging="720"/>
      </w:pPr>
      <w:rPr>
        <w:rFonts w:hint="default"/>
      </w:rPr>
    </w:lvl>
    <w:lvl w:ilvl="2" w:tplc="359A9ED6">
      <w:start w:val="1"/>
      <w:numFmt w:val="upperLetter"/>
      <w:lvlText w:val="%3."/>
      <w:lvlJc w:val="left"/>
      <w:pPr>
        <w:tabs>
          <w:tab w:val="num" w:pos="2760"/>
        </w:tabs>
        <w:ind w:left="2760" w:hanging="720"/>
      </w:pPr>
      <w:rPr>
        <w:rFonts w:hint="default"/>
        <w:vanish w:val="0"/>
      </w:rPr>
    </w:lvl>
    <w:lvl w:ilvl="3" w:tplc="FFFFFFFF">
      <w:start w:val="1"/>
      <w:numFmt w:val="lowerRoman"/>
      <w:lvlText w:val="%4."/>
      <w:lvlJc w:val="left"/>
      <w:pPr>
        <w:tabs>
          <w:tab w:val="num" w:pos="3300"/>
        </w:tabs>
        <w:ind w:left="3300" w:hanging="720"/>
      </w:pPr>
      <w:rPr>
        <w:rFonts w:cs="Times New Roman" w:hint="default"/>
      </w:rPr>
    </w:lvl>
    <w:lvl w:ilvl="4" w:tplc="FFFFFFFF">
      <w:start w:val="1"/>
      <w:numFmt w:val="lowerRoman"/>
      <w:lvlText w:val="%5)"/>
      <w:lvlJc w:val="left"/>
      <w:pPr>
        <w:tabs>
          <w:tab w:val="num" w:pos="4020"/>
        </w:tabs>
        <w:ind w:left="4020" w:hanging="720"/>
      </w:pPr>
      <w:rPr>
        <w:rFonts w:hint="default"/>
      </w:r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8" w15:restartNumberingAfterBreak="0">
    <w:nsid w:val="70401C77"/>
    <w:multiLevelType w:val="hybridMultilevel"/>
    <w:tmpl w:val="855EF884"/>
    <w:lvl w:ilvl="0" w:tplc="140A0019">
      <w:start w:val="1"/>
      <w:numFmt w:val="lowerLetter"/>
      <w:lvlText w:val="%1."/>
      <w:lvlJc w:val="left"/>
      <w:pPr>
        <w:ind w:left="1900" w:hanging="360"/>
      </w:pPr>
    </w:lvl>
    <w:lvl w:ilvl="1" w:tplc="140A0019" w:tentative="1">
      <w:start w:val="1"/>
      <w:numFmt w:val="lowerLetter"/>
      <w:lvlText w:val="%2."/>
      <w:lvlJc w:val="left"/>
      <w:pPr>
        <w:ind w:left="2620" w:hanging="360"/>
      </w:pPr>
    </w:lvl>
    <w:lvl w:ilvl="2" w:tplc="140A001B" w:tentative="1">
      <w:start w:val="1"/>
      <w:numFmt w:val="lowerRoman"/>
      <w:lvlText w:val="%3."/>
      <w:lvlJc w:val="right"/>
      <w:pPr>
        <w:ind w:left="3340" w:hanging="180"/>
      </w:pPr>
    </w:lvl>
    <w:lvl w:ilvl="3" w:tplc="140A000F" w:tentative="1">
      <w:start w:val="1"/>
      <w:numFmt w:val="decimal"/>
      <w:lvlText w:val="%4."/>
      <w:lvlJc w:val="left"/>
      <w:pPr>
        <w:ind w:left="4060" w:hanging="360"/>
      </w:pPr>
    </w:lvl>
    <w:lvl w:ilvl="4" w:tplc="140A0019" w:tentative="1">
      <w:start w:val="1"/>
      <w:numFmt w:val="lowerLetter"/>
      <w:lvlText w:val="%5."/>
      <w:lvlJc w:val="left"/>
      <w:pPr>
        <w:ind w:left="4780" w:hanging="360"/>
      </w:pPr>
    </w:lvl>
    <w:lvl w:ilvl="5" w:tplc="140A001B" w:tentative="1">
      <w:start w:val="1"/>
      <w:numFmt w:val="lowerRoman"/>
      <w:lvlText w:val="%6."/>
      <w:lvlJc w:val="right"/>
      <w:pPr>
        <w:ind w:left="5500" w:hanging="180"/>
      </w:pPr>
    </w:lvl>
    <w:lvl w:ilvl="6" w:tplc="140A000F" w:tentative="1">
      <w:start w:val="1"/>
      <w:numFmt w:val="decimal"/>
      <w:lvlText w:val="%7."/>
      <w:lvlJc w:val="left"/>
      <w:pPr>
        <w:ind w:left="6220" w:hanging="360"/>
      </w:pPr>
    </w:lvl>
    <w:lvl w:ilvl="7" w:tplc="140A0019" w:tentative="1">
      <w:start w:val="1"/>
      <w:numFmt w:val="lowerLetter"/>
      <w:lvlText w:val="%8."/>
      <w:lvlJc w:val="left"/>
      <w:pPr>
        <w:ind w:left="6940" w:hanging="360"/>
      </w:pPr>
    </w:lvl>
    <w:lvl w:ilvl="8" w:tplc="140A001B" w:tentative="1">
      <w:start w:val="1"/>
      <w:numFmt w:val="lowerRoman"/>
      <w:lvlText w:val="%9."/>
      <w:lvlJc w:val="right"/>
      <w:pPr>
        <w:ind w:left="7660" w:hanging="180"/>
      </w:pPr>
    </w:lvl>
  </w:abstractNum>
  <w:abstractNum w:abstractNumId="19"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3E0A1F"/>
    <w:multiLevelType w:val="hybridMultilevel"/>
    <w:tmpl w:val="DED899E2"/>
    <w:lvl w:ilvl="0" w:tplc="222E845A">
      <w:start w:val="1"/>
      <w:numFmt w:val="lowerLetter"/>
      <w:lvlText w:val="%1)"/>
      <w:lvlJc w:val="left"/>
      <w:pPr>
        <w:ind w:left="2345" w:hanging="360"/>
      </w:pPr>
      <w:rPr>
        <w:rFonts w:hint="default"/>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21" w15:restartNumberingAfterBreak="0">
    <w:nsid w:val="75940DAC"/>
    <w:multiLevelType w:val="hybridMultilevel"/>
    <w:tmpl w:val="4784E11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76753A80"/>
    <w:multiLevelType w:val="hybridMultilevel"/>
    <w:tmpl w:val="B9B8489E"/>
    <w:lvl w:ilvl="0" w:tplc="5126705A">
      <w:start w:val="1"/>
      <w:numFmt w:val="decimal"/>
      <w:pStyle w:val="PrrafodeSentencia"/>
      <w:lvlText w:val="%1."/>
      <w:lvlJc w:val="left"/>
      <w:pPr>
        <w:ind w:left="0" w:firstLine="0"/>
      </w:pPr>
      <w:rPr>
        <w:rFonts w:ascii="Verdana" w:hAnsi="Verdana" w:hint="default"/>
        <w:b w:val="0"/>
        <w:i w:val="0"/>
        <w:strike w:val="0"/>
        <w:color w:val="auto"/>
        <w:sz w:val="20"/>
        <w:szCs w:val="20"/>
        <w:lang w:val="es-ES"/>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3F0893E6" w:tentative="1">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3" w15:restartNumberingAfterBreak="0">
    <w:nsid w:val="79354707"/>
    <w:multiLevelType w:val="hybridMultilevel"/>
    <w:tmpl w:val="B90EDDB8"/>
    <w:lvl w:ilvl="0" w:tplc="985C757E">
      <w:start w:val="1"/>
      <w:numFmt w:val="decimal"/>
      <w:lvlText w:val="%1."/>
      <w:lvlJc w:val="left"/>
      <w:pPr>
        <w:ind w:left="825" w:hanging="825"/>
      </w:pPr>
      <w:rPr>
        <w:rFonts w:ascii="Verdana" w:eastAsia="Verdana" w:hAnsi="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22"/>
  </w:num>
  <w:num w:numId="2">
    <w:abstractNumId w:val="2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10"/>
  </w:num>
  <w:num w:numId="7">
    <w:abstractNumId w:val="11"/>
  </w:num>
  <w:num w:numId="8">
    <w:abstractNumId w:val="9"/>
  </w:num>
  <w:num w:numId="9">
    <w:abstractNumId w:val="8"/>
  </w:num>
  <w:num w:numId="10">
    <w:abstractNumId w:val="1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2"/>
  </w:num>
  <w:num w:numId="15">
    <w:abstractNumId w:val="12"/>
  </w:num>
  <w:num w:numId="16">
    <w:abstractNumId w:val="4"/>
  </w:num>
  <w:num w:numId="17">
    <w:abstractNumId w:val="1"/>
  </w:num>
  <w:num w:numId="18">
    <w:abstractNumId w:val="5"/>
  </w:num>
  <w:num w:numId="19">
    <w:abstractNumId w:val="3"/>
  </w:num>
  <w:num w:numId="20">
    <w:abstractNumId w:val="16"/>
  </w:num>
  <w:num w:numId="21">
    <w:abstractNumId w:val="14"/>
  </w:num>
  <w:num w:numId="22">
    <w:abstractNumId w:val="0"/>
  </w:num>
  <w:num w:numId="23">
    <w:abstractNumId w:val="13"/>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BDD"/>
    <w:rsid w:val="00000131"/>
    <w:rsid w:val="00000363"/>
    <w:rsid w:val="00000433"/>
    <w:rsid w:val="0000057A"/>
    <w:rsid w:val="000005DD"/>
    <w:rsid w:val="00000AAF"/>
    <w:rsid w:val="00000AE7"/>
    <w:rsid w:val="00000D08"/>
    <w:rsid w:val="00000D64"/>
    <w:rsid w:val="000013E8"/>
    <w:rsid w:val="000014AF"/>
    <w:rsid w:val="0000161F"/>
    <w:rsid w:val="00001866"/>
    <w:rsid w:val="0000214E"/>
    <w:rsid w:val="0000301E"/>
    <w:rsid w:val="00004160"/>
    <w:rsid w:val="000041B7"/>
    <w:rsid w:val="0000442C"/>
    <w:rsid w:val="00004B34"/>
    <w:rsid w:val="00004B71"/>
    <w:rsid w:val="00004CCB"/>
    <w:rsid w:val="00005FB3"/>
    <w:rsid w:val="000061EB"/>
    <w:rsid w:val="00006393"/>
    <w:rsid w:val="000063E6"/>
    <w:rsid w:val="000070CB"/>
    <w:rsid w:val="00007977"/>
    <w:rsid w:val="00007D98"/>
    <w:rsid w:val="00010133"/>
    <w:rsid w:val="0001019C"/>
    <w:rsid w:val="00010CFA"/>
    <w:rsid w:val="00010DF7"/>
    <w:rsid w:val="00011150"/>
    <w:rsid w:val="00011543"/>
    <w:rsid w:val="00011708"/>
    <w:rsid w:val="0001173B"/>
    <w:rsid w:val="00011740"/>
    <w:rsid w:val="000122E9"/>
    <w:rsid w:val="00012E64"/>
    <w:rsid w:val="000136CC"/>
    <w:rsid w:val="0001384D"/>
    <w:rsid w:val="00013978"/>
    <w:rsid w:val="000139BE"/>
    <w:rsid w:val="00013EA6"/>
    <w:rsid w:val="00014157"/>
    <w:rsid w:val="00014414"/>
    <w:rsid w:val="000146B5"/>
    <w:rsid w:val="00015005"/>
    <w:rsid w:val="000155F6"/>
    <w:rsid w:val="0001567D"/>
    <w:rsid w:val="00015E21"/>
    <w:rsid w:val="00016122"/>
    <w:rsid w:val="000166E0"/>
    <w:rsid w:val="000166FA"/>
    <w:rsid w:val="00016802"/>
    <w:rsid w:val="000168F1"/>
    <w:rsid w:val="00016B6D"/>
    <w:rsid w:val="000170FA"/>
    <w:rsid w:val="0001724D"/>
    <w:rsid w:val="00017359"/>
    <w:rsid w:val="00017C10"/>
    <w:rsid w:val="00020289"/>
    <w:rsid w:val="0002059B"/>
    <w:rsid w:val="00020A9A"/>
    <w:rsid w:val="00020D1F"/>
    <w:rsid w:val="000212D3"/>
    <w:rsid w:val="0002158D"/>
    <w:rsid w:val="000219C5"/>
    <w:rsid w:val="00021BE1"/>
    <w:rsid w:val="00022778"/>
    <w:rsid w:val="00022FA6"/>
    <w:rsid w:val="00023643"/>
    <w:rsid w:val="00024BCC"/>
    <w:rsid w:val="00024EFF"/>
    <w:rsid w:val="00025E57"/>
    <w:rsid w:val="000260AB"/>
    <w:rsid w:val="00026D7C"/>
    <w:rsid w:val="000272DF"/>
    <w:rsid w:val="000275B4"/>
    <w:rsid w:val="000277A2"/>
    <w:rsid w:val="000279A8"/>
    <w:rsid w:val="000304E8"/>
    <w:rsid w:val="00030828"/>
    <w:rsid w:val="0003095B"/>
    <w:rsid w:val="00030D94"/>
    <w:rsid w:val="00030E2E"/>
    <w:rsid w:val="00030FED"/>
    <w:rsid w:val="0003134B"/>
    <w:rsid w:val="00031598"/>
    <w:rsid w:val="000315FE"/>
    <w:rsid w:val="0003189C"/>
    <w:rsid w:val="00031D84"/>
    <w:rsid w:val="0003264F"/>
    <w:rsid w:val="0003268B"/>
    <w:rsid w:val="00032981"/>
    <w:rsid w:val="00032C84"/>
    <w:rsid w:val="00032E2F"/>
    <w:rsid w:val="00032E6D"/>
    <w:rsid w:val="000334E9"/>
    <w:rsid w:val="00033525"/>
    <w:rsid w:val="000339A2"/>
    <w:rsid w:val="00033CEC"/>
    <w:rsid w:val="0003463B"/>
    <w:rsid w:val="00034C26"/>
    <w:rsid w:val="0003552A"/>
    <w:rsid w:val="000360B5"/>
    <w:rsid w:val="000366AC"/>
    <w:rsid w:val="00036D73"/>
    <w:rsid w:val="0003709D"/>
    <w:rsid w:val="00037335"/>
    <w:rsid w:val="00037447"/>
    <w:rsid w:val="00037611"/>
    <w:rsid w:val="000377EA"/>
    <w:rsid w:val="00037A15"/>
    <w:rsid w:val="000406A3"/>
    <w:rsid w:val="00040BA7"/>
    <w:rsid w:val="00040CBD"/>
    <w:rsid w:val="000412C5"/>
    <w:rsid w:val="000415F8"/>
    <w:rsid w:val="00041DDB"/>
    <w:rsid w:val="000423C6"/>
    <w:rsid w:val="00042C39"/>
    <w:rsid w:val="00042D8A"/>
    <w:rsid w:val="000432BF"/>
    <w:rsid w:val="000435D5"/>
    <w:rsid w:val="00043B83"/>
    <w:rsid w:val="00043EAF"/>
    <w:rsid w:val="00044325"/>
    <w:rsid w:val="00044A68"/>
    <w:rsid w:val="00045958"/>
    <w:rsid w:val="00047615"/>
    <w:rsid w:val="0004781C"/>
    <w:rsid w:val="00047A3B"/>
    <w:rsid w:val="00047B9F"/>
    <w:rsid w:val="00047EC8"/>
    <w:rsid w:val="0005049A"/>
    <w:rsid w:val="00050C17"/>
    <w:rsid w:val="0005131A"/>
    <w:rsid w:val="00051707"/>
    <w:rsid w:val="00051985"/>
    <w:rsid w:val="00051EC4"/>
    <w:rsid w:val="00051F3F"/>
    <w:rsid w:val="00051F40"/>
    <w:rsid w:val="00051F81"/>
    <w:rsid w:val="000525AA"/>
    <w:rsid w:val="00053076"/>
    <w:rsid w:val="00053399"/>
    <w:rsid w:val="00053475"/>
    <w:rsid w:val="00053B96"/>
    <w:rsid w:val="00053DB6"/>
    <w:rsid w:val="00053DEB"/>
    <w:rsid w:val="000542BC"/>
    <w:rsid w:val="000546E2"/>
    <w:rsid w:val="0005490E"/>
    <w:rsid w:val="0005494C"/>
    <w:rsid w:val="00054D89"/>
    <w:rsid w:val="00054DB6"/>
    <w:rsid w:val="00055993"/>
    <w:rsid w:val="00055EE2"/>
    <w:rsid w:val="0005630B"/>
    <w:rsid w:val="000563B3"/>
    <w:rsid w:val="00056D5F"/>
    <w:rsid w:val="0005710F"/>
    <w:rsid w:val="00057163"/>
    <w:rsid w:val="000572F7"/>
    <w:rsid w:val="00057D51"/>
    <w:rsid w:val="00057F48"/>
    <w:rsid w:val="0006089B"/>
    <w:rsid w:val="000608E0"/>
    <w:rsid w:val="00060A7B"/>
    <w:rsid w:val="00060F75"/>
    <w:rsid w:val="00060FFF"/>
    <w:rsid w:val="000615BD"/>
    <w:rsid w:val="0006181A"/>
    <w:rsid w:val="00061DF9"/>
    <w:rsid w:val="00062285"/>
    <w:rsid w:val="00063C4E"/>
    <w:rsid w:val="0006464E"/>
    <w:rsid w:val="00064713"/>
    <w:rsid w:val="000659BC"/>
    <w:rsid w:val="000669CD"/>
    <w:rsid w:val="00066D4A"/>
    <w:rsid w:val="00066F3A"/>
    <w:rsid w:val="00067E98"/>
    <w:rsid w:val="000704CD"/>
    <w:rsid w:val="00070909"/>
    <w:rsid w:val="00070941"/>
    <w:rsid w:val="0007139B"/>
    <w:rsid w:val="000719E6"/>
    <w:rsid w:val="00072121"/>
    <w:rsid w:val="000723CB"/>
    <w:rsid w:val="0007284F"/>
    <w:rsid w:val="000732AE"/>
    <w:rsid w:val="00073A86"/>
    <w:rsid w:val="00073ECE"/>
    <w:rsid w:val="000744BD"/>
    <w:rsid w:val="00074874"/>
    <w:rsid w:val="00074A72"/>
    <w:rsid w:val="00074DBF"/>
    <w:rsid w:val="00074F7C"/>
    <w:rsid w:val="0007552A"/>
    <w:rsid w:val="00075585"/>
    <w:rsid w:val="0007586C"/>
    <w:rsid w:val="00075931"/>
    <w:rsid w:val="00075B12"/>
    <w:rsid w:val="00077564"/>
    <w:rsid w:val="000775B9"/>
    <w:rsid w:val="000779A3"/>
    <w:rsid w:val="00077C7F"/>
    <w:rsid w:val="00080C7C"/>
    <w:rsid w:val="00080CCE"/>
    <w:rsid w:val="0008155F"/>
    <w:rsid w:val="00081AC2"/>
    <w:rsid w:val="00082225"/>
    <w:rsid w:val="00082283"/>
    <w:rsid w:val="00082458"/>
    <w:rsid w:val="00082A67"/>
    <w:rsid w:val="00082AC3"/>
    <w:rsid w:val="000837C9"/>
    <w:rsid w:val="00083C86"/>
    <w:rsid w:val="00084D8C"/>
    <w:rsid w:val="000852DF"/>
    <w:rsid w:val="00085704"/>
    <w:rsid w:val="00085AC8"/>
    <w:rsid w:val="00085BDD"/>
    <w:rsid w:val="00085C23"/>
    <w:rsid w:val="00085FE6"/>
    <w:rsid w:val="00086920"/>
    <w:rsid w:val="00086B49"/>
    <w:rsid w:val="00086C46"/>
    <w:rsid w:val="00086DFF"/>
    <w:rsid w:val="00086E9E"/>
    <w:rsid w:val="000875F9"/>
    <w:rsid w:val="00087D96"/>
    <w:rsid w:val="0009078C"/>
    <w:rsid w:val="00090A46"/>
    <w:rsid w:val="00091890"/>
    <w:rsid w:val="000920E9"/>
    <w:rsid w:val="000926F7"/>
    <w:rsid w:val="000932A6"/>
    <w:rsid w:val="000937EB"/>
    <w:rsid w:val="00094584"/>
    <w:rsid w:val="0009464E"/>
    <w:rsid w:val="0009524D"/>
    <w:rsid w:val="00097021"/>
    <w:rsid w:val="000977B9"/>
    <w:rsid w:val="000A0FE8"/>
    <w:rsid w:val="000A0FEB"/>
    <w:rsid w:val="000A1265"/>
    <w:rsid w:val="000A19C2"/>
    <w:rsid w:val="000A1BFB"/>
    <w:rsid w:val="000A1D79"/>
    <w:rsid w:val="000A257A"/>
    <w:rsid w:val="000A29A8"/>
    <w:rsid w:val="000A30A9"/>
    <w:rsid w:val="000A3356"/>
    <w:rsid w:val="000A373E"/>
    <w:rsid w:val="000A3F33"/>
    <w:rsid w:val="000A4675"/>
    <w:rsid w:val="000A4835"/>
    <w:rsid w:val="000A4962"/>
    <w:rsid w:val="000A53C4"/>
    <w:rsid w:val="000A5483"/>
    <w:rsid w:val="000A5724"/>
    <w:rsid w:val="000A5E7C"/>
    <w:rsid w:val="000A606B"/>
    <w:rsid w:val="000A6094"/>
    <w:rsid w:val="000A6BEC"/>
    <w:rsid w:val="000A6CE7"/>
    <w:rsid w:val="000A6D89"/>
    <w:rsid w:val="000A6F9C"/>
    <w:rsid w:val="000A701A"/>
    <w:rsid w:val="000A72F5"/>
    <w:rsid w:val="000A7866"/>
    <w:rsid w:val="000A797F"/>
    <w:rsid w:val="000A7CBB"/>
    <w:rsid w:val="000B0801"/>
    <w:rsid w:val="000B08FF"/>
    <w:rsid w:val="000B12F8"/>
    <w:rsid w:val="000B18D8"/>
    <w:rsid w:val="000B1D4F"/>
    <w:rsid w:val="000B1E30"/>
    <w:rsid w:val="000B252B"/>
    <w:rsid w:val="000B2842"/>
    <w:rsid w:val="000B3307"/>
    <w:rsid w:val="000B4230"/>
    <w:rsid w:val="000B44AC"/>
    <w:rsid w:val="000B4953"/>
    <w:rsid w:val="000B4F6D"/>
    <w:rsid w:val="000B532D"/>
    <w:rsid w:val="000B5D06"/>
    <w:rsid w:val="000B6728"/>
    <w:rsid w:val="000B6A6F"/>
    <w:rsid w:val="000B6B01"/>
    <w:rsid w:val="000B6C42"/>
    <w:rsid w:val="000B6E81"/>
    <w:rsid w:val="000B7358"/>
    <w:rsid w:val="000B7373"/>
    <w:rsid w:val="000B747A"/>
    <w:rsid w:val="000C03C2"/>
    <w:rsid w:val="000C0406"/>
    <w:rsid w:val="000C09FE"/>
    <w:rsid w:val="000C16AF"/>
    <w:rsid w:val="000C175D"/>
    <w:rsid w:val="000C18A8"/>
    <w:rsid w:val="000C1B19"/>
    <w:rsid w:val="000C2265"/>
    <w:rsid w:val="000C2E18"/>
    <w:rsid w:val="000C3041"/>
    <w:rsid w:val="000C3436"/>
    <w:rsid w:val="000C3DF5"/>
    <w:rsid w:val="000C447A"/>
    <w:rsid w:val="000C44D9"/>
    <w:rsid w:val="000C47E8"/>
    <w:rsid w:val="000C4892"/>
    <w:rsid w:val="000C49C6"/>
    <w:rsid w:val="000C4D4F"/>
    <w:rsid w:val="000C506F"/>
    <w:rsid w:val="000C54B0"/>
    <w:rsid w:val="000C563D"/>
    <w:rsid w:val="000C5821"/>
    <w:rsid w:val="000C5D8A"/>
    <w:rsid w:val="000C69ED"/>
    <w:rsid w:val="000C7392"/>
    <w:rsid w:val="000C7467"/>
    <w:rsid w:val="000C7C05"/>
    <w:rsid w:val="000D0095"/>
    <w:rsid w:val="000D080E"/>
    <w:rsid w:val="000D0AE0"/>
    <w:rsid w:val="000D11D5"/>
    <w:rsid w:val="000D1638"/>
    <w:rsid w:val="000D1BC8"/>
    <w:rsid w:val="000D1FDF"/>
    <w:rsid w:val="000D230F"/>
    <w:rsid w:val="000D25AA"/>
    <w:rsid w:val="000D264C"/>
    <w:rsid w:val="000D2734"/>
    <w:rsid w:val="000D2B4C"/>
    <w:rsid w:val="000D2D98"/>
    <w:rsid w:val="000D309F"/>
    <w:rsid w:val="000D3303"/>
    <w:rsid w:val="000D41E0"/>
    <w:rsid w:val="000D421E"/>
    <w:rsid w:val="000D437F"/>
    <w:rsid w:val="000D4D34"/>
    <w:rsid w:val="000D4F2A"/>
    <w:rsid w:val="000D4F90"/>
    <w:rsid w:val="000D5CD4"/>
    <w:rsid w:val="000D6123"/>
    <w:rsid w:val="000D65EF"/>
    <w:rsid w:val="000D67B2"/>
    <w:rsid w:val="000D6B6B"/>
    <w:rsid w:val="000D6D8D"/>
    <w:rsid w:val="000D6F86"/>
    <w:rsid w:val="000D7043"/>
    <w:rsid w:val="000D721C"/>
    <w:rsid w:val="000D7768"/>
    <w:rsid w:val="000D7883"/>
    <w:rsid w:val="000D7D97"/>
    <w:rsid w:val="000E0085"/>
    <w:rsid w:val="000E01D3"/>
    <w:rsid w:val="000E0708"/>
    <w:rsid w:val="000E0902"/>
    <w:rsid w:val="000E0C09"/>
    <w:rsid w:val="000E117B"/>
    <w:rsid w:val="000E1CAA"/>
    <w:rsid w:val="000E2289"/>
    <w:rsid w:val="000E2BEF"/>
    <w:rsid w:val="000E307E"/>
    <w:rsid w:val="000E33C8"/>
    <w:rsid w:val="000E3E31"/>
    <w:rsid w:val="000E434E"/>
    <w:rsid w:val="000E47C8"/>
    <w:rsid w:val="000E4E75"/>
    <w:rsid w:val="000E53C9"/>
    <w:rsid w:val="000E53DE"/>
    <w:rsid w:val="000E56BB"/>
    <w:rsid w:val="000E59A9"/>
    <w:rsid w:val="000E60FE"/>
    <w:rsid w:val="000E6159"/>
    <w:rsid w:val="000E65EE"/>
    <w:rsid w:val="000E6B1F"/>
    <w:rsid w:val="000E6E63"/>
    <w:rsid w:val="000E73D9"/>
    <w:rsid w:val="000E74DA"/>
    <w:rsid w:val="000E7866"/>
    <w:rsid w:val="000E78C6"/>
    <w:rsid w:val="000E7C80"/>
    <w:rsid w:val="000E7ECB"/>
    <w:rsid w:val="000F072D"/>
    <w:rsid w:val="000F093D"/>
    <w:rsid w:val="000F0D61"/>
    <w:rsid w:val="000F14B8"/>
    <w:rsid w:val="000F1648"/>
    <w:rsid w:val="000F1755"/>
    <w:rsid w:val="000F2206"/>
    <w:rsid w:val="000F2375"/>
    <w:rsid w:val="000F26A4"/>
    <w:rsid w:val="000F278F"/>
    <w:rsid w:val="000F2A01"/>
    <w:rsid w:val="000F2AAB"/>
    <w:rsid w:val="000F2E4C"/>
    <w:rsid w:val="000F3296"/>
    <w:rsid w:val="000F35F9"/>
    <w:rsid w:val="000F37C9"/>
    <w:rsid w:val="000F44C5"/>
    <w:rsid w:val="000F4F4C"/>
    <w:rsid w:val="000F57E3"/>
    <w:rsid w:val="000F5ADD"/>
    <w:rsid w:val="000F5B29"/>
    <w:rsid w:val="000F5D92"/>
    <w:rsid w:val="000F6179"/>
    <w:rsid w:val="000F62F7"/>
    <w:rsid w:val="000F697D"/>
    <w:rsid w:val="000F6B73"/>
    <w:rsid w:val="000F6BA6"/>
    <w:rsid w:val="000F7278"/>
    <w:rsid w:val="000F756E"/>
    <w:rsid w:val="000F78D0"/>
    <w:rsid w:val="000F7EA2"/>
    <w:rsid w:val="000F7FC9"/>
    <w:rsid w:val="001001BD"/>
    <w:rsid w:val="0010034A"/>
    <w:rsid w:val="001008EF"/>
    <w:rsid w:val="00100ACF"/>
    <w:rsid w:val="00100F58"/>
    <w:rsid w:val="00100FA7"/>
    <w:rsid w:val="0010100E"/>
    <w:rsid w:val="00101076"/>
    <w:rsid w:val="00101574"/>
    <w:rsid w:val="00101AAD"/>
    <w:rsid w:val="00102249"/>
    <w:rsid w:val="00103031"/>
    <w:rsid w:val="001049F8"/>
    <w:rsid w:val="00104B22"/>
    <w:rsid w:val="0010585E"/>
    <w:rsid w:val="001065D4"/>
    <w:rsid w:val="00107455"/>
    <w:rsid w:val="0010746C"/>
    <w:rsid w:val="00107649"/>
    <w:rsid w:val="00107C41"/>
    <w:rsid w:val="00110188"/>
    <w:rsid w:val="00110716"/>
    <w:rsid w:val="00110B3D"/>
    <w:rsid w:val="00110E3E"/>
    <w:rsid w:val="00110FC4"/>
    <w:rsid w:val="00110FF5"/>
    <w:rsid w:val="0011165C"/>
    <w:rsid w:val="00111B66"/>
    <w:rsid w:val="00111FEE"/>
    <w:rsid w:val="001120B6"/>
    <w:rsid w:val="001123F2"/>
    <w:rsid w:val="00113316"/>
    <w:rsid w:val="0011340A"/>
    <w:rsid w:val="0011342A"/>
    <w:rsid w:val="001135DA"/>
    <w:rsid w:val="0011383A"/>
    <w:rsid w:val="00113FF5"/>
    <w:rsid w:val="00114139"/>
    <w:rsid w:val="00114577"/>
    <w:rsid w:val="0011473D"/>
    <w:rsid w:val="0011543E"/>
    <w:rsid w:val="001155C5"/>
    <w:rsid w:val="0011586B"/>
    <w:rsid w:val="00115986"/>
    <w:rsid w:val="00115B27"/>
    <w:rsid w:val="001160A2"/>
    <w:rsid w:val="0011659B"/>
    <w:rsid w:val="001165F9"/>
    <w:rsid w:val="00116807"/>
    <w:rsid w:val="00116A67"/>
    <w:rsid w:val="00116B64"/>
    <w:rsid w:val="00116D6D"/>
    <w:rsid w:val="00117BEC"/>
    <w:rsid w:val="00117C71"/>
    <w:rsid w:val="0012038C"/>
    <w:rsid w:val="00120392"/>
    <w:rsid w:val="00120592"/>
    <w:rsid w:val="00120E41"/>
    <w:rsid w:val="00120FF3"/>
    <w:rsid w:val="001213BE"/>
    <w:rsid w:val="001216F5"/>
    <w:rsid w:val="00121894"/>
    <w:rsid w:val="0012211F"/>
    <w:rsid w:val="00122A38"/>
    <w:rsid w:val="0012335E"/>
    <w:rsid w:val="00123E0D"/>
    <w:rsid w:val="001242D0"/>
    <w:rsid w:val="00124478"/>
    <w:rsid w:val="00124A33"/>
    <w:rsid w:val="00125A17"/>
    <w:rsid w:val="00125A2C"/>
    <w:rsid w:val="00125F25"/>
    <w:rsid w:val="0012600D"/>
    <w:rsid w:val="0012612E"/>
    <w:rsid w:val="00126A7D"/>
    <w:rsid w:val="00126DBA"/>
    <w:rsid w:val="00126EA4"/>
    <w:rsid w:val="00127062"/>
    <w:rsid w:val="00127556"/>
    <w:rsid w:val="00127805"/>
    <w:rsid w:val="00127899"/>
    <w:rsid w:val="001301C4"/>
    <w:rsid w:val="00130410"/>
    <w:rsid w:val="00130531"/>
    <w:rsid w:val="0013081F"/>
    <w:rsid w:val="00130944"/>
    <w:rsid w:val="00131356"/>
    <w:rsid w:val="001317E8"/>
    <w:rsid w:val="00132097"/>
    <w:rsid w:val="0013235D"/>
    <w:rsid w:val="001326A6"/>
    <w:rsid w:val="00132CFF"/>
    <w:rsid w:val="00133013"/>
    <w:rsid w:val="00133521"/>
    <w:rsid w:val="00133941"/>
    <w:rsid w:val="00133A27"/>
    <w:rsid w:val="00133AE4"/>
    <w:rsid w:val="00133B67"/>
    <w:rsid w:val="00134608"/>
    <w:rsid w:val="00134BEC"/>
    <w:rsid w:val="00135580"/>
    <w:rsid w:val="00136108"/>
    <w:rsid w:val="0013612B"/>
    <w:rsid w:val="00136B8A"/>
    <w:rsid w:val="0013774E"/>
    <w:rsid w:val="0013799D"/>
    <w:rsid w:val="001379B5"/>
    <w:rsid w:val="00137AD2"/>
    <w:rsid w:val="0014134B"/>
    <w:rsid w:val="0014155F"/>
    <w:rsid w:val="00141692"/>
    <w:rsid w:val="00141AD2"/>
    <w:rsid w:val="001424A8"/>
    <w:rsid w:val="001424D5"/>
    <w:rsid w:val="00142649"/>
    <w:rsid w:val="00142930"/>
    <w:rsid w:val="00142DD3"/>
    <w:rsid w:val="00143425"/>
    <w:rsid w:val="0014352D"/>
    <w:rsid w:val="00143866"/>
    <w:rsid w:val="00144757"/>
    <w:rsid w:val="00145A34"/>
    <w:rsid w:val="00145EDA"/>
    <w:rsid w:val="001474AF"/>
    <w:rsid w:val="00147721"/>
    <w:rsid w:val="00147909"/>
    <w:rsid w:val="00150189"/>
    <w:rsid w:val="001505D5"/>
    <w:rsid w:val="00150638"/>
    <w:rsid w:val="0015069B"/>
    <w:rsid w:val="001508AC"/>
    <w:rsid w:val="00150D4F"/>
    <w:rsid w:val="001512CA"/>
    <w:rsid w:val="00151468"/>
    <w:rsid w:val="001516A1"/>
    <w:rsid w:val="00151E4D"/>
    <w:rsid w:val="00151EBB"/>
    <w:rsid w:val="001521C3"/>
    <w:rsid w:val="00152A85"/>
    <w:rsid w:val="00152B77"/>
    <w:rsid w:val="00152FBF"/>
    <w:rsid w:val="001532C0"/>
    <w:rsid w:val="00153315"/>
    <w:rsid w:val="00153436"/>
    <w:rsid w:val="001535F8"/>
    <w:rsid w:val="00153FCE"/>
    <w:rsid w:val="00154484"/>
    <w:rsid w:val="001544FC"/>
    <w:rsid w:val="001547FB"/>
    <w:rsid w:val="00154886"/>
    <w:rsid w:val="00155E8E"/>
    <w:rsid w:val="001567A9"/>
    <w:rsid w:val="00156A04"/>
    <w:rsid w:val="00156D22"/>
    <w:rsid w:val="001579D1"/>
    <w:rsid w:val="001600D6"/>
    <w:rsid w:val="0016040E"/>
    <w:rsid w:val="00160819"/>
    <w:rsid w:val="00160BB6"/>
    <w:rsid w:val="0016140A"/>
    <w:rsid w:val="001617ED"/>
    <w:rsid w:val="0016216D"/>
    <w:rsid w:val="0016280F"/>
    <w:rsid w:val="00162D62"/>
    <w:rsid w:val="00162DF3"/>
    <w:rsid w:val="001633F8"/>
    <w:rsid w:val="0016372E"/>
    <w:rsid w:val="00163FD0"/>
    <w:rsid w:val="00164083"/>
    <w:rsid w:val="0016485A"/>
    <w:rsid w:val="0016488D"/>
    <w:rsid w:val="00164DD1"/>
    <w:rsid w:val="00164F13"/>
    <w:rsid w:val="00164F7B"/>
    <w:rsid w:val="001656F7"/>
    <w:rsid w:val="00165F9C"/>
    <w:rsid w:val="001667A9"/>
    <w:rsid w:val="00166AD4"/>
    <w:rsid w:val="00166F3E"/>
    <w:rsid w:val="00167F2B"/>
    <w:rsid w:val="001701D3"/>
    <w:rsid w:val="001705C2"/>
    <w:rsid w:val="00170720"/>
    <w:rsid w:val="001713A1"/>
    <w:rsid w:val="00171A5D"/>
    <w:rsid w:val="00171B4B"/>
    <w:rsid w:val="00171E27"/>
    <w:rsid w:val="00171F67"/>
    <w:rsid w:val="001721BD"/>
    <w:rsid w:val="001721C7"/>
    <w:rsid w:val="001726AA"/>
    <w:rsid w:val="00172747"/>
    <w:rsid w:val="00172FDA"/>
    <w:rsid w:val="00172FE0"/>
    <w:rsid w:val="001734BC"/>
    <w:rsid w:val="0017365B"/>
    <w:rsid w:val="0017401E"/>
    <w:rsid w:val="0017433E"/>
    <w:rsid w:val="00174377"/>
    <w:rsid w:val="00174739"/>
    <w:rsid w:val="00174D2D"/>
    <w:rsid w:val="0017539B"/>
    <w:rsid w:val="001754D4"/>
    <w:rsid w:val="001754FC"/>
    <w:rsid w:val="00175618"/>
    <w:rsid w:val="00175C16"/>
    <w:rsid w:val="0017602D"/>
    <w:rsid w:val="001760C9"/>
    <w:rsid w:val="001761FC"/>
    <w:rsid w:val="001763B2"/>
    <w:rsid w:val="00176EE5"/>
    <w:rsid w:val="001770EA"/>
    <w:rsid w:val="00177292"/>
    <w:rsid w:val="00177399"/>
    <w:rsid w:val="001773EF"/>
    <w:rsid w:val="00177588"/>
    <w:rsid w:val="00177605"/>
    <w:rsid w:val="00177D3C"/>
    <w:rsid w:val="00180117"/>
    <w:rsid w:val="001805D1"/>
    <w:rsid w:val="00180A6E"/>
    <w:rsid w:val="00180AD7"/>
    <w:rsid w:val="00181369"/>
    <w:rsid w:val="001813BF"/>
    <w:rsid w:val="00181C72"/>
    <w:rsid w:val="00182629"/>
    <w:rsid w:val="001826D8"/>
    <w:rsid w:val="00182928"/>
    <w:rsid w:val="00182A7C"/>
    <w:rsid w:val="00182DC6"/>
    <w:rsid w:val="00183265"/>
    <w:rsid w:val="00183617"/>
    <w:rsid w:val="00184103"/>
    <w:rsid w:val="001841C5"/>
    <w:rsid w:val="0018429A"/>
    <w:rsid w:val="001844E5"/>
    <w:rsid w:val="0018538B"/>
    <w:rsid w:val="00185D43"/>
    <w:rsid w:val="00185E1C"/>
    <w:rsid w:val="00185F9F"/>
    <w:rsid w:val="001860D1"/>
    <w:rsid w:val="00186404"/>
    <w:rsid w:val="00186AA5"/>
    <w:rsid w:val="00186D94"/>
    <w:rsid w:val="00186F72"/>
    <w:rsid w:val="001878A1"/>
    <w:rsid w:val="00187988"/>
    <w:rsid w:val="001908F8"/>
    <w:rsid w:val="00190CCC"/>
    <w:rsid w:val="00190E75"/>
    <w:rsid w:val="0019119E"/>
    <w:rsid w:val="0019170F"/>
    <w:rsid w:val="0019187D"/>
    <w:rsid w:val="00191950"/>
    <w:rsid w:val="00191F14"/>
    <w:rsid w:val="0019211A"/>
    <w:rsid w:val="00192CF7"/>
    <w:rsid w:val="00192F16"/>
    <w:rsid w:val="001931D1"/>
    <w:rsid w:val="001932EF"/>
    <w:rsid w:val="00193498"/>
    <w:rsid w:val="00194A45"/>
    <w:rsid w:val="00194FF1"/>
    <w:rsid w:val="00195333"/>
    <w:rsid w:val="0019584C"/>
    <w:rsid w:val="00195867"/>
    <w:rsid w:val="00195F9B"/>
    <w:rsid w:val="00196E41"/>
    <w:rsid w:val="0019703C"/>
    <w:rsid w:val="001975E2"/>
    <w:rsid w:val="00197777"/>
    <w:rsid w:val="001978B2"/>
    <w:rsid w:val="00197D5A"/>
    <w:rsid w:val="001A107F"/>
    <w:rsid w:val="001A113C"/>
    <w:rsid w:val="001A2418"/>
    <w:rsid w:val="001A29DE"/>
    <w:rsid w:val="001A2BBA"/>
    <w:rsid w:val="001A2D9F"/>
    <w:rsid w:val="001A2E32"/>
    <w:rsid w:val="001A31E6"/>
    <w:rsid w:val="001A3355"/>
    <w:rsid w:val="001A3986"/>
    <w:rsid w:val="001A3BF8"/>
    <w:rsid w:val="001A3EA4"/>
    <w:rsid w:val="001A5B32"/>
    <w:rsid w:val="001A5C40"/>
    <w:rsid w:val="001A6085"/>
    <w:rsid w:val="001A622B"/>
    <w:rsid w:val="001A751D"/>
    <w:rsid w:val="001A7676"/>
    <w:rsid w:val="001A76EC"/>
    <w:rsid w:val="001A7B45"/>
    <w:rsid w:val="001B0177"/>
    <w:rsid w:val="001B02F1"/>
    <w:rsid w:val="001B0324"/>
    <w:rsid w:val="001B1AD5"/>
    <w:rsid w:val="001B2DEA"/>
    <w:rsid w:val="001B334A"/>
    <w:rsid w:val="001B3F7F"/>
    <w:rsid w:val="001B425F"/>
    <w:rsid w:val="001B44E3"/>
    <w:rsid w:val="001B5224"/>
    <w:rsid w:val="001B53DF"/>
    <w:rsid w:val="001B5AD7"/>
    <w:rsid w:val="001B5B01"/>
    <w:rsid w:val="001B5E43"/>
    <w:rsid w:val="001B6569"/>
    <w:rsid w:val="001B6A46"/>
    <w:rsid w:val="001B6F70"/>
    <w:rsid w:val="001B7255"/>
    <w:rsid w:val="001B7433"/>
    <w:rsid w:val="001B7672"/>
    <w:rsid w:val="001B7AE0"/>
    <w:rsid w:val="001B7E69"/>
    <w:rsid w:val="001C013B"/>
    <w:rsid w:val="001C03B7"/>
    <w:rsid w:val="001C07A3"/>
    <w:rsid w:val="001C0876"/>
    <w:rsid w:val="001C09CF"/>
    <w:rsid w:val="001C09E3"/>
    <w:rsid w:val="001C0BD0"/>
    <w:rsid w:val="001C14ED"/>
    <w:rsid w:val="001C1AF9"/>
    <w:rsid w:val="001C2070"/>
    <w:rsid w:val="001C2530"/>
    <w:rsid w:val="001C3476"/>
    <w:rsid w:val="001C43D1"/>
    <w:rsid w:val="001C46AD"/>
    <w:rsid w:val="001C5850"/>
    <w:rsid w:val="001C5F7B"/>
    <w:rsid w:val="001C7108"/>
    <w:rsid w:val="001C7633"/>
    <w:rsid w:val="001C7B60"/>
    <w:rsid w:val="001C7E37"/>
    <w:rsid w:val="001C7F8F"/>
    <w:rsid w:val="001D084C"/>
    <w:rsid w:val="001D0D75"/>
    <w:rsid w:val="001D133A"/>
    <w:rsid w:val="001D1448"/>
    <w:rsid w:val="001D1AE4"/>
    <w:rsid w:val="001D1CDA"/>
    <w:rsid w:val="001D2174"/>
    <w:rsid w:val="001D22C8"/>
    <w:rsid w:val="001D33AE"/>
    <w:rsid w:val="001D35A0"/>
    <w:rsid w:val="001D3CA2"/>
    <w:rsid w:val="001D3E76"/>
    <w:rsid w:val="001D3F0C"/>
    <w:rsid w:val="001D4863"/>
    <w:rsid w:val="001D523B"/>
    <w:rsid w:val="001D570C"/>
    <w:rsid w:val="001D593F"/>
    <w:rsid w:val="001D5D94"/>
    <w:rsid w:val="001D6700"/>
    <w:rsid w:val="001D67F0"/>
    <w:rsid w:val="001D6949"/>
    <w:rsid w:val="001D6B4F"/>
    <w:rsid w:val="001D6D2A"/>
    <w:rsid w:val="001D7E93"/>
    <w:rsid w:val="001E002F"/>
    <w:rsid w:val="001E0790"/>
    <w:rsid w:val="001E1CBD"/>
    <w:rsid w:val="001E1D73"/>
    <w:rsid w:val="001E20DB"/>
    <w:rsid w:val="001E2126"/>
    <w:rsid w:val="001E21D4"/>
    <w:rsid w:val="001E272C"/>
    <w:rsid w:val="001E2769"/>
    <w:rsid w:val="001E2A72"/>
    <w:rsid w:val="001E3561"/>
    <w:rsid w:val="001E3889"/>
    <w:rsid w:val="001E43C6"/>
    <w:rsid w:val="001E47AC"/>
    <w:rsid w:val="001E5369"/>
    <w:rsid w:val="001E536B"/>
    <w:rsid w:val="001E5AFC"/>
    <w:rsid w:val="001E5DF9"/>
    <w:rsid w:val="001E6358"/>
    <w:rsid w:val="001E651F"/>
    <w:rsid w:val="001E6BD9"/>
    <w:rsid w:val="001E7AE3"/>
    <w:rsid w:val="001E7EDD"/>
    <w:rsid w:val="001F033C"/>
    <w:rsid w:val="001F04F6"/>
    <w:rsid w:val="001F0728"/>
    <w:rsid w:val="001F0787"/>
    <w:rsid w:val="001F12AD"/>
    <w:rsid w:val="001F136E"/>
    <w:rsid w:val="001F1593"/>
    <w:rsid w:val="001F1C0E"/>
    <w:rsid w:val="001F1FB1"/>
    <w:rsid w:val="001F24B1"/>
    <w:rsid w:val="001F2FE7"/>
    <w:rsid w:val="001F313A"/>
    <w:rsid w:val="001F35D9"/>
    <w:rsid w:val="001F3796"/>
    <w:rsid w:val="001F3AAD"/>
    <w:rsid w:val="001F3E25"/>
    <w:rsid w:val="001F3EFB"/>
    <w:rsid w:val="001F4518"/>
    <w:rsid w:val="001F570C"/>
    <w:rsid w:val="001F595B"/>
    <w:rsid w:val="001F604C"/>
    <w:rsid w:val="001F64DB"/>
    <w:rsid w:val="001F67C0"/>
    <w:rsid w:val="001F68A6"/>
    <w:rsid w:val="001F770D"/>
    <w:rsid w:val="001F7B33"/>
    <w:rsid w:val="00200019"/>
    <w:rsid w:val="00200FC3"/>
    <w:rsid w:val="0020135B"/>
    <w:rsid w:val="00201BAC"/>
    <w:rsid w:val="002024D5"/>
    <w:rsid w:val="00202AED"/>
    <w:rsid w:val="0020308C"/>
    <w:rsid w:val="00203253"/>
    <w:rsid w:val="002035CD"/>
    <w:rsid w:val="00203A6C"/>
    <w:rsid w:val="00203B8D"/>
    <w:rsid w:val="00204B8D"/>
    <w:rsid w:val="00204D29"/>
    <w:rsid w:val="0020518D"/>
    <w:rsid w:val="002054AB"/>
    <w:rsid w:val="0020752B"/>
    <w:rsid w:val="0020768A"/>
    <w:rsid w:val="00210616"/>
    <w:rsid w:val="002108C0"/>
    <w:rsid w:val="00210C5A"/>
    <w:rsid w:val="00210DF6"/>
    <w:rsid w:val="00210FBB"/>
    <w:rsid w:val="0021162F"/>
    <w:rsid w:val="00211E7C"/>
    <w:rsid w:val="002123C6"/>
    <w:rsid w:val="00212711"/>
    <w:rsid w:val="002132DB"/>
    <w:rsid w:val="00213A4C"/>
    <w:rsid w:val="00213DF5"/>
    <w:rsid w:val="0021400B"/>
    <w:rsid w:val="002143A9"/>
    <w:rsid w:val="002143AA"/>
    <w:rsid w:val="00214499"/>
    <w:rsid w:val="00214C9A"/>
    <w:rsid w:val="00215790"/>
    <w:rsid w:val="00215E35"/>
    <w:rsid w:val="00215F77"/>
    <w:rsid w:val="00216D7B"/>
    <w:rsid w:val="00216E17"/>
    <w:rsid w:val="002179B0"/>
    <w:rsid w:val="002179E6"/>
    <w:rsid w:val="00217C59"/>
    <w:rsid w:val="002201C8"/>
    <w:rsid w:val="00220C9A"/>
    <w:rsid w:val="00221042"/>
    <w:rsid w:val="0022111B"/>
    <w:rsid w:val="002217FA"/>
    <w:rsid w:val="002223C8"/>
    <w:rsid w:val="0022242E"/>
    <w:rsid w:val="00222BE8"/>
    <w:rsid w:val="00222E0D"/>
    <w:rsid w:val="00223298"/>
    <w:rsid w:val="00223B9F"/>
    <w:rsid w:val="00223DC5"/>
    <w:rsid w:val="00224CF6"/>
    <w:rsid w:val="00224DA6"/>
    <w:rsid w:val="002257BA"/>
    <w:rsid w:val="0022594B"/>
    <w:rsid w:val="00225D8E"/>
    <w:rsid w:val="00225EF6"/>
    <w:rsid w:val="00225F9C"/>
    <w:rsid w:val="0022684F"/>
    <w:rsid w:val="00227ECE"/>
    <w:rsid w:val="00227F83"/>
    <w:rsid w:val="002304F8"/>
    <w:rsid w:val="00230B05"/>
    <w:rsid w:val="00231052"/>
    <w:rsid w:val="00231122"/>
    <w:rsid w:val="002317D6"/>
    <w:rsid w:val="002325E4"/>
    <w:rsid w:val="00232B5E"/>
    <w:rsid w:val="00232BFD"/>
    <w:rsid w:val="00232EE0"/>
    <w:rsid w:val="00233525"/>
    <w:rsid w:val="0023392F"/>
    <w:rsid w:val="002341DD"/>
    <w:rsid w:val="002345C0"/>
    <w:rsid w:val="00234A20"/>
    <w:rsid w:val="00234BFB"/>
    <w:rsid w:val="0023528D"/>
    <w:rsid w:val="00236127"/>
    <w:rsid w:val="002366DB"/>
    <w:rsid w:val="00236C13"/>
    <w:rsid w:val="00236D1C"/>
    <w:rsid w:val="00236DB3"/>
    <w:rsid w:val="002372BF"/>
    <w:rsid w:val="00237A68"/>
    <w:rsid w:val="00237B54"/>
    <w:rsid w:val="00240256"/>
    <w:rsid w:val="002404D0"/>
    <w:rsid w:val="00240827"/>
    <w:rsid w:val="00240CED"/>
    <w:rsid w:val="0024103A"/>
    <w:rsid w:val="002411E4"/>
    <w:rsid w:val="00241E31"/>
    <w:rsid w:val="00241F19"/>
    <w:rsid w:val="0024226B"/>
    <w:rsid w:val="00243446"/>
    <w:rsid w:val="002459EC"/>
    <w:rsid w:val="00245D81"/>
    <w:rsid w:val="002460B5"/>
    <w:rsid w:val="0024621C"/>
    <w:rsid w:val="00246255"/>
    <w:rsid w:val="00246365"/>
    <w:rsid w:val="00246782"/>
    <w:rsid w:val="002468DB"/>
    <w:rsid w:val="00246CF6"/>
    <w:rsid w:val="002476ED"/>
    <w:rsid w:val="00247857"/>
    <w:rsid w:val="002504A1"/>
    <w:rsid w:val="00250809"/>
    <w:rsid w:val="00250943"/>
    <w:rsid w:val="00250B81"/>
    <w:rsid w:val="00250C15"/>
    <w:rsid w:val="00250C82"/>
    <w:rsid w:val="00250F3D"/>
    <w:rsid w:val="002517F2"/>
    <w:rsid w:val="00251879"/>
    <w:rsid w:val="00251A24"/>
    <w:rsid w:val="00251DEC"/>
    <w:rsid w:val="002520AF"/>
    <w:rsid w:val="00252231"/>
    <w:rsid w:val="002523BF"/>
    <w:rsid w:val="00252A87"/>
    <w:rsid w:val="00252E26"/>
    <w:rsid w:val="00252E46"/>
    <w:rsid w:val="002533FE"/>
    <w:rsid w:val="00253891"/>
    <w:rsid w:val="002538FE"/>
    <w:rsid w:val="0025395E"/>
    <w:rsid w:val="00253F03"/>
    <w:rsid w:val="00254342"/>
    <w:rsid w:val="00255953"/>
    <w:rsid w:val="0025595E"/>
    <w:rsid w:val="00255AC3"/>
    <w:rsid w:val="00257B0D"/>
    <w:rsid w:val="00257B56"/>
    <w:rsid w:val="00257C75"/>
    <w:rsid w:val="00260095"/>
    <w:rsid w:val="002606EA"/>
    <w:rsid w:val="00260D3B"/>
    <w:rsid w:val="00260F52"/>
    <w:rsid w:val="00261285"/>
    <w:rsid w:val="00261E01"/>
    <w:rsid w:val="00261FCE"/>
    <w:rsid w:val="00262786"/>
    <w:rsid w:val="002628BF"/>
    <w:rsid w:val="00262A33"/>
    <w:rsid w:val="00262AE4"/>
    <w:rsid w:val="00263423"/>
    <w:rsid w:val="002638C9"/>
    <w:rsid w:val="00263BD6"/>
    <w:rsid w:val="00263D58"/>
    <w:rsid w:val="0026404B"/>
    <w:rsid w:val="00264649"/>
    <w:rsid w:val="00264C1D"/>
    <w:rsid w:val="0026509B"/>
    <w:rsid w:val="0026525C"/>
    <w:rsid w:val="002655BC"/>
    <w:rsid w:val="00265B04"/>
    <w:rsid w:val="0026608A"/>
    <w:rsid w:val="00266BC6"/>
    <w:rsid w:val="00266CE6"/>
    <w:rsid w:val="00266D66"/>
    <w:rsid w:val="00267054"/>
    <w:rsid w:val="0026739F"/>
    <w:rsid w:val="00267587"/>
    <w:rsid w:val="002675AE"/>
    <w:rsid w:val="00267703"/>
    <w:rsid w:val="00267D80"/>
    <w:rsid w:val="0027043A"/>
    <w:rsid w:val="00270756"/>
    <w:rsid w:val="00270ED1"/>
    <w:rsid w:val="00270FCC"/>
    <w:rsid w:val="0027107F"/>
    <w:rsid w:val="0027127F"/>
    <w:rsid w:val="00271304"/>
    <w:rsid w:val="00271B41"/>
    <w:rsid w:val="002720F4"/>
    <w:rsid w:val="00272833"/>
    <w:rsid w:val="00272944"/>
    <w:rsid w:val="002738BB"/>
    <w:rsid w:val="00273A48"/>
    <w:rsid w:val="00273EE0"/>
    <w:rsid w:val="002740A1"/>
    <w:rsid w:val="00274123"/>
    <w:rsid w:val="00274135"/>
    <w:rsid w:val="0027432F"/>
    <w:rsid w:val="002755C3"/>
    <w:rsid w:val="002756CE"/>
    <w:rsid w:val="002758B6"/>
    <w:rsid w:val="00275B80"/>
    <w:rsid w:val="00275C57"/>
    <w:rsid w:val="00275D74"/>
    <w:rsid w:val="0027602B"/>
    <w:rsid w:val="00276267"/>
    <w:rsid w:val="0027661C"/>
    <w:rsid w:val="002768A8"/>
    <w:rsid w:val="00276A87"/>
    <w:rsid w:val="00277001"/>
    <w:rsid w:val="00277031"/>
    <w:rsid w:val="00277354"/>
    <w:rsid w:val="002773E7"/>
    <w:rsid w:val="002774BE"/>
    <w:rsid w:val="00277C1E"/>
    <w:rsid w:val="00277D84"/>
    <w:rsid w:val="00277EBB"/>
    <w:rsid w:val="00280180"/>
    <w:rsid w:val="0028033B"/>
    <w:rsid w:val="0028036A"/>
    <w:rsid w:val="00280724"/>
    <w:rsid w:val="002807C6"/>
    <w:rsid w:val="002810A9"/>
    <w:rsid w:val="00281FD8"/>
    <w:rsid w:val="00281FF7"/>
    <w:rsid w:val="002826C3"/>
    <w:rsid w:val="00283330"/>
    <w:rsid w:val="0028505B"/>
    <w:rsid w:val="002850E6"/>
    <w:rsid w:val="002858DF"/>
    <w:rsid w:val="00285DC7"/>
    <w:rsid w:val="00286C05"/>
    <w:rsid w:val="00287191"/>
    <w:rsid w:val="0028733B"/>
    <w:rsid w:val="0028766B"/>
    <w:rsid w:val="002878EC"/>
    <w:rsid w:val="00287A07"/>
    <w:rsid w:val="00287D25"/>
    <w:rsid w:val="00287FC4"/>
    <w:rsid w:val="00290039"/>
    <w:rsid w:val="002900D1"/>
    <w:rsid w:val="0029043A"/>
    <w:rsid w:val="00290CED"/>
    <w:rsid w:val="00290ED4"/>
    <w:rsid w:val="002916E0"/>
    <w:rsid w:val="002925AA"/>
    <w:rsid w:val="002926B6"/>
    <w:rsid w:val="00294899"/>
    <w:rsid w:val="00294951"/>
    <w:rsid w:val="002953DB"/>
    <w:rsid w:val="00295906"/>
    <w:rsid w:val="00295CFC"/>
    <w:rsid w:val="00295D8B"/>
    <w:rsid w:val="00295FF0"/>
    <w:rsid w:val="00296802"/>
    <w:rsid w:val="002977A8"/>
    <w:rsid w:val="002A01B7"/>
    <w:rsid w:val="002A02FD"/>
    <w:rsid w:val="002A0685"/>
    <w:rsid w:val="002A0A51"/>
    <w:rsid w:val="002A13B1"/>
    <w:rsid w:val="002A17D5"/>
    <w:rsid w:val="002A188F"/>
    <w:rsid w:val="002A1A7C"/>
    <w:rsid w:val="002A22B8"/>
    <w:rsid w:val="002A285B"/>
    <w:rsid w:val="002A3465"/>
    <w:rsid w:val="002A3632"/>
    <w:rsid w:val="002A382C"/>
    <w:rsid w:val="002A41C4"/>
    <w:rsid w:val="002A4265"/>
    <w:rsid w:val="002A4337"/>
    <w:rsid w:val="002A43A0"/>
    <w:rsid w:val="002A4402"/>
    <w:rsid w:val="002A45EC"/>
    <w:rsid w:val="002A463B"/>
    <w:rsid w:val="002A47A3"/>
    <w:rsid w:val="002A488F"/>
    <w:rsid w:val="002A4CAB"/>
    <w:rsid w:val="002A4FDB"/>
    <w:rsid w:val="002A50DB"/>
    <w:rsid w:val="002A5123"/>
    <w:rsid w:val="002A51CA"/>
    <w:rsid w:val="002A54B6"/>
    <w:rsid w:val="002A5974"/>
    <w:rsid w:val="002A5D01"/>
    <w:rsid w:val="002A61EB"/>
    <w:rsid w:val="002A63FD"/>
    <w:rsid w:val="002A698E"/>
    <w:rsid w:val="002A7222"/>
    <w:rsid w:val="002B0943"/>
    <w:rsid w:val="002B0D2F"/>
    <w:rsid w:val="002B12BC"/>
    <w:rsid w:val="002B12BE"/>
    <w:rsid w:val="002B1C33"/>
    <w:rsid w:val="002B2180"/>
    <w:rsid w:val="002B240B"/>
    <w:rsid w:val="002B2979"/>
    <w:rsid w:val="002B2ED9"/>
    <w:rsid w:val="002B31C9"/>
    <w:rsid w:val="002B360E"/>
    <w:rsid w:val="002B4075"/>
    <w:rsid w:val="002B460F"/>
    <w:rsid w:val="002B490F"/>
    <w:rsid w:val="002B49DF"/>
    <w:rsid w:val="002B5243"/>
    <w:rsid w:val="002B5619"/>
    <w:rsid w:val="002B5B79"/>
    <w:rsid w:val="002B648A"/>
    <w:rsid w:val="002B7000"/>
    <w:rsid w:val="002B73A2"/>
    <w:rsid w:val="002B7B25"/>
    <w:rsid w:val="002B7B3B"/>
    <w:rsid w:val="002B7BEC"/>
    <w:rsid w:val="002C0526"/>
    <w:rsid w:val="002C1255"/>
    <w:rsid w:val="002C165C"/>
    <w:rsid w:val="002C199F"/>
    <w:rsid w:val="002C2235"/>
    <w:rsid w:val="002C2258"/>
    <w:rsid w:val="002C2297"/>
    <w:rsid w:val="002C2972"/>
    <w:rsid w:val="002C38D2"/>
    <w:rsid w:val="002C3F2F"/>
    <w:rsid w:val="002C415B"/>
    <w:rsid w:val="002C4AD1"/>
    <w:rsid w:val="002C5137"/>
    <w:rsid w:val="002C5273"/>
    <w:rsid w:val="002C5668"/>
    <w:rsid w:val="002C579C"/>
    <w:rsid w:val="002C5AE0"/>
    <w:rsid w:val="002C646D"/>
    <w:rsid w:val="002C73E3"/>
    <w:rsid w:val="002C78D7"/>
    <w:rsid w:val="002D0041"/>
    <w:rsid w:val="002D0B3A"/>
    <w:rsid w:val="002D0FBB"/>
    <w:rsid w:val="002D1A5B"/>
    <w:rsid w:val="002D20D9"/>
    <w:rsid w:val="002D2141"/>
    <w:rsid w:val="002D219E"/>
    <w:rsid w:val="002D2CC3"/>
    <w:rsid w:val="002D2D7E"/>
    <w:rsid w:val="002D2EDF"/>
    <w:rsid w:val="002D2FD0"/>
    <w:rsid w:val="002D3524"/>
    <w:rsid w:val="002D3853"/>
    <w:rsid w:val="002D3908"/>
    <w:rsid w:val="002D3E5E"/>
    <w:rsid w:val="002D4428"/>
    <w:rsid w:val="002D444C"/>
    <w:rsid w:val="002D466B"/>
    <w:rsid w:val="002D481C"/>
    <w:rsid w:val="002D48AE"/>
    <w:rsid w:val="002D499C"/>
    <w:rsid w:val="002D4CEC"/>
    <w:rsid w:val="002D4E40"/>
    <w:rsid w:val="002D5393"/>
    <w:rsid w:val="002D54E6"/>
    <w:rsid w:val="002D5F9F"/>
    <w:rsid w:val="002D64C1"/>
    <w:rsid w:val="002D699E"/>
    <w:rsid w:val="002D6ECC"/>
    <w:rsid w:val="002D711B"/>
    <w:rsid w:val="002D74EC"/>
    <w:rsid w:val="002D755D"/>
    <w:rsid w:val="002D76C1"/>
    <w:rsid w:val="002E0259"/>
    <w:rsid w:val="002E07EE"/>
    <w:rsid w:val="002E0836"/>
    <w:rsid w:val="002E0BF1"/>
    <w:rsid w:val="002E0CEA"/>
    <w:rsid w:val="002E0E96"/>
    <w:rsid w:val="002E1325"/>
    <w:rsid w:val="002E13ED"/>
    <w:rsid w:val="002E1C87"/>
    <w:rsid w:val="002E1EE5"/>
    <w:rsid w:val="002E2199"/>
    <w:rsid w:val="002E2D2E"/>
    <w:rsid w:val="002E342D"/>
    <w:rsid w:val="002E379D"/>
    <w:rsid w:val="002E3DEB"/>
    <w:rsid w:val="002E3E91"/>
    <w:rsid w:val="002E444E"/>
    <w:rsid w:val="002E51A7"/>
    <w:rsid w:val="002E5257"/>
    <w:rsid w:val="002E57DE"/>
    <w:rsid w:val="002E5915"/>
    <w:rsid w:val="002E5AE5"/>
    <w:rsid w:val="002E6061"/>
    <w:rsid w:val="002E635C"/>
    <w:rsid w:val="002E6439"/>
    <w:rsid w:val="002E6448"/>
    <w:rsid w:val="002E6629"/>
    <w:rsid w:val="002E6C12"/>
    <w:rsid w:val="002E6E7D"/>
    <w:rsid w:val="002E73B3"/>
    <w:rsid w:val="002E79B0"/>
    <w:rsid w:val="002F009E"/>
    <w:rsid w:val="002F0436"/>
    <w:rsid w:val="002F05BB"/>
    <w:rsid w:val="002F084B"/>
    <w:rsid w:val="002F0BA5"/>
    <w:rsid w:val="002F0F8D"/>
    <w:rsid w:val="002F13EB"/>
    <w:rsid w:val="002F15E1"/>
    <w:rsid w:val="002F2481"/>
    <w:rsid w:val="002F278F"/>
    <w:rsid w:val="002F2869"/>
    <w:rsid w:val="002F2FB1"/>
    <w:rsid w:val="002F362A"/>
    <w:rsid w:val="002F381E"/>
    <w:rsid w:val="002F42DF"/>
    <w:rsid w:val="002F52EB"/>
    <w:rsid w:val="002F5E37"/>
    <w:rsid w:val="002F5F28"/>
    <w:rsid w:val="002F5FF5"/>
    <w:rsid w:val="002F63BF"/>
    <w:rsid w:val="002F67EC"/>
    <w:rsid w:val="002F731A"/>
    <w:rsid w:val="002F7A4C"/>
    <w:rsid w:val="002F7F92"/>
    <w:rsid w:val="00300233"/>
    <w:rsid w:val="00300318"/>
    <w:rsid w:val="00300424"/>
    <w:rsid w:val="00300432"/>
    <w:rsid w:val="0030053E"/>
    <w:rsid w:val="0030066F"/>
    <w:rsid w:val="00300A42"/>
    <w:rsid w:val="00300C97"/>
    <w:rsid w:val="00300D33"/>
    <w:rsid w:val="0030107B"/>
    <w:rsid w:val="0030109D"/>
    <w:rsid w:val="0030145D"/>
    <w:rsid w:val="003018E5"/>
    <w:rsid w:val="00301C6B"/>
    <w:rsid w:val="00301DCB"/>
    <w:rsid w:val="00302365"/>
    <w:rsid w:val="00302950"/>
    <w:rsid w:val="0030311C"/>
    <w:rsid w:val="0030381D"/>
    <w:rsid w:val="00303C29"/>
    <w:rsid w:val="003040B1"/>
    <w:rsid w:val="003041C3"/>
    <w:rsid w:val="0030498F"/>
    <w:rsid w:val="00304F71"/>
    <w:rsid w:val="003051CD"/>
    <w:rsid w:val="00305A14"/>
    <w:rsid w:val="00305C47"/>
    <w:rsid w:val="003063A0"/>
    <w:rsid w:val="00306A29"/>
    <w:rsid w:val="00306B01"/>
    <w:rsid w:val="00307458"/>
    <w:rsid w:val="00307673"/>
    <w:rsid w:val="00307E6C"/>
    <w:rsid w:val="00307E84"/>
    <w:rsid w:val="00307F5C"/>
    <w:rsid w:val="00310213"/>
    <w:rsid w:val="003108B8"/>
    <w:rsid w:val="0031175A"/>
    <w:rsid w:val="00311A9C"/>
    <w:rsid w:val="00311B5D"/>
    <w:rsid w:val="00312217"/>
    <w:rsid w:val="00312D11"/>
    <w:rsid w:val="0031341D"/>
    <w:rsid w:val="00313812"/>
    <w:rsid w:val="00315090"/>
    <w:rsid w:val="0031520C"/>
    <w:rsid w:val="003155AD"/>
    <w:rsid w:val="00315C5F"/>
    <w:rsid w:val="00315EF1"/>
    <w:rsid w:val="003160E8"/>
    <w:rsid w:val="003163B7"/>
    <w:rsid w:val="003164B0"/>
    <w:rsid w:val="003169F0"/>
    <w:rsid w:val="00316AB9"/>
    <w:rsid w:val="00316EA1"/>
    <w:rsid w:val="00316FBC"/>
    <w:rsid w:val="0031710B"/>
    <w:rsid w:val="0031725D"/>
    <w:rsid w:val="003176B8"/>
    <w:rsid w:val="00317BC4"/>
    <w:rsid w:val="00317C23"/>
    <w:rsid w:val="00317E68"/>
    <w:rsid w:val="0032081D"/>
    <w:rsid w:val="00320BB4"/>
    <w:rsid w:val="003224B2"/>
    <w:rsid w:val="00322D69"/>
    <w:rsid w:val="00322E8C"/>
    <w:rsid w:val="00323329"/>
    <w:rsid w:val="0032362E"/>
    <w:rsid w:val="00323B3A"/>
    <w:rsid w:val="003245CC"/>
    <w:rsid w:val="0032498A"/>
    <w:rsid w:val="003254C6"/>
    <w:rsid w:val="003258E8"/>
    <w:rsid w:val="003267DB"/>
    <w:rsid w:val="003270BD"/>
    <w:rsid w:val="00327465"/>
    <w:rsid w:val="003278AA"/>
    <w:rsid w:val="0032791F"/>
    <w:rsid w:val="00327B38"/>
    <w:rsid w:val="00327B8E"/>
    <w:rsid w:val="00327F49"/>
    <w:rsid w:val="00330396"/>
    <w:rsid w:val="00330866"/>
    <w:rsid w:val="00330948"/>
    <w:rsid w:val="003309A0"/>
    <w:rsid w:val="00331E9B"/>
    <w:rsid w:val="00332017"/>
    <w:rsid w:val="00332034"/>
    <w:rsid w:val="0033253D"/>
    <w:rsid w:val="003325D4"/>
    <w:rsid w:val="00332630"/>
    <w:rsid w:val="003326A2"/>
    <w:rsid w:val="0033298B"/>
    <w:rsid w:val="00332C49"/>
    <w:rsid w:val="00332E34"/>
    <w:rsid w:val="00332EA1"/>
    <w:rsid w:val="0033396D"/>
    <w:rsid w:val="00333CDE"/>
    <w:rsid w:val="00333E18"/>
    <w:rsid w:val="00334425"/>
    <w:rsid w:val="00334F4D"/>
    <w:rsid w:val="003350E6"/>
    <w:rsid w:val="00335798"/>
    <w:rsid w:val="00335B72"/>
    <w:rsid w:val="00335C32"/>
    <w:rsid w:val="00335E6E"/>
    <w:rsid w:val="0033628C"/>
    <w:rsid w:val="00336B03"/>
    <w:rsid w:val="00337260"/>
    <w:rsid w:val="00337F39"/>
    <w:rsid w:val="00340404"/>
    <w:rsid w:val="00340927"/>
    <w:rsid w:val="00340B97"/>
    <w:rsid w:val="0034144B"/>
    <w:rsid w:val="003414F8"/>
    <w:rsid w:val="00341624"/>
    <w:rsid w:val="0034199C"/>
    <w:rsid w:val="00341BF1"/>
    <w:rsid w:val="00341C5A"/>
    <w:rsid w:val="00341CDC"/>
    <w:rsid w:val="00342199"/>
    <w:rsid w:val="003422CC"/>
    <w:rsid w:val="00342D38"/>
    <w:rsid w:val="00343715"/>
    <w:rsid w:val="00343716"/>
    <w:rsid w:val="0034375B"/>
    <w:rsid w:val="0034439B"/>
    <w:rsid w:val="00345031"/>
    <w:rsid w:val="00345274"/>
    <w:rsid w:val="00345370"/>
    <w:rsid w:val="00346477"/>
    <w:rsid w:val="00346688"/>
    <w:rsid w:val="00346A60"/>
    <w:rsid w:val="00347EDC"/>
    <w:rsid w:val="0035061C"/>
    <w:rsid w:val="0035139B"/>
    <w:rsid w:val="0035148B"/>
    <w:rsid w:val="003516DF"/>
    <w:rsid w:val="00351842"/>
    <w:rsid w:val="0035263A"/>
    <w:rsid w:val="00352A6D"/>
    <w:rsid w:val="00352F2A"/>
    <w:rsid w:val="0035348F"/>
    <w:rsid w:val="003539BE"/>
    <w:rsid w:val="0035434D"/>
    <w:rsid w:val="00354417"/>
    <w:rsid w:val="00354BD5"/>
    <w:rsid w:val="00354E20"/>
    <w:rsid w:val="003551BA"/>
    <w:rsid w:val="003555F3"/>
    <w:rsid w:val="00355EB2"/>
    <w:rsid w:val="00355ED9"/>
    <w:rsid w:val="003561C4"/>
    <w:rsid w:val="00356E2C"/>
    <w:rsid w:val="00356E5D"/>
    <w:rsid w:val="00356FDA"/>
    <w:rsid w:val="00357211"/>
    <w:rsid w:val="003574D4"/>
    <w:rsid w:val="00357DE8"/>
    <w:rsid w:val="00360357"/>
    <w:rsid w:val="0036056E"/>
    <w:rsid w:val="0036062A"/>
    <w:rsid w:val="00360666"/>
    <w:rsid w:val="003607C1"/>
    <w:rsid w:val="003608F6"/>
    <w:rsid w:val="00360D48"/>
    <w:rsid w:val="00360E36"/>
    <w:rsid w:val="00360F95"/>
    <w:rsid w:val="003611FD"/>
    <w:rsid w:val="003617A2"/>
    <w:rsid w:val="00361B6A"/>
    <w:rsid w:val="00361EF5"/>
    <w:rsid w:val="0036216B"/>
    <w:rsid w:val="00362365"/>
    <w:rsid w:val="00362983"/>
    <w:rsid w:val="00362A2A"/>
    <w:rsid w:val="00362AA6"/>
    <w:rsid w:val="00362BB4"/>
    <w:rsid w:val="00362CC1"/>
    <w:rsid w:val="00362DA6"/>
    <w:rsid w:val="00362DB2"/>
    <w:rsid w:val="00362EC1"/>
    <w:rsid w:val="00363BEE"/>
    <w:rsid w:val="003640A2"/>
    <w:rsid w:val="0036426D"/>
    <w:rsid w:val="00364B77"/>
    <w:rsid w:val="00364DCD"/>
    <w:rsid w:val="0036509B"/>
    <w:rsid w:val="0036542F"/>
    <w:rsid w:val="003654BF"/>
    <w:rsid w:val="0036569C"/>
    <w:rsid w:val="0036570C"/>
    <w:rsid w:val="0036691F"/>
    <w:rsid w:val="00366CB9"/>
    <w:rsid w:val="003670DF"/>
    <w:rsid w:val="0036746D"/>
    <w:rsid w:val="003677C7"/>
    <w:rsid w:val="00370FCA"/>
    <w:rsid w:val="00371F4B"/>
    <w:rsid w:val="00372004"/>
    <w:rsid w:val="003723E3"/>
    <w:rsid w:val="003730AC"/>
    <w:rsid w:val="003737A1"/>
    <w:rsid w:val="003738D9"/>
    <w:rsid w:val="00373CD6"/>
    <w:rsid w:val="00374633"/>
    <w:rsid w:val="00374897"/>
    <w:rsid w:val="00374D79"/>
    <w:rsid w:val="00374DA6"/>
    <w:rsid w:val="00374EE4"/>
    <w:rsid w:val="00374EE5"/>
    <w:rsid w:val="00375B25"/>
    <w:rsid w:val="003765A7"/>
    <w:rsid w:val="0037767A"/>
    <w:rsid w:val="0037783B"/>
    <w:rsid w:val="003801F3"/>
    <w:rsid w:val="00380659"/>
    <w:rsid w:val="003806C5"/>
    <w:rsid w:val="00380837"/>
    <w:rsid w:val="003810C4"/>
    <w:rsid w:val="003813B9"/>
    <w:rsid w:val="00381638"/>
    <w:rsid w:val="00381E1F"/>
    <w:rsid w:val="0038230F"/>
    <w:rsid w:val="003827FB"/>
    <w:rsid w:val="0038290B"/>
    <w:rsid w:val="00383283"/>
    <w:rsid w:val="0038400D"/>
    <w:rsid w:val="00384158"/>
    <w:rsid w:val="00384386"/>
    <w:rsid w:val="00384CD3"/>
    <w:rsid w:val="003852C8"/>
    <w:rsid w:val="00385CC3"/>
    <w:rsid w:val="00385F97"/>
    <w:rsid w:val="00386BA9"/>
    <w:rsid w:val="003874B5"/>
    <w:rsid w:val="003875EC"/>
    <w:rsid w:val="003878F0"/>
    <w:rsid w:val="00390277"/>
    <w:rsid w:val="003908D0"/>
    <w:rsid w:val="00391572"/>
    <w:rsid w:val="0039254B"/>
    <w:rsid w:val="003925D9"/>
    <w:rsid w:val="00392A25"/>
    <w:rsid w:val="003935CB"/>
    <w:rsid w:val="00393690"/>
    <w:rsid w:val="00393931"/>
    <w:rsid w:val="00393D8D"/>
    <w:rsid w:val="003944F9"/>
    <w:rsid w:val="00394745"/>
    <w:rsid w:val="00394AAD"/>
    <w:rsid w:val="00394B9A"/>
    <w:rsid w:val="00395414"/>
    <w:rsid w:val="00395953"/>
    <w:rsid w:val="0039676A"/>
    <w:rsid w:val="00397EA9"/>
    <w:rsid w:val="00397EF6"/>
    <w:rsid w:val="003A005E"/>
    <w:rsid w:val="003A0838"/>
    <w:rsid w:val="003A14C5"/>
    <w:rsid w:val="003A15F8"/>
    <w:rsid w:val="003A1B18"/>
    <w:rsid w:val="003A1EE9"/>
    <w:rsid w:val="003A2292"/>
    <w:rsid w:val="003A236A"/>
    <w:rsid w:val="003A2ADC"/>
    <w:rsid w:val="003A30FF"/>
    <w:rsid w:val="003A32C1"/>
    <w:rsid w:val="003A3708"/>
    <w:rsid w:val="003A3D9D"/>
    <w:rsid w:val="003A4333"/>
    <w:rsid w:val="003A4487"/>
    <w:rsid w:val="003A45E0"/>
    <w:rsid w:val="003A46E0"/>
    <w:rsid w:val="003A4D0B"/>
    <w:rsid w:val="003A51CB"/>
    <w:rsid w:val="003A58AF"/>
    <w:rsid w:val="003A6303"/>
    <w:rsid w:val="003A6657"/>
    <w:rsid w:val="003A6E47"/>
    <w:rsid w:val="003A7633"/>
    <w:rsid w:val="003A7739"/>
    <w:rsid w:val="003A7F24"/>
    <w:rsid w:val="003B0185"/>
    <w:rsid w:val="003B046D"/>
    <w:rsid w:val="003B1340"/>
    <w:rsid w:val="003B1465"/>
    <w:rsid w:val="003B274A"/>
    <w:rsid w:val="003B2AA0"/>
    <w:rsid w:val="003B2FED"/>
    <w:rsid w:val="003B3B17"/>
    <w:rsid w:val="003B4210"/>
    <w:rsid w:val="003B445C"/>
    <w:rsid w:val="003B481B"/>
    <w:rsid w:val="003B4BAE"/>
    <w:rsid w:val="003B5090"/>
    <w:rsid w:val="003B5AE5"/>
    <w:rsid w:val="003B69E6"/>
    <w:rsid w:val="003B6A9D"/>
    <w:rsid w:val="003B6CA7"/>
    <w:rsid w:val="003B6F74"/>
    <w:rsid w:val="003B7548"/>
    <w:rsid w:val="003B7E40"/>
    <w:rsid w:val="003B7F74"/>
    <w:rsid w:val="003C0254"/>
    <w:rsid w:val="003C094D"/>
    <w:rsid w:val="003C0AC1"/>
    <w:rsid w:val="003C0CC7"/>
    <w:rsid w:val="003C0E4F"/>
    <w:rsid w:val="003C122A"/>
    <w:rsid w:val="003C1FDD"/>
    <w:rsid w:val="003C2917"/>
    <w:rsid w:val="003C296B"/>
    <w:rsid w:val="003C2B4C"/>
    <w:rsid w:val="003C305E"/>
    <w:rsid w:val="003C3DDA"/>
    <w:rsid w:val="003C418D"/>
    <w:rsid w:val="003C4534"/>
    <w:rsid w:val="003C5C33"/>
    <w:rsid w:val="003C63B4"/>
    <w:rsid w:val="003C69E7"/>
    <w:rsid w:val="003C76CC"/>
    <w:rsid w:val="003C7B72"/>
    <w:rsid w:val="003C7E7A"/>
    <w:rsid w:val="003D03EA"/>
    <w:rsid w:val="003D0AD7"/>
    <w:rsid w:val="003D0D9C"/>
    <w:rsid w:val="003D1148"/>
    <w:rsid w:val="003D148B"/>
    <w:rsid w:val="003D1BAB"/>
    <w:rsid w:val="003D1DC1"/>
    <w:rsid w:val="003D1DED"/>
    <w:rsid w:val="003D221D"/>
    <w:rsid w:val="003D231B"/>
    <w:rsid w:val="003D24D2"/>
    <w:rsid w:val="003D2912"/>
    <w:rsid w:val="003D34BB"/>
    <w:rsid w:val="003D3507"/>
    <w:rsid w:val="003D36BF"/>
    <w:rsid w:val="003D3A4A"/>
    <w:rsid w:val="003D3E87"/>
    <w:rsid w:val="003D42E7"/>
    <w:rsid w:val="003D51A7"/>
    <w:rsid w:val="003D51CA"/>
    <w:rsid w:val="003D535F"/>
    <w:rsid w:val="003D55AD"/>
    <w:rsid w:val="003D5699"/>
    <w:rsid w:val="003D581C"/>
    <w:rsid w:val="003D592C"/>
    <w:rsid w:val="003D5C15"/>
    <w:rsid w:val="003D5E82"/>
    <w:rsid w:val="003D5EFF"/>
    <w:rsid w:val="003D5FBA"/>
    <w:rsid w:val="003D60C7"/>
    <w:rsid w:val="003D6ACE"/>
    <w:rsid w:val="003D7674"/>
    <w:rsid w:val="003D7DA3"/>
    <w:rsid w:val="003E1017"/>
    <w:rsid w:val="003E1128"/>
    <w:rsid w:val="003E1D3C"/>
    <w:rsid w:val="003E1D49"/>
    <w:rsid w:val="003E1DA7"/>
    <w:rsid w:val="003E1ECD"/>
    <w:rsid w:val="003E1FEC"/>
    <w:rsid w:val="003E2646"/>
    <w:rsid w:val="003E34B2"/>
    <w:rsid w:val="003E36FF"/>
    <w:rsid w:val="003E3AA9"/>
    <w:rsid w:val="003E3C19"/>
    <w:rsid w:val="003E3D1B"/>
    <w:rsid w:val="003E42C5"/>
    <w:rsid w:val="003E4770"/>
    <w:rsid w:val="003E4776"/>
    <w:rsid w:val="003E488F"/>
    <w:rsid w:val="003E49CC"/>
    <w:rsid w:val="003E4FAE"/>
    <w:rsid w:val="003E5E9C"/>
    <w:rsid w:val="003E6398"/>
    <w:rsid w:val="003E676B"/>
    <w:rsid w:val="003E74F4"/>
    <w:rsid w:val="003E7BB0"/>
    <w:rsid w:val="003E7CFD"/>
    <w:rsid w:val="003F01F0"/>
    <w:rsid w:val="003F0556"/>
    <w:rsid w:val="003F0817"/>
    <w:rsid w:val="003F107B"/>
    <w:rsid w:val="003F167A"/>
    <w:rsid w:val="003F1D7C"/>
    <w:rsid w:val="003F1E3C"/>
    <w:rsid w:val="003F2657"/>
    <w:rsid w:val="003F27B2"/>
    <w:rsid w:val="003F3006"/>
    <w:rsid w:val="003F35D0"/>
    <w:rsid w:val="003F3A48"/>
    <w:rsid w:val="003F3B0A"/>
    <w:rsid w:val="003F3DA9"/>
    <w:rsid w:val="003F4368"/>
    <w:rsid w:val="003F43EC"/>
    <w:rsid w:val="003F4409"/>
    <w:rsid w:val="003F44D6"/>
    <w:rsid w:val="003F482F"/>
    <w:rsid w:val="003F4BED"/>
    <w:rsid w:val="003F4FC9"/>
    <w:rsid w:val="003F4FDF"/>
    <w:rsid w:val="003F51D3"/>
    <w:rsid w:val="003F5623"/>
    <w:rsid w:val="003F5694"/>
    <w:rsid w:val="003F59FE"/>
    <w:rsid w:val="003F5C05"/>
    <w:rsid w:val="003F653D"/>
    <w:rsid w:val="003F66BF"/>
    <w:rsid w:val="003F706B"/>
    <w:rsid w:val="003F760A"/>
    <w:rsid w:val="003F78F7"/>
    <w:rsid w:val="00400177"/>
    <w:rsid w:val="004001C4"/>
    <w:rsid w:val="004002B2"/>
    <w:rsid w:val="00400469"/>
    <w:rsid w:val="0040047C"/>
    <w:rsid w:val="00401AC4"/>
    <w:rsid w:val="0040215C"/>
    <w:rsid w:val="004021D8"/>
    <w:rsid w:val="00402215"/>
    <w:rsid w:val="004033BB"/>
    <w:rsid w:val="00403AE0"/>
    <w:rsid w:val="00403CCC"/>
    <w:rsid w:val="0040507C"/>
    <w:rsid w:val="00405954"/>
    <w:rsid w:val="00405DFF"/>
    <w:rsid w:val="004060AF"/>
    <w:rsid w:val="004063C1"/>
    <w:rsid w:val="004068BC"/>
    <w:rsid w:val="00406AF5"/>
    <w:rsid w:val="00407664"/>
    <w:rsid w:val="00407820"/>
    <w:rsid w:val="00407BD8"/>
    <w:rsid w:val="00407E71"/>
    <w:rsid w:val="00410748"/>
    <w:rsid w:val="00410B28"/>
    <w:rsid w:val="00410DB8"/>
    <w:rsid w:val="00410DFA"/>
    <w:rsid w:val="004110D8"/>
    <w:rsid w:val="004111C3"/>
    <w:rsid w:val="0041169A"/>
    <w:rsid w:val="00411937"/>
    <w:rsid w:val="00411D22"/>
    <w:rsid w:val="00411E14"/>
    <w:rsid w:val="00411EF5"/>
    <w:rsid w:val="004135D6"/>
    <w:rsid w:val="0041384C"/>
    <w:rsid w:val="00413F6D"/>
    <w:rsid w:val="00414B68"/>
    <w:rsid w:val="00414B80"/>
    <w:rsid w:val="00414C68"/>
    <w:rsid w:val="00414F4D"/>
    <w:rsid w:val="0041516D"/>
    <w:rsid w:val="004151E3"/>
    <w:rsid w:val="0041557F"/>
    <w:rsid w:val="004155AB"/>
    <w:rsid w:val="00415836"/>
    <w:rsid w:val="00415D0D"/>
    <w:rsid w:val="00415D14"/>
    <w:rsid w:val="00415EF8"/>
    <w:rsid w:val="00416AA0"/>
    <w:rsid w:val="00416DFA"/>
    <w:rsid w:val="00416EC0"/>
    <w:rsid w:val="00420246"/>
    <w:rsid w:val="004203FF"/>
    <w:rsid w:val="0042042C"/>
    <w:rsid w:val="00420BB7"/>
    <w:rsid w:val="004214E3"/>
    <w:rsid w:val="0042225E"/>
    <w:rsid w:val="004222DC"/>
    <w:rsid w:val="004229B7"/>
    <w:rsid w:val="00422D55"/>
    <w:rsid w:val="0042308A"/>
    <w:rsid w:val="004236FA"/>
    <w:rsid w:val="004246C9"/>
    <w:rsid w:val="00424B0A"/>
    <w:rsid w:val="00424B63"/>
    <w:rsid w:val="0043048A"/>
    <w:rsid w:val="004307E1"/>
    <w:rsid w:val="00430983"/>
    <w:rsid w:val="0043100B"/>
    <w:rsid w:val="004311FD"/>
    <w:rsid w:val="004312BA"/>
    <w:rsid w:val="00431327"/>
    <w:rsid w:val="00431403"/>
    <w:rsid w:val="004317CE"/>
    <w:rsid w:val="00431F9F"/>
    <w:rsid w:val="0043278C"/>
    <w:rsid w:val="00432C15"/>
    <w:rsid w:val="00432D8A"/>
    <w:rsid w:val="00433E6F"/>
    <w:rsid w:val="00434279"/>
    <w:rsid w:val="004342C8"/>
    <w:rsid w:val="0043433B"/>
    <w:rsid w:val="00434483"/>
    <w:rsid w:val="00434489"/>
    <w:rsid w:val="004345DD"/>
    <w:rsid w:val="00434B81"/>
    <w:rsid w:val="00435259"/>
    <w:rsid w:val="00436740"/>
    <w:rsid w:val="004367F6"/>
    <w:rsid w:val="00436B7E"/>
    <w:rsid w:val="00436D11"/>
    <w:rsid w:val="0043704C"/>
    <w:rsid w:val="00437918"/>
    <w:rsid w:val="00437A56"/>
    <w:rsid w:val="00437B83"/>
    <w:rsid w:val="00437EB8"/>
    <w:rsid w:val="0044053E"/>
    <w:rsid w:val="00441D3D"/>
    <w:rsid w:val="0044295D"/>
    <w:rsid w:val="00442A4D"/>
    <w:rsid w:val="00442BB2"/>
    <w:rsid w:val="00442CC5"/>
    <w:rsid w:val="00442DEE"/>
    <w:rsid w:val="00442F78"/>
    <w:rsid w:val="00443303"/>
    <w:rsid w:val="004437D1"/>
    <w:rsid w:val="00444091"/>
    <w:rsid w:val="00444319"/>
    <w:rsid w:val="00444526"/>
    <w:rsid w:val="004448A5"/>
    <w:rsid w:val="00444B4C"/>
    <w:rsid w:val="00445160"/>
    <w:rsid w:val="0044516E"/>
    <w:rsid w:val="00445339"/>
    <w:rsid w:val="004456F1"/>
    <w:rsid w:val="00445890"/>
    <w:rsid w:val="00445E28"/>
    <w:rsid w:val="00446A3B"/>
    <w:rsid w:val="00446D11"/>
    <w:rsid w:val="00446DDA"/>
    <w:rsid w:val="00447E39"/>
    <w:rsid w:val="00450585"/>
    <w:rsid w:val="00450D2C"/>
    <w:rsid w:val="00450D62"/>
    <w:rsid w:val="00451534"/>
    <w:rsid w:val="00451625"/>
    <w:rsid w:val="00451739"/>
    <w:rsid w:val="00451E86"/>
    <w:rsid w:val="0045213C"/>
    <w:rsid w:val="004521E1"/>
    <w:rsid w:val="004523E0"/>
    <w:rsid w:val="0045242E"/>
    <w:rsid w:val="00452EE0"/>
    <w:rsid w:val="00453242"/>
    <w:rsid w:val="0045413E"/>
    <w:rsid w:val="00454141"/>
    <w:rsid w:val="0045455C"/>
    <w:rsid w:val="004546DF"/>
    <w:rsid w:val="004549A9"/>
    <w:rsid w:val="00454D8E"/>
    <w:rsid w:val="00454EEA"/>
    <w:rsid w:val="00454FEF"/>
    <w:rsid w:val="004555C4"/>
    <w:rsid w:val="00455FBF"/>
    <w:rsid w:val="00456746"/>
    <w:rsid w:val="004568E1"/>
    <w:rsid w:val="00456A9D"/>
    <w:rsid w:val="00456B78"/>
    <w:rsid w:val="00456F5F"/>
    <w:rsid w:val="004575DE"/>
    <w:rsid w:val="00457742"/>
    <w:rsid w:val="00457766"/>
    <w:rsid w:val="00460078"/>
    <w:rsid w:val="00460411"/>
    <w:rsid w:val="00460450"/>
    <w:rsid w:val="004605F3"/>
    <w:rsid w:val="004610BE"/>
    <w:rsid w:val="004610D5"/>
    <w:rsid w:val="004611F0"/>
    <w:rsid w:val="004616A4"/>
    <w:rsid w:val="0046240C"/>
    <w:rsid w:val="0046269E"/>
    <w:rsid w:val="00462AA4"/>
    <w:rsid w:val="004638AE"/>
    <w:rsid w:val="00463B80"/>
    <w:rsid w:val="00463F6D"/>
    <w:rsid w:val="00464297"/>
    <w:rsid w:val="0046460D"/>
    <w:rsid w:val="00464B78"/>
    <w:rsid w:val="00465B28"/>
    <w:rsid w:val="00465B7D"/>
    <w:rsid w:val="00465B8C"/>
    <w:rsid w:val="00465DA8"/>
    <w:rsid w:val="00465FCF"/>
    <w:rsid w:val="00466488"/>
    <w:rsid w:val="0046731A"/>
    <w:rsid w:val="004707E3"/>
    <w:rsid w:val="00470F52"/>
    <w:rsid w:val="00470F9C"/>
    <w:rsid w:val="0047130D"/>
    <w:rsid w:val="00471A10"/>
    <w:rsid w:val="00471B72"/>
    <w:rsid w:val="004723FC"/>
    <w:rsid w:val="004727F1"/>
    <w:rsid w:val="00472FC5"/>
    <w:rsid w:val="00473343"/>
    <w:rsid w:val="00473CF8"/>
    <w:rsid w:val="00473D19"/>
    <w:rsid w:val="00474932"/>
    <w:rsid w:val="00474ADD"/>
    <w:rsid w:val="00474CE5"/>
    <w:rsid w:val="00474E45"/>
    <w:rsid w:val="00474EE6"/>
    <w:rsid w:val="0047501D"/>
    <w:rsid w:val="00475387"/>
    <w:rsid w:val="004755A8"/>
    <w:rsid w:val="004755AD"/>
    <w:rsid w:val="00476431"/>
    <w:rsid w:val="00476690"/>
    <w:rsid w:val="004766A7"/>
    <w:rsid w:val="00476DA8"/>
    <w:rsid w:val="00476F87"/>
    <w:rsid w:val="004773AB"/>
    <w:rsid w:val="0047788C"/>
    <w:rsid w:val="00477BFF"/>
    <w:rsid w:val="0048005A"/>
    <w:rsid w:val="00480196"/>
    <w:rsid w:val="00480319"/>
    <w:rsid w:val="00480EC1"/>
    <w:rsid w:val="00481778"/>
    <w:rsid w:val="004817B0"/>
    <w:rsid w:val="00481C3B"/>
    <w:rsid w:val="00482091"/>
    <w:rsid w:val="004822DA"/>
    <w:rsid w:val="00482D8B"/>
    <w:rsid w:val="00482E11"/>
    <w:rsid w:val="00483013"/>
    <w:rsid w:val="00483820"/>
    <w:rsid w:val="00483CE1"/>
    <w:rsid w:val="00483E0B"/>
    <w:rsid w:val="0048423A"/>
    <w:rsid w:val="0048481B"/>
    <w:rsid w:val="00484C68"/>
    <w:rsid w:val="00484CCF"/>
    <w:rsid w:val="0048513E"/>
    <w:rsid w:val="004854EF"/>
    <w:rsid w:val="004863BE"/>
    <w:rsid w:val="00486513"/>
    <w:rsid w:val="0048673C"/>
    <w:rsid w:val="00486A0D"/>
    <w:rsid w:val="00486A69"/>
    <w:rsid w:val="00486AF7"/>
    <w:rsid w:val="004870F8"/>
    <w:rsid w:val="0048718C"/>
    <w:rsid w:val="00490BF0"/>
    <w:rsid w:val="00490C6F"/>
    <w:rsid w:val="0049199F"/>
    <w:rsid w:val="00491B37"/>
    <w:rsid w:val="004920F4"/>
    <w:rsid w:val="0049258D"/>
    <w:rsid w:val="0049291B"/>
    <w:rsid w:val="004932BF"/>
    <w:rsid w:val="0049359E"/>
    <w:rsid w:val="00493B4F"/>
    <w:rsid w:val="00494E8E"/>
    <w:rsid w:val="004959F0"/>
    <w:rsid w:val="00495E03"/>
    <w:rsid w:val="00496EE1"/>
    <w:rsid w:val="00496FF1"/>
    <w:rsid w:val="00497035"/>
    <w:rsid w:val="00497BF5"/>
    <w:rsid w:val="004A0B57"/>
    <w:rsid w:val="004A0B59"/>
    <w:rsid w:val="004A116E"/>
    <w:rsid w:val="004A1210"/>
    <w:rsid w:val="004A12EC"/>
    <w:rsid w:val="004A1608"/>
    <w:rsid w:val="004A17F1"/>
    <w:rsid w:val="004A18D1"/>
    <w:rsid w:val="004A1B11"/>
    <w:rsid w:val="004A2558"/>
    <w:rsid w:val="004A27D9"/>
    <w:rsid w:val="004A2CE4"/>
    <w:rsid w:val="004A2DC5"/>
    <w:rsid w:val="004A3ED9"/>
    <w:rsid w:val="004A4192"/>
    <w:rsid w:val="004A424B"/>
    <w:rsid w:val="004A4B3D"/>
    <w:rsid w:val="004A4FA6"/>
    <w:rsid w:val="004A51E5"/>
    <w:rsid w:val="004A5218"/>
    <w:rsid w:val="004A5797"/>
    <w:rsid w:val="004A5897"/>
    <w:rsid w:val="004A5A15"/>
    <w:rsid w:val="004A5A98"/>
    <w:rsid w:val="004A6098"/>
    <w:rsid w:val="004A6440"/>
    <w:rsid w:val="004A647D"/>
    <w:rsid w:val="004A6E03"/>
    <w:rsid w:val="004A71AF"/>
    <w:rsid w:val="004A781B"/>
    <w:rsid w:val="004A7A03"/>
    <w:rsid w:val="004B1140"/>
    <w:rsid w:val="004B2185"/>
    <w:rsid w:val="004B2395"/>
    <w:rsid w:val="004B2A92"/>
    <w:rsid w:val="004B32A6"/>
    <w:rsid w:val="004B3A0D"/>
    <w:rsid w:val="004B446D"/>
    <w:rsid w:val="004B47EE"/>
    <w:rsid w:val="004B485B"/>
    <w:rsid w:val="004B50F2"/>
    <w:rsid w:val="004B58EC"/>
    <w:rsid w:val="004B6135"/>
    <w:rsid w:val="004B69B5"/>
    <w:rsid w:val="004B6D26"/>
    <w:rsid w:val="004B70E8"/>
    <w:rsid w:val="004B76BB"/>
    <w:rsid w:val="004B7B1D"/>
    <w:rsid w:val="004C02A8"/>
    <w:rsid w:val="004C115D"/>
    <w:rsid w:val="004C15EA"/>
    <w:rsid w:val="004C1BBB"/>
    <w:rsid w:val="004C24DE"/>
    <w:rsid w:val="004C2A62"/>
    <w:rsid w:val="004C2BD8"/>
    <w:rsid w:val="004C2F3B"/>
    <w:rsid w:val="004C341F"/>
    <w:rsid w:val="004C369E"/>
    <w:rsid w:val="004C37D3"/>
    <w:rsid w:val="004C3A8C"/>
    <w:rsid w:val="004C3D74"/>
    <w:rsid w:val="004C45AC"/>
    <w:rsid w:val="004C4759"/>
    <w:rsid w:val="004C477D"/>
    <w:rsid w:val="004C5B8B"/>
    <w:rsid w:val="004C5E16"/>
    <w:rsid w:val="004C5F4D"/>
    <w:rsid w:val="004C621E"/>
    <w:rsid w:val="004C65C5"/>
    <w:rsid w:val="004C7691"/>
    <w:rsid w:val="004C7FA5"/>
    <w:rsid w:val="004D073D"/>
    <w:rsid w:val="004D0B4A"/>
    <w:rsid w:val="004D0BDF"/>
    <w:rsid w:val="004D0D5D"/>
    <w:rsid w:val="004D0F5F"/>
    <w:rsid w:val="004D1430"/>
    <w:rsid w:val="004D15FF"/>
    <w:rsid w:val="004D1873"/>
    <w:rsid w:val="004D1969"/>
    <w:rsid w:val="004D1EA5"/>
    <w:rsid w:val="004D1EF8"/>
    <w:rsid w:val="004D23A2"/>
    <w:rsid w:val="004D2954"/>
    <w:rsid w:val="004D2B42"/>
    <w:rsid w:val="004D3078"/>
    <w:rsid w:val="004D338A"/>
    <w:rsid w:val="004D3F3C"/>
    <w:rsid w:val="004D41D9"/>
    <w:rsid w:val="004D4585"/>
    <w:rsid w:val="004D4C98"/>
    <w:rsid w:val="004D4E43"/>
    <w:rsid w:val="004D4F16"/>
    <w:rsid w:val="004D4F6C"/>
    <w:rsid w:val="004D5010"/>
    <w:rsid w:val="004D51F7"/>
    <w:rsid w:val="004D6372"/>
    <w:rsid w:val="004D659E"/>
    <w:rsid w:val="004E0261"/>
    <w:rsid w:val="004E03EF"/>
    <w:rsid w:val="004E03F6"/>
    <w:rsid w:val="004E0CA0"/>
    <w:rsid w:val="004E179E"/>
    <w:rsid w:val="004E2184"/>
    <w:rsid w:val="004E26DC"/>
    <w:rsid w:val="004E2789"/>
    <w:rsid w:val="004E28D5"/>
    <w:rsid w:val="004E2D71"/>
    <w:rsid w:val="004E38EA"/>
    <w:rsid w:val="004E3C4C"/>
    <w:rsid w:val="004E3DCA"/>
    <w:rsid w:val="004E3FE8"/>
    <w:rsid w:val="004E43C0"/>
    <w:rsid w:val="004E4EB7"/>
    <w:rsid w:val="004E5057"/>
    <w:rsid w:val="004E5082"/>
    <w:rsid w:val="004E51EA"/>
    <w:rsid w:val="004E5810"/>
    <w:rsid w:val="004E5D37"/>
    <w:rsid w:val="004E618A"/>
    <w:rsid w:val="004E6503"/>
    <w:rsid w:val="004E6620"/>
    <w:rsid w:val="004E6A8F"/>
    <w:rsid w:val="004E6A9B"/>
    <w:rsid w:val="004E6B37"/>
    <w:rsid w:val="004E6D39"/>
    <w:rsid w:val="004F0A13"/>
    <w:rsid w:val="004F1424"/>
    <w:rsid w:val="004F1888"/>
    <w:rsid w:val="004F23E7"/>
    <w:rsid w:val="004F32C5"/>
    <w:rsid w:val="004F459F"/>
    <w:rsid w:val="004F460C"/>
    <w:rsid w:val="004F4CFC"/>
    <w:rsid w:val="004F5167"/>
    <w:rsid w:val="004F51C3"/>
    <w:rsid w:val="004F5657"/>
    <w:rsid w:val="004F5829"/>
    <w:rsid w:val="004F5B3D"/>
    <w:rsid w:val="004F5B40"/>
    <w:rsid w:val="004F5ECE"/>
    <w:rsid w:val="004F65D3"/>
    <w:rsid w:val="004F6AD0"/>
    <w:rsid w:val="004F7AF2"/>
    <w:rsid w:val="004F7B38"/>
    <w:rsid w:val="005000F0"/>
    <w:rsid w:val="0050012E"/>
    <w:rsid w:val="005001E3"/>
    <w:rsid w:val="005006C3"/>
    <w:rsid w:val="00500D8E"/>
    <w:rsid w:val="0050125C"/>
    <w:rsid w:val="00501362"/>
    <w:rsid w:val="00501708"/>
    <w:rsid w:val="00501868"/>
    <w:rsid w:val="00501999"/>
    <w:rsid w:val="00501B73"/>
    <w:rsid w:val="005028E3"/>
    <w:rsid w:val="00502A3A"/>
    <w:rsid w:val="00502B43"/>
    <w:rsid w:val="00502C5F"/>
    <w:rsid w:val="0050312F"/>
    <w:rsid w:val="00503639"/>
    <w:rsid w:val="00505711"/>
    <w:rsid w:val="00505D00"/>
    <w:rsid w:val="00505F3F"/>
    <w:rsid w:val="005069D8"/>
    <w:rsid w:val="005073A4"/>
    <w:rsid w:val="005074F7"/>
    <w:rsid w:val="0050785B"/>
    <w:rsid w:val="00507A36"/>
    <w:rsid w:val="00507E0E"/>
    <w:rsid w:val="0051012C"/>
    <w:rsid w:val="00510709"/>
    <w:rsid w:val="005108A8"/>
    <w:rsid w:val="00510A23"/>
    <w:rsid w:val="00510A90"/>
    <w:rsid w:val="00511A03"/>
    <w:rsid w:val="00511E4A"/>
    <w:rsid w:val="00511E89"/>
    <w:rsid w:val="00511F29"/>
    <w:rsid w:val="00512BEA"/>
    <w:rsid w:val="00512C11"/>
    <w:rsid w:val="0051305E"/>
    <w:rsid w:val="00513081"/>
    <w:rsid w:val="00513335"/>
    <w:rsid w:val="005133A3"/>
    <w:rsid w:val="0051442A"/>
    <w:rsid w:val="005145E9"/>
    <w:rsid w:val="00514AD5"/>
    <w:rsid w:val="00514B47"/>
    <w:rsid w:val="00515318"/>
    <w:rsid w:val="005155B4"/>
    <w:rsid w:val="005156D2"/>
    <w:rsid w:val="0051570D"/>
    <w:rsid w:val="00515978"/>
    <w:rsid w:val="005159BC"/>
    <w:rsid w:val="00515AFA"/>
    <w:rsid w:val="00515FB4"/>
    <w:rsid w:val="00516097"/>
    <w:rsid w:val="00516162"/>
    <w:rsid w:val="00516FA0"/>
    <w:rsid w:val="0051702C"/>
    <w:rsid w:val="00517083"/>
    <w:rsid w:val="00517514"/>
    <w:rsid w:val="00517CF7"/>
    <w:rsid w:val="00517E1A"/>
    <w:rsid w:val="00520517"/>
    <w:rsid w:val="005206AD"/>
    <w:rsid w:val="00520CCD"/>
    <w:rsid w:val="005213C8"/>
    <w:rsid w:val="0052281A"/>
    <w:rsid w:val="00522B60"/>
    <w:rsid w:val="00522F92"/>
    <w:rsid w:val="00523160"/>
    <w:rsid w:val="00523226"/>
    <w:rsid w:val="00523670"/>
    <w:rsid w:val="0052367E"/>
    <w:rsid w:val="00523FA6"/>
    <w:rsid w:val="00524176"/>
    <w:rsid w:val="0052452C"/>
    <w:rsid w:val="00524DB5"/>
    <w:rsid w:val="00525DF6"/>
    <w:rsid w:val="00525E92"/>
    <w:rsid w:val="00525ED8"/>
    <w:rsid w:val="00525FDC"/>
    <w:rsid w:val="005262C3"/>
    <w:rsid w:val="00526985"/>
    <w:rsid w:val="005273C2"/>
    <w:rsid w:val="005277FC"/>
    <w:rsid w:val="00527C83"/>
    <w:rsid w:val="005308C7"/>
    <w:rsid w:val="00530CA7"/>
    <w:rsid w:val="00530E99"/>
    <w:rsid w:val="005315DE"/>
    <w:rsid w:val="005316CB"/>
    <w:rsid w:val="00531741"/>
    <w:rsid w:val="00531D0E"/>
    <w:rsid w:val="0053221C"/>
    <w:rsid w:val="00532A07"/>
    <w:rsid w:val="00532DA9"/>
    <w:rsid w:val="00532F39"/>
    <w:rsid w:val="00533480"/>
    <w:rsid w:val="00533BCD"/>
    <w:rsid w:val="00534252"/>
    <w:rsid w:val="00534A71"/>
    <w:rsid w:val="00534D22"/>
    <w:rsid w:val="00534E55"/>
    <w:rsid w:val="00534EB4"/>
    <w:rsid w:val="0053508A"/>
    <w:rsid w:val="0053539A"/>
    <w:rsid w:val="00535BF4"/>
    <w:rsid w:val="0053628F"/>
    <w:rsid w:val="0053642E"/>
    <w:rsid w:val="00536EF6"/>
    <w:rsid w:val="0053723F"/>
    <w:rsid w:val="00537451"/>
    <w:rsid w:val="00537C04"/>
    <w:rsid w:val="00537C69"/>
    <w:rsid w:val="00537F77"/>
    <w:rsid w:val="00537FF1"/>
    <w:rsid w:val="005403EB"/>
    <w:rsid w:val="00540556"/>
    <w:rsid w:val="0054061E"/>
    <w:rsid w:val="00540684"/>
    <w:rsid w:val="0054087F"/>
    <w:rsid w:val="00540CCA"/>
    <w:rsid w:val="00540FB2"/>
    <w:rsid w:val="00540FE9"/>
    <w:rsid w:val="005419F8"/>
    <w:rsid w:val="00542201"/>
    <w:rsid w:val="00542637"/>
    <w:rsid w:val="00542713"/>
    <w:rsid w:val="00542A4A"/>
    <w:rsid w:val="00542EBA"/>
    <w:rsid w:val="00543841"/>
    <w:rsid w:val="005446D4"/>
    <w:rsid w:val="005449F0"/>
    <w:rsid w:val="005451E9"/>
    <w:rsid w:val="00545693"/>
    <w:rsid w:val="00545820"/>
    <w:rsid w:val="0054596C"/>
    <w:rsid w:val="00545CA0"/>
    <w:rsid w:val="00545E1D"/>
    <w:rsid w:val="00546701"/>
    <w:rsid w:val="0054681A"/>
    <w:rsid w:val="00546F7B"/>
    <w:rsid w:val="005474C2"/>
    <w:rsid w:val="0055045C"/>
    <w:rsid w:val="00550480"/>
    <w:rsid w:val="0055158C"/>
    <w:rsid w:val="00551CB1"/>
    <w:rsid w:val="00551EEF"/>
    <w:rsid w:val="0055250A"/>
    <w:rsid w:val="005527F9"/>
    <w:rsid w:val="00552DD8"/>
    <w:rsid w:val="005533E9"/>
    <w:rsid w:val="00553514"/>
    <w:rsid w:val="00553D1C"/>
    <w:rsid w:val="00553F0D"/>
    <w:rsid w:val="005540A0"/>
    <w:rsid w:val="00554351"/>
    <w:rsid w:val="00554CCB"/>
    <w:rsid w:val="005555BA"/>
    <w:rsid w:val="00555DF5"/>
    <w:rsid w:val="00556339"/>
    <w:rsid w:val="005568FD"/>
    <w:rsid w:val="0055703C"/>
    <w:rsid w:val="00557176"/>
    <w:rsid w:val="00557632"/>
    <w:rsid w:val="00557F97"/>
    <w:rsid w:val="005601FB"/>
    <w:rsid w:val="00560E1D"/>
    <w:rsid w:val="005617C7"/>
    <w:rsid w:val="0056222B"/>
    <w:rsid w:val="005623B0"/>
    <w:rsid w:val="005624D3"/>
    <w:rsid w:val="00562CA3"/>
    <w:rsid w:val="00562EF2"/>
    <w:rsid w:val="00562F00"/>
    <w:rsid w:val="0056308D"/>
    <w:rsid w:val="00563C8B"/>
    <w:rsid w:val="00563E36"/>
    <w:rsid w:val="00564842"/>
    <w:rsid w:val="00564DD9"/>
    <w:rsid w:val="00565413"/>
    <w:rsid w:val="00565870"/>
    <w:rsid w:val="00565C8F"/>
    <w:rsid w:val="005661A9"/>
    <w:rsid w:val="005669BF"/>
    <w:rsid w:val="0056725D"/>
    <w:rsid w:val="005678F1"/>
    <w:rsid w:val="005678F6"/>
    <w:rsid w:val="00567B45"/>
    <w:rsid w:val="00567CD2"/>
    <w:rsid w:val="00567CE5"/>
    <w:rsid w:val="00567F0A"/>
    <w:rsid w:val="00570EA8"/>
    <w:rsid w:val="005715BA"/>
    <w:rsid w:val="00572128"/>
    <w:rsid w:val="00572657"/>
    <w:rsid w:val="00572831"/>
    <w:rsid w:val="00572F3A"/>
    <w:rsid w:val="005730BA"/>
    <w:rsid w:val="0057415B"/>
    <w:rsid w:val="0057444B"/>
    <w:rsid w:val="005747CB"/>
    <w:rsid w:val="00574CEA"/>
    <w:rsid w:val="00575BC2"/>
    <w:rsid w:val="005769FE"/>
    <w:rsid w:val="00576E82"/>
    <w:rsid w:val="00577EEF"/>
    <w:rsid w:val="00580B6C"/>
    <w:rsid w:val="0058113B"/>
    <w:rsid w:val="005813EC"/>
    <w:rsid w:val="00581CAD"/>
    <w:rsid w:val="0058236F"/>
    <w:rsid w:val="00582C07"/>
    <w:rsid w:val="00582F88"/>
    <w:rsid w:val="005836B4"/>
    <w:rsid w:val="00583824"/>
    <w:rsid w:val="0058389C"/>
    <w:rsid w:val="00583A77"/>
    <w:rsid w:val="00583DD6"/>
    <w:rsid w:val="005847E3"/>
    <w:rsid w:val="005851F6"/>
    <w:rsid w:val="005852AD"/>
    <w:rsid w:val="00585CB9"/>
    <w:rsid w:val="00585E43"/>
    <w:rsid w:val="00586435"/>
    <w:rsid w:val="00586518"/>
    <w:rsid w:val="00586523"/>
    <w:rsid w:val="00586752"/>
    <w:rsid w:val="00586FF1"/>
    <w:rsid w:val="00587BD6"/>
    <w:rsid w:val="0059016D"/>
    <w:rsid w:val="00590559"/>
    <w:rsid w:val="00590618"/>
    <w:rsid w:val="00590D49"/>
    <w:rsid w:val="00591054"/>
    <w:rsid w:val="005918A0"/>
    <w:rsid w:val="00591941"/>
    <w:rsid w:val="00591A35"/>
    <w:rsid w:val="00592420"/>
    <w:rsid w:val="005929E6"/>
    <w:rsid w:val="0059400B"/>
    <w:rsid w:val="00594244"/>
    <w:rsid w:val="005942AC"/>
    <w:rsid w:val="005944FA"/>
    <w:rsid w:val="005946A6"/>
    <w:rsid w:val="005946CD"/>
    <w:rsid w:val="0059470B"/>
    <w:rsid w:val="00594B2E"/>
    <w:rsid w:val="00594CE1"/>
    <w:rsid w:val="00595113"/>
    <w:rsid w:val="005955E5"/>
    <w:rsid w:val="0059606E"/>
    <w:rsid w:val="0059686C"/>
    <w:rsid w:val="00596E5A"/>
    <w:rsid w:val="00597361"/>
    <w:rsid w:val="0059795E"/>
    <w:rsid w:val="00597F82"/>
    <w:rsid w:val="005A0B77"/>
    <w:rsid w:val="005A16FB"/>
    <w:rsid w:val="005A1724"/>
    <w:rsid w:val="005A2370"/>
    <w:rsid w:val="005A2722"/>
    <w:rsid w:val="005A27AA"/>
    <w:rsid w:val="005A2976"/>
    <w:rsid w:val="005A2A26"/>
    <w:rsid w:val="005A3421"/>
    <w:rsid w:val="005A34F9"/>
    <w:rsid w:val="005A3CF5"/>
    <w:rsid w:val="005A3F57"/>
    <w:rsid w:val="005A4608"/>
    <w:rsid w:val="005A48FE"/>
    <w:rsid w:val="005A59C7"/>
    <w:rsid w:val="005A5E7B"/>
    <w:rsid w:val="005A5EC1"/>
    <w:rsid w:val="005A6267"/>
    <w:rsid w:val="005A66B7"/>
    <w:rsid w:val="005A686D"/>
    <w:rsid w:val="005A6D44"/>
    <w:rsid w:val="005A6DCF"/>
    <w:rsid w:val="005A6FC7"/>
    <w:rsid w:val="005A730E"/>
    <w:rsid w:val="005A75E7"/>
    <w:rsid w:val="005A7647"/>
    <w:rsid w:val="005A79EA"/>
    <w:rsid w:val="005A7A51"/>
    <w:rsid w:val="005B0906"/>
    <w:rsid w:val="005B0E5F"/>
    <w:rsid w:val="005B281E"/>
    <w:rsid w:val="005B283C"/>
    <w:rsid w:val="005B2D4A"/>
    <w:rsid w:val="005B2D83"/>
    <w:rsid w:val="005B306E"/>
    <w:rsid w:val="005B36BF"/>
    <w:rsid w:val="005B3B3D"/>
    <w:rsid w:val="005B4304"/>
    <w:rsid w:val="005B457C"/>
    <w:rsid w:val="005B4670"/>
    <w:rsid w:val="005B46F8"/>
    <w:rsid w:val="005B4A04"/>
    <w:rsid w:val="005B4C57"/>
    <w:rsid w:val="005B52E1"/>
    <w:rsid w:val="005B592B"/>
    <w:rsid w:val="005B5EE0"/>
    <w:rsid w:val="005B5FE7"/>
    <w:rsid w:val="005B62B6"/>
    <w:rsid w:val="005B63DF"/>
    <w:rsid w:val="005B71A5"/>
    <w:rsid w:val="005B7216"/>
    <w:rsid w:val="005B7746"/>
    <w:rsid w:val="005B7901"/>
    <w:rsid w:val="005B7EA5"/>
    <w:rsid w:val="005C021E"/>
    <w:rsid w:val="005C06ED"/>
    <w:rsid w:val="005C08A3"/>
    <w:rsid w:val="005C0C42"/>
    <w:rsid w:val="005C1C0D"/>
    <w:rsid w:val="005C1D06"/>
    <w:rsid w:val="005C1E45"/>
    <w:rsid w:val="005C21C5"/>
    <w:rsid w:val="005C259E"/>
    <w:rsid w:val="005C3110"/>
    <w:rsid w:val="005C3198"/>
    <w:rsid w:val="005C5213"/>
    <w:rsid w:val="005C5479"/>
    <w:rsid w:val="005C5516"/>
    <w:rsid w:val="005C564E"/>
    <w:rsid w:val="005C6502"/>
    <w:rsid w:val="005C66A4"/>
    <w:rsid w:val="005C66BC"/>
    <w:rsid w:val="005C727D"/>
    <w:rsid w:val="005C729D"/>
    <w:rsid w:val="005C77A8"/>
    <w:rsid w:val="005C7B93"/>
    <w:rsid w:val="005D003D"/>
    <w:rsid w:val="005D04FF"/>
    <w:rsid w:val="005D0AB2"/>
    <w:rsid w:val="005D0C7A"/>
    <w:rsid w:val="005D1263"/>
    <w:rsid w:val="005D202F"/>
    <w:rsid w:val="005D2883"/>
    <w:rsid w:val="005D30A2"/>
    <w:rsid w:val="005D350D"/>
    <w:rsid w:val="005D382F"/>
    <w:rsid w:val="005D3C48"/>
    <w:rsid w:val="005D44A0"/>
    <w:rsid w:val="005D459B"/>
    <w:rsid w:val="005D4761"/>
    <w:rsid w:val="005D4AAE"/>
    <w:rsid w:val="005D5050"/>
    <w:rsid w:val="005D55C1"/>
    <w:rsid w:val="005D5CFE"/>
    <w:rsid w:val="005D64A7"/>
    <w:rsid w:val="005D657F"/>
    <w:rsid w:val="005D68AD"/>
    <w:rsid w:val="005D7234"/>
    <w:rsid w:val="005D7460"/>
    <w:rsid w:val="005D7628"/>
    <w:rsid w:val="005D772F"/>
    <w:rsid w:val="005E01C8"/>
    <w:rsid w:val="005E0B32"/>
    <w:rsid w:val="005E0BD0"/>
    <w:rsid w:val="005E0CFA"/>
    <w:rsid w:val="005E11F1"/>
    <w:rsid w:val="005E1546"/>
    <w:rsid w:val="005E1605"/>
    <w:rsid w:val="005E174D"/>
    <w:rsid w:val="005E18C3"/>
    <w:rsid w:val="005E18C4"/>
    <w:rsid w:val="005E1A6C"/>
    <w:rsid w:val="005E1AD7"/>
    <w:rsid w:val="005E1C95"/>
    <w:rsid w:val="005E23C4"/>
    <w:rsid w:val="005E306E"/>
    <w:rsid w:val="005E3877"/>
    <w:rsid w:val="005E40B6"/>
    <w:rsid w:val="005E4241"/>
    <w:rsid w:val="005E45C2"/>
    <w:rsid w:val="005E4D2D"/>
    <w:rsid w:val="005E505F"/>
    <w:rsid w:val="005E53B3"/>
    <w:rsid w:val="005E5844"/>
    <w:rsid w:val="005E5B71"/>
    <w:rsid w:val="005E6643"/>
    <w:rsid w:val="005E6785"/>
    <w:rsid w:val="005E7304"/>
    <w:rsid w:val="005E7829"/>
    <w:rsid w:val="005E7B72"/>
    <w:rsid w:val="005F0632"/>
    <w:rsid w:val="005F0942"/>
    <w:rsid w:val="005F0978"/>
    <w:rsid w:val="005F0AE5"/>
    <w:rsid w:val="005F1290"/>
    <w:rsid w:val="005F18CB"/>
    <w:rsid w:val="005F1AFC"/>
    <w:rsid w:val="005F1B7E"/>
    <w:rsid w:val="005F1C88"/>
    <w:rsid w:val="005F34DA"/>
    <w:rsid w:val="005F3956"/>
    <w:rsid w:val="005F3969"/>
    <w:rsid w:val="005F3F45"/>
    <w:rsid w:val="005F4359"/>
    <w:rsid w:val="005F4DF7"/>
    <w:rsid w:val="005F5071"/>
    <w:rsid w:val="005F5171"/>
    <w:rsid w:val="005F5242"/>
    <w:rsid w:val="005F5583"/>
    <w:rsid w:val="005F5AFD"/>
    <w:rsid w:val="005F5D90"/>
    <w:rsid w:val="005F687F"/>
    <w:rsid w:val="005F7362"/>
    <w:rsid w:val="005F73CB"/>
    <w:rsid w:val="005F73D7"/>
    <w:rsid w:val="005F76BB"/>
    <w:rsid w:val="005F7B3D"/>
    <w:rsid w:val="005F7E29"/>
    <w:rsid w:val="00600DD9"/>
    <w:rsid w:val="0060141D"/>
    <w:rsid w:val="006015B2"/>
    <w:rsid w:val="00601B45"/>
    <w:rsid w:val="00601D72"/>
    <w:rsid w:val="00601D88"/>
    <w:rsid w:val="0060210B"/>
    <w:rsid w:val="00602517"/>
    <w:rsid w:val="00602A58"/>
    <w:rsid w:val="006034C1"/>
    <w:rsid w:val="006036FE"/>
    <w:rsid w:val="00604E4C"/>
    <w:rsid w:val="00604FED"/>
    <w:rsid w:val="006050DE"/>
    <w:rsid w:val="0060530D"/>
    <w:rsid w:val="0060562F"/>
    <w:rsid w:val="006057B3"/>
    <w:rsid w:val="006060D6"/>
    <w:rsid w:val="00606CAB"/>
    <w:rsid w:val="00606F0D"/>
    <w:rsid w:val="006078AE"/>
    <w:rsid w:val="006078F8"/>
    <w:rsid w:val="00607A41"/>
    <w:rsid w:val="00607FEE"/>
    <w:rsid w:val="006118FE"/>
    <w:rsid w:val="00611ED2"/>
    <w:rsid w:val="00612410"/>
    <w:rsid w:val="00612A63"/>
    <w:rsid w:val="00612B35"/>
    <w:rsid w:val="00612C39"/>
    <w:rsid w:val="00612DC3"/>
    <w:rsid w:val="00612ECC"/>
    <w:rsid w:val="00613318"/>
    <w:rsid w:val="006137ED"/>
    <w:rsid w:val="00613C00"/>
    <w:rsid w:val="006145CE"/>
    <w:rsid w:val="006158E5"/>
    <w:rsid w:val="00615A5D"/>
    <w:rsid w:val="006160FD"/>
    <w:rsid w:val="0061671A"/>
    <w:rsid w:val="006168D5"/>
    <w:rsid w:val="00616DDA"/>
    <w:rsid w:val="00617031"/>
    <w:rsid w:val="00617423"/>
    <w:rsid w:val="0061771F"/>
    <w:rsid w:val="00617CE8"/>
    <w:rsid w:val="006206B7"/>
    <w:rsid w:val="00621658"/>
    <w:rsid w:val="006219A3"/>
    <w:rsid w:val="00622073"/>
    <w:rsid w:val="006233E7"/>
    <w:rsid w:val="006234FE"/>
    <w:rsid w:val="00623673"/>
    <w:rsid w:val="00623889"/>
    <w:rsid w:val="00623C22"/>
    <w:rsid w:val="00624115"/>
    <w:rsid w:val="00624389"/>
    <w:rsid w:val="006247BB"/>
    <w:rsid w:val="00625594"/>
    <w:rsid w:val="006256C3"/>
    <w:rsid w:val="0062647A"/>
    <w:rsid w:val="0062664E"/>
    <w:rsid w:val="00626BE4"/>
    <w:rsid w:val="00627007"/>
    <w:rsid w:val="0062750A"/>
    <w:rsid w:val="00627657"/>
    <w:rsid w:val="00627D65"/>
    <w:rsid w:val="0063023F"/>
    <w:rsid w:val="006309C6"/>
    <w:rsid w:val="00631785"/>
    <w:rsid w:val="00631DD6"/>
    <w:rsid w:val="00631F29"/>
    <w:rsid w:val="00631F52"/>
    <w:rsid w:val="006320D8"/>
    <w:rsid w:val="006323AD"/>
    <w:rsid w:val="006324DE"/>
    <w:rsid w:val="00632DC0"/>
    <w:rsid w:val="00632FC4"/>
    <w:rsid w:val="0063322E"/>
    <w:rsid w:val="006347FA"/>
    <w:rsid w:val="00635183"/>
    <w:rsid w:val="00635A3B"/>
    <w:rsid w:val="00635AA2"/>
    <w:rsid w:val="00635B7F"/>
    <w:rsid w:val="00635E15"/>
    <w:rsid w:val="0063655F"/>
    <w:rsid w:val="00636E55"/>
    <w:rsid w:val="0063771A"/>
    <w:rsid w:val="00637816"/>
    <w:rsid w:val="0063788A"/>
    <w:rsid w:val="0063790F"/>
    <w:rsid w:val="00637BC7"/>
    <w:rsid w:val="006405A3"/>
    <w:rsid w:val="006406C9"/>
    <w:rsid w:val="00640E30"/>
    <w:rsid w:val="00640E7D"/>
    <w:rsid w:val="00641088"/>
    <w:rsid w:val="00641350"/>
    <w:rsid w:val="00642B69"/>
    <w:rsid w:val="0064345D"/>
    <w:rsid w:val="00643664"/>
    <w:rsid w:val="0064376A"/>
    <w:rsid w:val="0064398B"/>
    <w:rsid w:val="00643CDD"/>
    <w:rsid w:val="0064446E"/>
    <w:rsid w:val="00644CC3"/>
    <w:rsid w:val="0064505C"/>
    <w:rsid w:val="006457BC"/>
    <w:rsid w:val="0064627F"/>
    <w:rsid w:val="00646A09"/>
    <w:rsid w:val="00646A54"/>
    <w:rsid w:val="00646CC5"/>
    <w:rsid w:val="00646DAF"/>
    <w:rsid w:val="00646DFC"/>
    <w:rsid w:val="0064709C"/>
    <w:rsid w:val="0064737B"/>
    <w:rsid w:val="00647808"/>
    <w:rsid w:val="00647C76"/>
    <w:rsid w:val="0065128E"/>
    <w:rsid w:val="00651445"/>
    <w:rsid w:val="00652C4B"/>
    <w:rsid w:val="00653A3E"/>
    <w:rsid w:val="00653D93"/>
    <w:rsid w:val="00654175"/>
    <w:rsid w:val="006543DF"/>
    <w:rsid w:val="006546A6"/>
    <w:rsid w:val="00654917"/>
    <w:rsid w:val="00654AAF"/>
    <w:rsid w:val="00654AB8"/>
    <w:rsid w:val="00654B1D"/>
    <w:rsid w:val="00654B3D"/>
    <w:rsid w:val="00655C9C"/>
    <w:rsid w:val="00655FF8"/>
    <w:rsid w:val="0065621C"/>
    <w:rsid w:val="00656CE7"/>
    <w:rsid w:val="0065705B"/>
    <w:rsid w:val="006601BF"/>
    <w:rsid w:val="006602F6"/>
    <w:rsid w:val="0066069D"/>
    <w:rsid w:val="00660708"/>
    <w:rsid w:val="006607C4"/>
    <w:rsid w:val="00661E6A"/>
    <w:rsid w:val="006625BF"/>
    <w:rsid w:val="00662CFA"/>
    <w:rsid w:val="00664050"/>
    <w:rsid w:val="006655E4"/>
    <w:rsid w:val="006664B2"/>
    <w:rsid w:val="00666EB0"/>
    <w:rsid w:val="006671D9"/>
    <w:rsid w:val="006673EC"/>
    <w:rsid w:val="00670225"/>
    <w:rsid w:val="00670348"/>
    <w:rsid w:val="00671138"/>
    <w:rsid w:val="0067116F"/>
    <w:rsid w:val="006723FB"/>
    <w:rsid w:val="006725E2"/>
    <w:rsid w:val="00672A28"/>
    <w:rsid w:val="00673408"/>
    <w:rsid w:val="00673AC2"/>
    <w:rsid w:val="00674531"/>
    <w:rsid w:val="0067469B"/>
    <w:rsid w:val="00674F6E"/>
    <w:rsid w:val="00675313"/>
    <w:rsid w:val="0067571B"/>
    <w:rsid w:val="006758BF"/>
    <w:rsid w:val="006778E7"/>
    <w:rsid w:val="00677C4E"/>
    <w:rsid w:val="006801CD"/>
    <w:rsid w:val="00680A27"/>
    <w:rsid w:val="0068183F"/>
    <w:rsid w:val="00681AE9"/>
    <w:rsid w:val="006833AF"/>
    <w:rsid w:val="00683734"/>
    <w:rsid w:val="00683808"/>
    <w:rsid w:val="00683C9F"/>
    <w:rsid w:val="00683F32"/>
    <w:rsid w:val="00684042"/>
    <w:rsid w:val="006840FA"/>
    <w:rsid w:val="00684631"/>
    <w:rsid w:val="00684B38"/>
    <w:rsid w:val="00684CE6"/>
    <w:rsid w:val="00684EE0"/>
    <w:rsid w:val="006854BF"/>
    <w:rsid w:val="00685A3E"/>
    <w:rsid w:val="00685AA1"/>
    <w:rsid w:val="00685C4F"/>
    <w:rsid w:val="00685EA2"/>
    <w:rsid w:val="00685F27"/>
    <w:rsid w:val="006864C0"/>
    <w:rsid w:val="006864F5"/>
    <w:rsid w:val="00686A8C"/>
    <w:rsid w:val="00686D6A"/>
    <w:rsid w:val="00687A07"/>
    <w:rsid w:val="00687A15"/>
    <w:rsid w:val="00687E8B"/>
    <w:rsid w:val="00690301"/>
    <w:rsid w:val="006905D0"/>
    <w:rsid w:val="00691662"/>
    <w:rsid w:val="0069199E"/>
    <w:rsid w:val="00691DA9"/>
    <w:rsid w:val="00692A3A"/>
    <w:rsid w:val="00692B75"/>
    <w:rsid w:val="00692FAE"/>
    <w:rsid w:val="00693023"/>
    <w:rsid w:val="00693029"/>
    <w:rsid w:val="00693379"/>
    <w:rsid w:val="0069381B"/>
    <w:rsid w:val="00693F02"/>
    <w:rsid w:val="00694053"/>
    <w:rsid w:val="006944A2"/>
    <w:rsid w:val="006944C6"/>
    <w:rsid w:val="0069453F"/>
    <w:rsid w:val="0069454E"/>
    <w:rsid w:val="00694610"/>
    <w:rsid w:val="00695168"/>
    <w:rsid w:val="006954EE"/>
    <w:rsid w:val="00695768"/>
    <w:rsid w:val="00695A9E"/>
    <w:rsid w:val="006962BC"/>
    <w:rsid w:val="006964E6"/>
    <w:rsid w:val="00696506"/>
    <w:rsid w:val="006968D7"/>
    <w:rsid w:val="00696906"/>
    <w:rsid w:val="00696E4E"/>
    <w:rsid w:val="00696FB2"/>
    <w:rsid w:val="006974AD"/>
    <w:rsid w:val="0069764D"/>
    <w:rsid w:val="00697FBD"/>
    <w:rsid w:val="006A0692"/>
    <w:rsid w:val="006A0957"/>
    <w:rsid w:val="006A0B0C"/>
    <w:rsid w:val="006A0FF4"/>
    <w:rsid w:val="006A1285"/>
    <w:rsid w:val="006A16C8"/>
    <w:rsid w:val="006A1747"/>
    <w:rsid w:val="006A271A"/>
    <w:rsid w:val="006A2F96"/>
    <w:rsid w:val="006A302D"/>
    <w:rsid w:val="006A3D6C"/>
    <w:rsid w:val="006A46F9"/>
    <w:rsid w:val="006A493B"/>
    <w:rsid w:val="006A493F"/>
    <w:rsid w:val="006A4EAB"/>
    <w:rsid w:val="006A4F6B"/>
    <w:rsid w:val="006A552C"/>
    <w:rsid w:val="006A5849"/>
    <w:rsid w:val="006A600B"/>
    <w:rsid w:val="006A671B"/>
    <w:rsid w:val="006A6D99"/>
    <w:rsid w:val="006A6D9B"/>
    <w:rsid w:val="006A6DFD"/>
    <w:rsid w:val="006A6F80"/>
    <w:rsid w:val="006A725F"/>
    <w:rsid w:val="006A76C6"/>
    <w:rsid w:val="006A770C"/>
    <w:rsid w:val="006A7984"/>
    <w:rsid w:val="006A7FB2"/>
    <w:rsid w:val="006B02E9"/>
    <w:rsid w:val="006B035A"/>
    <w:rsid w:val="006B05F7"/>
    <w:rsid w:val="006B0A71"/>
    <w:rsid w:val="006B17E0"/>
    <w:rsid w:val="006B1865"/>
    <w:rsid w:val="006B18E9"/>
    <w:rsid w:val="006B1BC8"/>
    <w:rsid w:val="006B2049"/>
    <w:rsid w:val="006B2309"/>
    <w:rsid w:val="006B25F3"/>
    <w:rsid w:val="006B28C3"/>
    <w:rsid w:val="006B305A"/>
    <w:rsid w:val="006B3141"/>
    <w:rsid w:val="006B31A2"/>
    <w:rsid w:val="006B4385"/>
    <w:rsid w:val="006B542F"/>
    <w:rsid w:val="006B54EE"/>
    <w:rsid w:val="006B6580"/>
    <w:rsid w:val="006B6A49"/>
    <w:rsid w:val="006B7316"/>
    <w:rsid w:val="006B7531"/>
    <w:rsid w:val="006B773E"/>
    <w:rsid w:val="006B77A4"/>
    <w:rsid w:val="006B7989"/>
    <w:rsid w:val="006C0820"/>
    <w:rsid w:val="006C0E46"/>
    <w:rsid w:val="006C1013"/>
    <w:rsid w:val="006C128C"/>
    <w:rsid w:val="006C1836"/>
    <w:rsid w:val="006C2C6C"/>
    <w:rsid w:val="006C32D0"/>
    <w:rsid w:val="006C37C9"/>
    <w:rsid w:val="006C398C"/>
    <w:rsid w:val="006C3E33"/>
    <w:rsid w:val="006C3F09"/>
    <w:rsid w:val="006C3FC8"/>
    <w:rsid w:val="006C4F66"/>
    <w:rsid w:val="006C564D"/>
    <w:rsid w:val="006C5AD8"/>
    <w:rsid w:val="006C5CE7"/>
    <w:rsid w:val="006C6911"/>
    <w:rsid w:val="006C6A15"/>
    <w:rsid w:val="006C6F9D"/>
    <w:rsid w:val="006C6FE3"/>
    <w:rsid w:val="006C7606"/>
    <w:rsid w:val="006D0111"/>
    <w:rsid w:val="006D0E88"/>
    <w:rsid w:val="006D1D96"/>
    <w:rsid w:val="006D3097"/>
    <w:rsid w:val="006D30C3"/>
    <w:rsid w:val="006D31AC"/>
    <w:rsid w:val="006D37D3"/>
    <w:rsid w:val="006D3C42"/>
    <w:rsid w:val="006D3F9E"/>
    <w:rsid w:val="006D484D"/>
    <w:rsid w:val="006D4BD8"/>
    <w:rsid w:val="006D4C33"/>
    <w:rsid w:val="006D4F36"/>
    <w:rsid w:val="006D53BB"/>
    <w:rsid w:val="006D5C94"/>
    <w:rsid w:val="006D638F"/>
    <w:rsid w:val="006D69CD"/>
    <w:rsid w:val="006D6A5A"/>
    <w:rsid w:val="006D6F25"/>
    <w:rsid w:val="006D73D0"/>
    <w:rsid w:val="006D754E"/>
    <w:rsid w:val="006D75F7"/>
    <w:rsid w:val="006D7709"/>
    <w:rsid w:val="006D787F"/>
    <w:rsid w:val="006D7AC0"/>
    <w:rsid w:val="006D7ECE"/>
    <w:rsid w:val="006E0342"/>
    <w:rsid w:val="006E04F8"/>
    <w:rsid w:val="006E0894"/>
    <w:rsid w:val="006E0CC2"/>
    <w:rsid w:val="006E0D35"/>
    <w:rsid w:val="006E114C"/>
    <w:rsid w:val="006E2468"/>
    <w:rsid w:val="006E2FD4"/>
    <w:rsid w:val="006E34A3"/>
    <w:rsid w:val="006E44F6"/>
    <w:rsid w:val="006E452C"/>
    <w:rsid w:val="006E472A"/>
    <w:rsid w:val="006E5661"/>
    <w:rsid w:val="006E579E"/>
    <w:rsid w:val="006E5BF7"/>
    <w:rsid w:val="006E5F5E"/>
    <w:rsid w:val="006E71D6"/>
    <w:rsid w:val="006E754A"/>
    <w:rsid w:val="006E78BE"/>
    <w:rsid w:val="006F10C3"/>
    <w:rsid w:val="006F15FE"/>
    <w:rsid w:val="006F1855"/>
    <w:rsid w:val="006F1D06"/>
    <w:rsid w:val="006F1EDE"/>
    <w:rsid w:val="006F2074"/>
    <w:rsid w:val="006F233B"/>
    <w:rsid w:val="006F277B"/>
    <w:rsid w:val="006F2CD7"/>
    <w:rsid w:val="006F339E"/>
    <w:rsid w:val="006F3F08"/>
    <w:rsid w:val="006F43CE"/>
    <w:rsid w:val="006F47A2"/>
    <w:rsid w:val="006F4DEC"/>
    <w:rsid w:val="006F5048"/>
    <w:rsid w:val="006F54B8"/>
    <w:rsid w:val="006F5B8D"/>
    <w:rsid w:val="006F5D1D"/>
    <w:rsid w:val="006F6796"/>
    <w:rsid w:val="006F6C66"/>
    <w:rsid w:val="006F71B8"/>
    <w:rsid w:val="006F7307"/>
    <w:rsid w:val="006F77C0"/>
    <w:rsid w:val="00700075"/>
    <w:rsid w:val="007000AC"/>
    <w:rsid w:val="00700536"/>
    <w:rsid w:val="007006C0"/>
    <w:rsid w:val="00700806"/>
    <w:rsid w:val="00700CB0"/>
    <w:rsid w:val="0070121D"/>
    <w:rsid w:val="00701BA0"/>
    <w:rsid w:val="00702648"/>
    <w:rsid w:val="00702889"/>
    <w:rsid w:val="00702B1D"/>
    <w:rsid w:val="0070330E"/>
    <w:rsid w:val="00703FA8"/>
    <w:rsid w:val="00704856"/>
    <w:rsid w:val="00704ADB"/>
    <w:rsid w:val="007057F7"/>
    <w:rsid w:val="00705FEE"/>
    <w:rsid w:val="007065C5"/>
    <w:rsid w:val="00706B9F"/>
    <w:rsid w:val="00706BB3"/>
    <w:rsid w:val="00706C42"/>
    <w:rsid w:val="00706CE6"/>
    <w:rsid w:val="0070729A"/>
    <w:rsid w:val="0070743B"/>
    <w:rsid w:val="00707C6F"/>
    <w:rsid w:val="00710780"/>
    <w:rsid w:val="00710B73"/>
    <w:rsid w:val="0071118D"/>
    <w:rsid w:val="007113F5"/>
    <w:rsid w:val="00711488"/>
    <w:rsid w:val="00711774"/>
    <w:rsid w:val="00711811"/>
    <w:rsid w:val="00711D12"/>
    <w:rsid w:val="00711ED9"/>
    <w:rsid w:val="0071233F"/>
    <w:rsid w:val="0071238B"/>
    <w:rsid w:val="007123E3"/>
    <w:rsid w:val="00713261"/>
    <w:rsid w:val="00713523"/>
    <w:rsid w:val="007136AF"/>
    <w:rsid w:val="007139E4"/>
    <w:rsid w:val="007141D9"/>
    <w:rsid w:val="007143D4"/>
    <w:rsid w:val="007145A9"/>
    <w:rsid w:val="00714914"/>
    <w:rsid w:val="0071582F"/>
    <w:rsid w:val="00715CEA"/>
    <w:rsid w:val="007162F0"/>
    <w:rsid w:val="00716C30"/>
    <w:rsid w:val="00716FDA"/>
    <w:rsid w:val="007171C1"/>
    <w:rsid w:val="007173C5"/>
    <w:rsid w:val="007174BF"/>
    <w:rsid w:val="00717F4B"/>
    <w:rsid w:val="00720096"/>
    <w:rsid w:val="00720C15"/>
    <w:rsid w:val="00721176"/>
    <w:rsid w:val="007218BF"/>
    <w:rsid w:val="00721D19"/>
    <w:rsid w:val="0072265A"/>
    <w:rsid w:val="00722FC1"/>
    <w:rsid w:val="0072329F"/>
    <w:rsid w:val="0072493B"/>
    <w:rsid w:val="00724B11"/>
    <w:rsid w:val="00724CF8"/>
    <w:rsid w:val="00725AE8"/>
    <w:rsid w:val="00725CB0"/>
    <w:rsid w:val="0072645B"/>
    <w:rsid w:val="00726482"/>
    <w:rsid w:val="00726590"/>
    <w:rsid w:val="007267BA"/>
    <w:rsid w:val="00727570"/>
    <w:rsid w:val="007276BD"/>
    <w:rsid w:val="00727809"/>
    <w:rsid w:val="00727880"/>
    <w:rsid w:val="00727911"/>
    <w:rsid w:val="00727DF7"/>
    <w:rsid w:val="00727E43"/>
    <w:rsid w:val="0073006E"/>
    <w:rsid w:val="007305A3"/>
    <w:rsid w:val="0073067B"/>
    <w:rsid w:val="00730731"/>
    <w:rsid w:val="00730A09"/>
    <w:rsid w:val="00730B0A"/>
    <w:rsid w:val="00730CA7"/>
    <w:rsid w:val="007317E6"/>
    <w:rsid w:val="00732BEC"/>
    <w:rsid w:val="007331BA"/>
    <w:rsid w:val="007331CA"/>
    <w:rsid w:val="007332D9"/>
    <w:rsid w:val="007334E5"/>
    <w:rsid w:val="00733CE2"/>
    <w:rsid w:val="007347FD"/>
    <w:rsid w:val="007349D4"/>
    <w:rsid w:val="00734BD3"/>
    <w:rsid w:val="00734E5A"/>
    <w:rsid w:val="00735197"/>
    <w:rsid w:val="00736402"/>
    <w:rsid w:val="00736AA2"/>
    <w:rsid w:val="0073762E"/>
    <w:rsid w:val="007379EB"/>
    <w:rsid w:val="00740376"/>
    <w:rsid w:val="007416CA"/>
    <w:rsid w:val="00741AFD"/>
    <w:rsid w:val="00741FB2"/>
    <w:rsid w:val="00742337"/>
    <w:rsid w:val="00742CEC"/>
    <w:rsid w:val="00743301"/>
    <w:rsid w:val="007435D7"/>
    <w:rsid w:val="00743666"/>
    <w:rsid w:val="00743B06"/>
    <w:rsid w:val="00744CDD"/>
    <w:rsid w:val="00744F46"/>
    <w:rsid w:val="00744FDE"/>
    <w:rsid w:val="00745492"/>
    <w:rsid w:val="0074553C"/>
    <w:rsid w:val="0074598D"/>
    <w:rsid w:val="00745C3F"/>
    <w:rsid w:val="00745F4F"/>
    <w:rsid w:val="0074653A"/>
    <w:rsid w:val="00746E20"/>
    <w:rsid w:val="007470FF"/>
    <w:rsid w:val="00747194"/>
    <w:rsid w:val="0074764E"/>
    <w:rsid w:val="00747B71"/>
    <w:rsid w:val="007501BB"/>
    <w:rsid w:val="00750D6F"/>
    <w:rsid w:val="00750EE4"/>
    <w:rsid w:val="00751137"/>
    <w:rsid w:val="00751BB7"/>
    <w:rsid w:val="007526A9"/>
    <w:rsid w:val="007526D4"/>
    <w:rsid w:val="00752D85"/>
    <w:rsid w:val="007533A5"/>
    <w:rsid w:val="00753479"/>
    <w:rsid w:val="00753606"/>
    <w:rsid w:val="00753849"/>
    <w:rsid w:val="00754D63"/>
    <w:rsid w:val="00754D7B"/>
    <w:rsid w:val="00755164"/>
    <w:rsid w:val="00755620"/>
    <w:rsid w:val="00755BA7"/>
    <w:rsid w:val="00755D99"/>
    <w:rsid w:val="00756794"/>
    <w:rsid w:val="00756801"/>
    <w:rsid w:val="0075685F"/>
    <w:rsid w:val="007571E8"/>
    <w:rsid w:val="00757929"/>
    <w:rsid w:val="00757AA1"/>
    <w:rsid w:val="00757B12"/>
    <w:rsid w:val="00757D93"/>
    <w:rsid w:val="007603A1"/>
    <w:rsid w:val="00760507"/>
    <w:rsid w:val="007607A6"/>
    <w:rsid w:val="00760A5E"/>
    <w:rsid w:val="00760B51"/>
    <w:rsid w:val="00761234"/>
    <w:rsid w:val="00761F3B"/>
    <w:rsid w:val="00761FF9"/>
    <w:rsid w:val="00762232"/>
    <w:rsid w:val="00763EAC"/>
    <w:rsid w:val="0076442B"/>
    <w:rsid w:val="0076525E"/>
    <w:rsid w:val="00765481"/>
    <w:rsid w:val="00765681"/>
    <w:rsid w:val="00765D13"/>
    <w:rsid w:val="0076634F"/>
    <w:rsid w:val="007665DD"/>
    <w:rsid w:val="0076681C"/>
    <w:rsid w:val="00766D9C"/>
    <w:rsid w:val="00766F43"/>
    <w:rsid w:val="0076714D"/>
    <w:rsid w:val="00767D07"/>
    <w:rsid w:val="00767D21"/>
    <w:rsid w:val="00770337"/>
    <w:rsid w:val="00771E3B"/>
    <w:rsid w:val="007728EF"/>
    <w:rsid w:val="00772D57"/>
    <w:rsid w:val="007733FC"/>
    <w:rsid w:val="00774CD3"/>
    <w:rsid w:val="0077554A"/>
    <w:rsid w:val="007758E6"/>
    <w:rsid w:val="007763C9"/>
    <w:rsid w:val="00777CBF"/>
    <w:rsid w:val="00777F26"/>
    <w:rsid w:val="00777F80"/>
    <w:rsid w:val="0078041F"/>
    <w:rsid w:val="007804FE"/>
    <w:rsid w:val="00780C9B"/>
    <w:rsid w:val="007814C0"/>
    <w:rsid w:val="00781759"/>
    <w:rsid w:val="00781D9B"/>
    <w:rsid w:val="00782FF7"/>
    <w:rsid w:val="00783185"/>
    <w:rsid w:val="007831D4"/>
    <w:rsid w:val="007831E8"/>
    <w:rsid w:val="00783E31"/>
    <w:rsid w:val="00784296"/>
    <w:rsid w:val="00785188"/>
    <w:rsid w:val="007851C5"/>
    <w:rsid w:val="0078579C"/>
    <w:rsid w:val="007859E5"/>
    <w:rsid w:val="00785BBD"/>
    <w:rsid w:val="00785D5B"/>
    <w:rsid w:val="0078709C"/>
    <w:rsid w:val="00787D9C"/>
    <w:rsid w:val="00790B5F"/>
    <w:rsid w:val="00791071"/>
    <w:rsid w:val="00791118"/>
    <w:rsid w:val="00791285"/>
    <w:rsid w:val="0079154A"/>
    <w:rsid w:val="00791DD6"/>
    <w:rsid w:val="00792CC4"/>
    <w:rsid w:val="00792E39"/>
    <w:rsid w:val="00792EAE"/>
    <w:rsid w:val="0079350C"/>
    <w:rsid w:val="00793804"/>
    <w:rsid w:val="00793A87"/>
    <w:rsid w:val="00794C24"/>
    <w:rsid w:val="00794CC2"/>
    <w:rsid w:val="007953F1"/>
    <w:rsid w:val="007958BC"/>
    <w:rsid w:val="00795A5E"/>
    <w:rsid w:val="00795DA6"/>
    <w:rsid w:val="00796B33"/>
    <w:rsid w:val="00797662"/>
    <w:rsid w:val="0079780B"/>
    <w:rsid w:val="00797E9E"/>
    <w:rsid w:val="007A0374"/>
    <w:rsid w:val="007A0443"/>
    <w:rsid w:val="007A074C"/>
    <w:rsid w:val="007A0A58"/>
    <w:rsid w:val="007A0F0B"/>
    <w:rsid w:val="007A10F3"/>
    <w:rsid w:val="007A111F"/>
    <w:rsid w:val="007A17A3"/>
    <w:rsid w:val="007A17DE"/>
    <w:rsid w:val="007A1A14"/>
    <w:rsid w:val="007A1D73"/>
    <w:rsid w:val="007A2416"/>
    <w:rsid w:val="007A2A90"/>
    <w:rsid w:val="007A2E06"/>
    <w:rsid w:val="007A37EF"/>
    <w:rsid w:val="007A3D65"/>
    <w:rsid w:val="007A42E1"/>
    <w:rsid w:val="007A48A3"/>
    <w:rsid w:val="007A4BD8"/>
    <w:rsid w:val="007A52C2"/>
    <w:rsid w:val="007A632E"/>
    <w:rsid w:val="007A6789"/>
    <w:rsid w:val="007A6902"/>
    <w:rsid w:val="007A6CEA"/>
    <w:rsid w:val="007A6F15"/>
    <w:rsid w:val="007A702E"/>
    <w:rsid w:val="007A7252"/>
    <w:rsid w:val="007A7855"/>
    <w:rsid w:val="007A7B2C"/>
    <w:rsid w:val="007B01C1"/>
    <w:rsid w:val="007B1148"/>
    <w:rsid w:val="007B22C9"/>
    <w:rsid w:val="007B230B"/>
    <w:rsid w:val="007B23E9"/>
    <w:rsid w:val="007B246B"/>
    <w:rsid w:val="007B2C96"/>
    <w:rsid w:val="007B389A"/>
    <w:rsid w:val="007B3EED"/>
    <w:rsid w:val="007B43E7"/>
    <w:rsid w:val="007B4BC4"/>
    <w:rsid w:val="007B4CF3"/>
    <w:rsid w:val="007B4E6C"/>
    <w:rsid w:val="007B60BD"/>
    <w:rsid w:val="007B6184"/>
    <w:rsid w:val="007B6452"/>
    <w:rsid w:val="007B67CC"/>
    <w:rsid w:val="007B6AF3"/>
    <w:rsid w:val="007B6CCF"/>
    <w:rsid w:val="007B6D6F"/>
    <w:rsid w:val="007B75F1"/>
    <w:rsid w:val="007B788A"/>
    <w:rsid w:val="007B7A6A"/>
    <w:rsid w:val="007B7F69"/>
    <w:rsid w:val="007C07CE"/>
    <w:rsid w:val="007C0DC4"/>
    <w:rsid w:val="007C1096"/>
    <w:rsid w:val="007C207B"/>
    <w:rsid w:val="007C2296"/>
    <w:rsid w:val="007C28D2"/>
    <w:rsid w:val="007C2917"/>
    <w:rsid w:val="007C2E84"/>
    <w:rsid w:val="007C30DE"/>
    <w:rsid w:val="007C37B3"/>
    <w:rsid w:val="007C395D"/>
    <w:rsid w:val="007C43EF"/>
    <w:rsid w:val="007C5878"/>
    <w:rsid w:val="007C5A47"/>
    <w:rsid w:val="007C5E70"/>
    <w:rsid w:val="007C631C"/>
    <w:rsid w:val="007C71EB"/>
    <w:rsid w:val="007C7B49"/>
    <w:rsid w:val="007D00D9"/>
    <w:rsid w:val="007D01B7"/>
    <w:rsid w:val="007D08D3"/>
    <w:rsid w:val="007D093D"/>
    <w:rsid w:val="007D09EC"/>
    <w:rsid w:val="007D09F2"/>
    <w:rsid w:val="007D0DE2"/>
    <w:rsid w:val="007D161E"/>
    <w:rsid w:val="007D1BE9"/>
    <w:rsid w:val="007D1FED"/>
    <w:rsid w:val="007D23E2"/>
    <w:rsid w:val="007D2815"/>
    <w:rsid w:val="007D28BC"/>
    <w:rsid w:val="007D2A94"/>
    <w:rsid w:val="007D2FED"/>
    <w:rsid w:val="007D3367"/>
    <w:rsid w:val="007D3699"/>
    <w:rsid w:val="007D37D5"/>
    <w:rsid w:val="007D4840"/>
    <w:rsid w:val="007D496D"/>
    <w:rsid w:val="007D5AA2"/>
    <w:rsid w:val="007D61D6"/>
    <w:rsid w:val="007D69CB"/>
    <w:rsid w:val="007D6AD8"/>
    <w:rsid w:val="007D7081"/>
    <w:rsid w:val="007D73B1"/>
    <w:rsid w:val="007D7A71"/>
    <w:rsid w:val="007D7D81"/>
    <w:rsid w:val="007E026A"/>
    <w:rsid w:val="007E08D6"/>
    <w:rsid w:val="007E0EC1"/>
    <w:rsid w:val="007E0F4E"/>
    <w:rsid w:val="007E1082"/>
    <w:rsid w:val="007E10B9"/>
    <w:rsid w:val="007E114C"/>
    <w:rsid w:val="007E171B"/>
    <w:rsid w:val="007E1729"/>
    <w:rsid w:val="007E2412"/>
    <w:rsid w:val="007E2554"/>
    <w:rsid w:val="007E2A77"/>
    <w:rsid w:val="007E2E6F"/>
    <w:rsid w:val="007E2F30"/>
    <w:rsid w:val="007E2FB5"/>
    <w:rsid w:val="007E3026"/>
    <w:rsid w:val="007E36B7"/>
    <w:rsid w:val="007E37DD"/>
    <w:rsid w:val="007E3BA7"/>
    <w:rsid w:val="007E3FBB"/>
    <w:rsid w:val="007E472C"/>
    <w:rsid w:val="007E52FE"/>
    <w:rsid w:val="007E5683"/>
    <w:rsid w:val="007E56CF"/>
    <w:rsid w:val="007E57A3"/>
    <w:rsid w:val="007E62F5"/>
    <w:rsid w:val="007E669E"/>
    <w:rsid w:val="007E67EE"/>
    <w:rsid w:val="007E6FE3"/>
    <w:rsid w:val="007E72AE"/>
    <w:rsid w:val="007E7BCF"/>
    <w:rsid w:val="007F03A0"/>
    <w:rsid w:val="007F093F"/>
    <w:rsid w:val="007F115C"/>
    <w:rsid w:val="007F1D5B"/>
    <w:rsid w:val="007F1FA6"/>
    <w:rsid w:val="007F26E4"/>
    <w:rsid w:val="007F2C0D"/>
    <w:rsid w:val="007F2D69"/>
    <w:rsid w:val="007F313F"/>
    <w:rsid w:val="007F348D"/>
    <w:rsid w:val="007F35DB"/>
    <w:rsid w:val="007F3A86"/>
    <w:rsid w:val="007F3F8A"/>
    <w:rsid w:val="007F412F"/>
    <w:rsid w:val="007F4A16"/>
    <w:rsid w:val="007F4DDA"/>
    <w:rsid w:val="007F4DF2"/>
    <w:rsid w:val="007F5673"/>
    <w:rsid w:val="007F5783"/>
    <w:rsid w:val="007F57F9"/>
    <w:rsid w:val="007F5991"/>
    <w:rsid w:val="007F5A52"/>
    <w:rsid w:val="007F5CAA"/>
    <w:rsid w:val="007F6051"/>
    <w:rsid w:val="007F63EB"/>
    <w:rsid w:val="007F667E"/>
    <w:rsid w:val="007F6915"/>
    <w:rsid w:val="007F6D85"/>
    <w:rsid w:val="007F718A"/>
    <w:rsid w:val="007F7AA0"/>
    <w:rsid w:val="007F7D30"/>
    <w:rsid w:val="007F7D87"/>
    <w:rsid w:val="00800077"/>
    <w:rsid w:val="00800834"/>
    <w:rsid w:val="008008A5"/>
    <w:rsid w:val="00802B70"/>
    <w:rsid w:val="00803213"/>
    <w:rsid w:val="0080326A"/>
    <w:rsid w:val="00803AB0"/>
    <w:rsid w:val="00803C26"/>
    <w:rsid w:val="00804036"/>
    <w:rsid w:val="00804282"/>
    <w:rsid w:val="00804459"/>
    <w:rsid w:val="008057AA"/>
    <w:rsid w:val="0080616B"/>
    <w:rsid w:val="008063D2"/>
    <w:rsid w:val="00806688"/>
    <w:rsid w:val="00807528"/>
    <w:rsid w:val="00807D42"/>
    <w:rsid w:val="00810637"/>
    <w:rsid w:val="008108C4"/>
    <w:rsid w:val="00810C63"/>
    <w:rsid w:val="00811011"/>
    <w:rsid w:val="008111F3"/>
    <w:rsid w:val="00811862"/>
    <w:rsid w:val="00812345"/>
    <w:rsid w:val="008124D4"/>
    <w:rsid w:val="008126CE"/>
    <w:rsid w:val="00812EC2"/>
    <w:rsid w:val="00813820"/>
    <w:rsid w:val="00813AB5"/>
    <w:rsid w:val="0081403F"/>
    <w:rsid w:val="00814600"/>
    <w:rsid w:val="00814EC6"/>
    <w:rsid w:val="00814FA7"/>
    <w:rsid w:val="0081511A"/>
    <w:rsid w:val="00815AFF"/>
    <w:rsid w:val="00816383"/>
    <w:rsid w:val="00817C9D"/>
    <w:rsid w:val="00817F8F"/>
    <w:rsid w:val="00820552"/>
    <w:rsid w:val="00820CEC"/>
    <w:rsid w:val="00821074"/>
    <w:rsid w:val="00821DFA"/>
    <w:rsid w:val="0082289B"/>
    <w:rsid w:val="008236DF"/>
    <w:rsid w:val="008236E5"/>
    <w:rsid w:val="00823735"/>
    <w:rsid w:val="00823AB0"/>
    <w:rsid w:val="00823CEB"/>
    <w:rsid w:val="00823E77"/>
    <w:rsid w:val="00824008"/>
    <w:rsid w:val="008240FF"/>
    <w:rsid w:val="0082425E"/>
    <w:rsid w:val="008247AD"/>
    <w:rsid w:val="0082496B"/>
    <w:rsid w:val="008264B6"/>
    <w:rsid w:val="008266C4"/>
    <w:rsid w:val="008273E3"/>
    <w:rsid w:val="00827BF9"/>
    <w:rsid w:val="00827DEC"/>
    <w:rsid w:val="00830298"/>
    <w:rsid w:val="008304EF"/>
    <w:rsid w:val="00830A32"/>
    <w:rsid w:val="008311E2"/>
    <w:rsid w:val="00831337"/>
    <w:rsid w:val="00832AF9"/>
    <w:rsid w:val="00832D31"/>
    <w:rsid w:val="00832F9D"/>
    <w:rsid w:val="00832FF9"/>
    <w:rsid w:val="0083346A"/>
    <w:rsid w:val="00833963"/>
    <w:rsid w:val="008339DC"/>
    <w:rsid w:val="00833B66"/>
    <w:rsid w:val="00833D15"/>
    <w:rsid w:val="00834A2E"/>
    <w:rsid w:val="00834C0D"/>
    <w:rsid w:val="00834D18"/>
    <w:rsid w:val="0083511E"/>
    <w:rsid w:val="008353ED"/>
    <w:rsid w:val="00835710"/>
    <w:rsid w:val="00835904"/>
    <w:rsid w:val="00836B35"/>
    <w:rsid w:val="00836D38"/>
    <w:rsid w:val="00837200"/>
    <w:rsid w:val="00837266"/>
    <w:rsid w:val="008374C7"/>
    <w:rsid w:val="00837713"/>
    <w:rsid w:val="00837C14"/>
    <w:rsid w:val="00840233"/>
    <w:rsid w:val="008403C4"/>
    <w:rsid w:val="008405AE"/>
    <w:rsid w:val="0084080E"/>
    <w:rsid w:val="00840E72"/>
    <w:rsid w:val="00841EAC"/>
    <w:rsid w:val="00841FF6"/>
    <w:rsid w:val="008420DB"/>
    <w:rsid w:val="00842188"/>
    <w:rsid w:val="00842932"/>
    <w:rsid w:val="008429FE"/>
    <w:rsid w:val="00842A2B"/>
    <w:rsid w:val="00842B31"/>
    <w:rsid w:val="00842B58"/>
    <w:rsid w:val="00843450"/>
    <w:rsid w:val="0084352D"/>
    <w:rsid w:val="0084359F"/>
    <w:rsid w:val="00843F40"/>
    <w:rsid w:val="0084418C"/>
    <w:rsid w:val="008446C9"/>
    <w:rsid w:val="00845187"/>
    <w:rsid w:val="00845737"/>
    <w:rsid w:val="00845D26"/>
    <w:rsid w:val="008464C1"/>
    <w:rsid w:val="008466E0"/>
    <w:rsid w:val="00846785"/>
    <w:rsid w:val="0084691F"/>
    <w:rsid w:val="008474CF"/>
    <w:rsid w:val="00847606"/>
    <w:rsid w:val="00847CD1"/>
    <w:rsid w:val="008505B8"/>
    <w:rsid w:val="00850630"/>
    <w:rsid w:val="00850A1B"/>
    <w:rsid w:val="00850E99"/>
    <w:rsid w:val="00850EF9"/>
    <w:rsid w:val="008513A5"/>
    <w:rsid w:val="008514BB"/>
    <w:rsid w:val="00851A12"/>
    <w:rsid w:val="0085242C"/>
    <w:rsid w:val="008529B4"/>
    <w:rsid w:val="00852A1B"/>
    <w:rsid w:val="00852B4B"/>
    <w:rsid w:val="00852DD6"/>
    <w:rsid w:val="008532D9"/>
    <w:rsid w:val="008539EE"/>
    <w:rsid w:val="00853A92"/>
    <w:rsid w:val="008542D1"/>
    <w:rsid w:val="0085451F"/>
    <w:rsid w:val="008546DB"/>
    <w:rsid w:val="00855665"/>
    <w:rsid w:val="008557E8"/>
    <w:rsid w:val="00855904"/>
    <w:rsid w:val="00856148"/>
    <w:rsid w:val="008562EA"/>
    <w:rsid w:val="00856442"/>
    <w:rsid w:val="00856608"/>
    <w:rsid w:val="008567B4"/>
    <w:rsid w:val="0085772C"/>
    <w:rsid w:val="008603D1"/>
    <w:rsid w:val="0086090E"/>
    <w:rsid w:val="00860B19"/>
    <w:rsid w:val="008610E9"/>
    <w:rsid w:val="00861A68"/>
    <w:rsid w:val="00861B53"/>
    <w:rsid w:val="0086210B"/>
    <w:rsid w:val="00862941"/>
    <w:rsid w:val="00862C0A"/>
    <w:rsid w:val="00863318"/>
    <w:rsid w:val="00863676"/>
    <w:rsid w:val="00863FE4"/>
    <w:rsid w:val="0086493F"/>
    <w:rsid w:val="008651FD"/>
    <w:rsid w:val="0086531F"/>
    <w:rsid w:val="00865B4E"/>
    <w:rsid w:val="008660E9"/>
    <w:rsid w:val="008669F1"/>
    <w:rsid w:val="00867066"/>
    <w:rsid w:val="00867E7F"/>
    <w:rsid w:val="00867F2F"/>
    <w:rsid w:val="00870022"/>
    <w:rsid w:val="008701B5"/>
    <w:rsid w:val="00871008"/>
    <w:rsid w:val="00871217"/>
    <w:rsid w:val="00871870"/>
    <w:rsid w:val="00871AE2"/>
    <w:rsid w:val="00871DD7"/>
    <w:rsid w:val="00871EF3"/>
    <w:rsid w:val="00873335"/>
    <w:rsid w:val="00873C8C"/>
    <w:rsid w:val="0087452B"/>
    <w:rsid w:val="0087468D"/>
    <w:rsid w:val="00874839"/>
    <w:rsid w:val="00874DF5"/>
    <w:rsid w:val="00875827"/>
    <w:rsid w:val="00875C8A"/>
    <w:rsid w:val="00875D6F"/>
    <w:rsid w:val="0087641E"/>
    <w:rsid w:val="0087771A"/>
    <w:rsid w:val="00877916"/>
    <w:rsid w:val="0088079E"/>
    <w:rsid w:val="00880CF2"/>
    <w:rsid w:val="00880D4E"/>
    <w:rsid w:val="0088117D"/>
    <w:rsid w:val="008815C2"/>
    <w:rsid w:val="0088180E"/>
    <w:rsid w:val="008824B7"/>
    <w:rsid w:val="00882938"/>
    <w:rsid w:val="00882CC5"/>
    <w:rsid w:val="00882ED4"/>
    <w:rsid w:val="00883360"/>
    <w:rsid w:val="008834E4"/>
    <w:rsid w:val="008840C9"/>
    <w:rsid w:val="00884552"/>
    <w:rsid w:val="008849DA"/>
    <w:rsid w:val="00884C7A"/>
    <w:rsid w:val="0088537F"/>
    <w:rsid w:val="00885D58"/>
    <w:rsid w:val="00885EE8"/>
    <w:rsid w:val="00885FD2"/>
    <w:rsid w:val="00886047"/>
    <w:rsid w:val="008873C4"/>
    <w:rsid w:val="0088767D"/>
    <w:rsid w:val="00887701"/>
    <w:rsid w:val="00887822"/>
    <w:rsid w:val="00890389"/>
    <w:rsid w:val="00890857"/>
    <w:rsid w:val="00890EB6"/>
    <w:rsid w:val="00891108"/>
    <w:rsid w:val="0089129D"/>
    <w:rsid w:val="008917CC"/>
    <w:rsid w:val="008920BF"/>
    <w:rsid w:val="00892379"/>
    <w:rsid w:val="0089259F"/>
    <w:rsid w:val="00893A25"/>
    <w:rsid w:val="00893AF4"/>
    <w:rsid w:val="00894628"/>
    <w:rsid w:val="00894B93"/>
    <w:rsid w:val="008950A8"/>
    <w:rsid w:val="0089570C"/>
    <w:rsid w:val="0089592D"/>
    <w:rsid w:val="00895A39"/>
    <w:rsid w:val="00895C4D"/>
    <w:rsid w:val="00896D85"/>
    <w:rsid w:val="00897146"/>
    <w:rsid w:val="00897895"/>
    <w:rsid w:val="00897ABB"/>
    <w:rsid w:val="008A0C5E"/>
    <w:rsid w:val="008A1115"/>
    <w:rsid w:val="008A1467"/>
    <w:rsid w:val="008A1B7C"/>
    <w:rsid w:val="008A2954"/>
    <w:rsid w:val="008A2F7E"/>
    <w:rsid w:val="008A3052"/>
    <w:rsid w:val="008A332B"/>
    <w:rsid w:val="008A36C6"/>
    <w:rsid w:val="008A43A5"/>
    <w:rsid w:val="008A499D"/>
    <w:rsid w:val="008A49C4"/>
    <w:rsid w:val="008A4CF8"/>
    <w:rsid w:val="008A5119"/>
    <w:rsid w:val="008A610E"/>
    <w:rsid w:val="008A61D0"/>
    <w:rsid w:val="008A6487"/>
    <w:rsid w:val="008A6937"/>
    <w:rsid w:val="008A78DE"/>
    <w:rsid w:val="008A7BAE"/>
    <w:rsid w:val="008A7C1A"/>
    <w:rsid w:val="008B0200"/>
    <w:rsid w:val="008B0209"/>
    <w:rsid w:val="008B06CE"/>
    <w:rsid w:val="008B11A2"/>
    <w:rsid w:val="008B17C7"/>
    <w:rsid w:val="008B1A12"/>
    <w:rsid w:val="008B1E81"/>
    <w:rsid w:val="008B1FAA"/>
    <w:rsid w:val="008B23F9"/>
    <w:rsid w:val="008B26F3"/>
    <w:rsid w:val="008B35F7"/>
    <w:rsid w:val="008B385E"/>
    <w:rsid w:val="008B3984"/>
    <w:rsid w:val="008B425D"/>
    <w:rsid w:val="008B4302"/>
    <w:rsid w:val="008B46FE"/>
    <w:rsid w:val="008B4865"/>
    <w:rsid w:val="008B4875"/>
    <w:rsid w:val="008B4A2A"/>
    <w:rsid w:val="008B5225"/>
    <w:rsid w:val="008B585A"/>
    <w:rsid w:val="008B5F35"/>
    <w:rsid w:val="008B60C4"/>
    <w:rsid w:val="008B617C"/>
    <w:rsid w:val="008B6294"/>
    <w:rsid w:val="008B6766"/>
    <w:rsid w:val="008B6C50"/>
    <w:rsid w:val="008B6E5F"/>
    <w:rsid w:val="008B72D4"/>
    <w:rsid w:val="008B7F49"/>
    <w:rsid w:val="008C033C"/>
    <w:rsid w:val="008C0723"/>
    <w:rsid w:val="008C0EE9"/>
    <w:rsid w:val="008C1059"/>
    <w:rsid w:val="008C1277"/>
    <w:rsid w:val="008C14F4"/>
    <w:rsid w:val="008C1AEC"/>
    <w:rsid w:val="008C29B5"/>
    <w:rsid w:val="008C2A28"/>
    <w:rsid w:val="008C3321"/>
    <w:rsid w:val="008C38A5"/>
    <w:rsid w:val="008C3BD1"/>
    <w:rsid w:val="008C3DBC"/>
    <w:rsid w:val="008C42B1"/>
    <w:rsid w:val="008C453D"/>
    <w:rsid w:val="008C4F59"/>
    <w:rsid w:val="008C4FFE"/>
    <w:rsid w:val="008C5677"/>
    <w:rsid w:val="008C576D"/>
    <w:rsid w:val="008C5DA0"/>
    <w:rsid w:val="008C5F52"/>
    <w:rsid w:val="008C6226"/>
    <w:rsid w:val="008C750D"/>
    <w:rsid w:val="008C7E07"/>
    <w:rsid w:val="008C7FE4"/>
    <w:rsid w:val="008D0202"/>
    <w:rsid w:val="008D0463"/>
    <w:rsid w:val="008D0691"/>
    <w:rsid w:val="008D0B77"/>
    <w:rsid w:val="008D0DAC"/>
    <w:rsid w:val="008D14D4"/>
    <w:rsid w:val="008D1887"/>
    <w:rsid w:val="008D1A20"/>
    <w:rsid w:val="008D1A32"/>
    <w:rsid w:val="008D21C1"/>
    <w:rsid w:val="008D2B82"/>
    <w:rsid w:val="008D2C24"/>
    <w:rsid w:val="008D3BF2"/>
    <w:rsid w:val="008D4179"/>
    <w:rsid w:val="008D46D7"/>
    <w:rsid w:val="008D4EB8"/>
    <w:rsid w:val="008D5BE4"/>
    <w:rsid w:val="008D5BE8"/>
    <w:rsid w:val="008D5D0C"/>
    <w:rsid w:val="008D609E"/>
    <w:rsid w:val="008D63D9"/>
    <w:rsid w:val="008D6791"/>
    <w:rsid w:val="008D6A91"/>
    <w:rsid w:val="008D6DBF"/>
    <w:rsid w:val="008D6F8B"/>
    <w:rsid w:val="008D74EE"/>
    <w:rsid w:val="008E020D"/>
    <w:rsid w:val="008E0352"/>
    <w:rsid w:val="008E0570"/>
    <w:rsid w:val="008E169A"/>
    <w:rsid w:val="008E189B"/>
    <w:rsid w:val="008E1F78"/>
    <w:rsid w:val="008E2178"/>
    <w:rsid w:val="008E21A4"/>
    <w:rsid w:val="008E2433"/>
    <w:rsid w:val="008E2676"/>
    <w:rsid w:val="008E2973"/>
    <w:rsid w:val="008E2E79"/>
    <w:rsid w:val="008E2FAF"/>
    <w:rsid w:val="008E33B8"/>
    <w:rsid w:val="008E3C9D"/>
    <w:rsid w:val="008E4584"/>
    <w:rsid w:val="008E467A"/>
    <w:rsid w:val="008E5458"/>
    <w:rsid w:val="008E65A4"/>
    <w:rsid w:val="008E6A18"/>
    <w:rsid w:val="008E6CC5"/>
    <w:rsid w:val="008E6DBE"/>
    <w:rsid w:val="008E7378"/>
    <w:rsid w:val="008E756E"/>
    <w:rsid w:val="008E769B"/>
    <w:rsid w:val="008E78EB"/>
    <w:rsid w:val="008F0341"/>
    <w:rsid w:val="008F05F3"/>
    <w:rsid w:val="008F084B"/>
    <w:rsid w:val="008F10E7"/>
    <w:rsid w:val="008F1161"/>
    <w:rsid w:val="008F14D7"/>
    <w:rsid w:val="008F1A1F"/>
    <w:rsid w:val="008F1F44"/>
    <w:rsid w:val="008F2376"/>
    <w:rsid w:val="008F2599"/>
    <w:rsid w:val="008F281D"/>
    <w:rsid w:val="008F3821"/>
    <w:rsid w:val="008F3B13"/>
    <w:rsid w:val="008F3B8C"/>
    <w:rsid w:val="008F3D97"/>
    <w:rsid w:val="008F578B"/>
    <w:rsid w:val="008F60B6"/>
    <w:rsid w:val="008F6162"/>
    <w:rsid w:val="008F6836"/>
    <w:rsid w:val="008F6839"/>
    <w:rsid w:val="008F6E3F"/>
    <w:rsid w:val="008F6F5D"/>
    <w:rsid w:val="008F7074"/>
    <w:rsid w:val="008F7087"/>
    <w:rsid w:val="008F7091"/>
    <w:rsid w:val="008F7852"/>
    <w:rsid w:val="008F7B38"/>
    <w:rsid w:val="008F7C11"/>
    <w:rsid w:val="008F7DD9"/>
    <w:rsid w:val="00900EBA"/>
    <w:rsid w:val="009010D6"/>
    <w:rsid w:val="009014AF"/>
    <w:rsid w:val="009017A9"/>
    <w:rsid w:val="0090190B"/>
    <w:rsid w:val="009020F5"/>
    <w:rsid w:val="009027CE"/>
    <w:rsid w:val="00902B4C"/>
    <w:rsid w:val="00902D92"/>
    <w:rsid w:val="00902FF3"/>
    <w:rsid w:val="0090438F"/>
    <w:rsid w:val="00904555"/>
    <w:rsid w:val="00905131"/>
    <w:rsid w:val="0090540F"/>
    <w:rsid w:val="00905E09"/>
    <w:rsid w:val="009066F0"/>
    <w:rsid w:val="00906B4E"/>
    <w:rsid w:val="00906ED3"/>
    <w:rsid w:val="00906F7C"/>
    <w:rsid w:val="0090722C"/>
    <w:rsid w:val="00907338"/>
    <w:rsid w:val="00907F82"/>
    <w:rsid w:val="00910C78"/>
    <w:rsid w:val="00910EA7"/>
    <w:rsid w:val="00910F6C"/>
    <w:rsid w:val="00911143"/>
    <w:rsid w:val="00911489"/>
    <w:rsid w:val="009117BE"/>
    <w:rsid w:val="00911B20"/>
    <w:rsid w:val="009120B4"/>
    <w:rsid w:val="009124DA"/>
    <w:rsid w:val="00912F1E"/>
    <w:rsid w:val="00913694"/>
    <w:rsid w:val="009137CF"/>
    <w:rsid w:val="0091481D"/>
    <w:rsid w:val="009157A2"/>
    <w:rsid w:val="00915BBA"/>
    <w:rsid w:val="00915C50"/>
    <w:rsid w:val="00915FF6"/>
    <w:rsid w:val="0091608B"/>
    <w:rsid w:val="0091627D"/>
    <w:rsid w:val="009167FE"/>
    <w:rsid w:val="009169F4"/>
    <w:rsid w:val="00916B75"/>
    <w:rsid w:val="00916C0C"/>
    <w:rsid w:val="00916FDC"/>
    <w:rsid w:val="0091702E"/>
    <w:rsid w:val="00917B15"/>
    <w:rsid w:val="009201F5"/>
    <w:rsid w:val="00920439"/>
    <w:rsid w:val="009209EC"/>
    <w:rsid w:val="00920B09"/>
    <w:rsid w:val="00920B91"/>
    <w:rsid w:val="00921115"/>
    <w:rsid w:val="009213AE"/>
    <w:rsid w:val="00921596"/>
    <w:rsid w:val="009243C1"/>
    <w:rsid w:val="009258CB"/>
    <w:rsid w:val="00925FAA"/>
    <w:rsid w:val="00926B9B"/>
    <w:rsid w:val="00926D1B"/>
    <w:rsid w:val="00926D33"/>
    <w:rsid w:val="009278B1"/>
    <w:rsid w:val="00927C7A"/>
    <w:rsid w:val="00927E30"/>
    <w:rsid w:val="00927FDF"/>
    <w:rsid w:val="00930D2E"/>
    <w:rsid w:val="00930F65"/>
    <w:rsid w:val="0093185C"/>
    <w:rsid w:val="00931C0D"/>
    <w:rsid w:val="0093288E"/>
    <w:rsid w:val="00932F9E"/>
    <w:rsid w:val="0093300A"/>
    <w:rsid w:val="00933375"/>
    <w:rsid w:val="00933400"/>
    <w:rsid w:val="009334DB"/>
    <w:rsid w:val="00933E5E"/>
    <w:rsid w:val="00933FD4"/>
    <w:rsid w:val="00934195"/>
    <w:rsid w:val="0093445D"/>
    <w:rsid w:val="009351CD"/>
    <w:rsid w:val="00935380"/>
    <w:rsid w:val="009358A0"/>
    <w:rsid w:val="00935B36"/>
    <w:rsid w:val="00935C51"/>
    <w:rsid w:val="00935CD3"/>
    <w:rsid w:val="00935EC2"/>
    <w:rsid w:val="009361F1"/>
    <w:rsid w:val="0093627A"/>
    <w:rsid w:val="00940E4E"/>
    <w:rsid w:val="00941023"/>
    <w:rsid w:val="009417B7"/>
    <w:rsid w:val="00941984"/>
    <w:rsid w:val="009421B3"/>
    <w:rsid w:val="00942DFB"/>
    <w:rsid w:val="00942FD4"/>
    <w:rsid w:val="00943600"/>
    <w:rsid w:val="009436CF"/>
    <w:rsid w:val="009437CE"/>
    <w:rsid w:val="009438E3"/>
    <w:rsid w:val="00943EDA"/>
    <w:rsid w:val="009445BC"/>
    <w:rsid w:val="009446BC"/>
    <w:rsid w:val="0094554D"/>
    <w:rsid w:val="00945A37"/>
    <w:rsid w:val="00945A6E"/>
    <w:rsid w:val="00945A71"/>
    <w:rsid w:val="00945D0C"/>
    <w:rsid w:val="00945FBA"/>
    <w:rsid w:val="00946094"/>
    <w:rsid w:val="009460A4"/>
    <w:rsid w:val="009466B8"/>
    <w:rsid w:val="009468B2"/>
    <w:rsid w:val="00946CBF"/>
    <w:rsid w:val="00947985"/>
    <w:rsid w:val="009479CA"/>
    <w:rsid w:val="00950DFA"/>
    <w:rsid w:val="009511ED"/>
    <w:rsid w:val="009517A9"/>
    <w:rsid w:val="009517C1"/>
    <w:rsid w:val="00951EDD"/>
    <w:rsid w:val="00953023"/>
    <w:rsid w:val="00953836"/>
    <w:rsid w:val="009543BE"/>
    <w:rsid w:val="00954685"/>
    <w:rsid w:val="00954835"/>
    <w:rsid w:val="0095485C"/>
    <w:rsid w:val="009558C5"/>
    <w:rsid w:val="00955C70"/>
    <w:rsid w:val="00955D19"/>
    <w:rsid w:val="00955F4A"/>
    <w:rsid w:val="0095623E"/>
    <w:rsid w:val="00956BC3"/>
    <w:rsid w:val="0095744C"/>
    <w:rsid w:val="00957A51"/>
    <w:rsid w:val="00957D78"/>
    <w:rsid w:val="00957E38"/>
    <w:rsid w:val="00957F30"/>
    <w:rsid w:val="0096054C"/>
    <w:rsid w:val="00960A57"/>
    <w:rsid w:val="00960BB4"/>
    <w:rsid w:val="00960E8C"/>
    <w:rsid w:val="00961DED"/>
    <w:rsid w:val="00961E6A"/>
    <w:rsid w:val="0096280D"/>
    <w:rsid w:val="009630DA"/>
    <w:rsid w:val="00963AF3"/>
    <w:rsid w:val="00963F2B"/>
    <w:rsid w:val="009647EB"/>
    <w:rsid w:val="009651A9"/>
    <w:rsid w:val="00965668"/>
    <w:rsid w:val="00965E4A"/>
    <w:rsid w:val="0096646C"/>
    <w:rsid w:val="00966620"/>
    <w:rsid w:val="00966BDF"/>
    <w:rsid w:val="00966FE1"/>
    <w:rsid w:val="00967A2C"/>
    <w:rsid w:val="00967B67"/>
    <w:rsid w:val="00967FCB"/>
    <w:rsid w:val="0097001A"/>
    <w:rsid w:val="00972E6B"/>
    <w:rsid w:val="00973D32"/>
    <w:rsid w:val="00973F03"/>
    <w:rsid w:val="00973FE6"/>
    <w:rsid w:val="00974664"/>
    <w:rsid w:val="0097487C"/>
    <w:rsid w:val="00974B49"/>
    <w:rsid w:val="00974E1B"/>
    <w:rsid w:val="009754C6"/>
    <w:rsid w:val="00975C02"/>
    <w:rsid w:val="00975E30"/>
    <w:rsid w:val="009764EF"/>
    <w:rsid w:val="00976759"/>
    <w:rsid w:val="00977A63"/>
    <w:rsid w:val="009805AB"/>
    <w:rsid w:val="00980760"/>
    <w:rsid w:val="00980B14"/>
    <w:rsid w:val="009810B5"/>
    <w:rsid w:val="00981115"/>
    <w:rsid w:val="00981237"/>
    <w:rsid w:val="009814F8"/>
    <w:rsid w:val="0098165A"/>
    <w:rsid w:val="009816FB"/>
    <w:rsid w:val="00981872"/>
    <w:rsid w:val="0098291D"/>
    <w:rsid w:val="00982A11"/>
    <w:rsid w:val="0098375C"/>
    <w:rsid w:val="00983B8A"/>
    <w:rsid w:val="00984AA0"/>
    <w:rsid w:val="0098569D"/>
    <w:rsid w:val="00985A98"/>
    <w:rsid w:val="00985C83"/>
    <w:rsid w:val="00985CDE"/>
    <w:rsid w:val="00985E20"/>
    <w:rsid w:val="0098635C"/>
    <w:rsid w:val="009867D6"/>
    <w:rsid w:val="00986A34"/>
    <w:rsid w:val="0098709C"/>
    <w:rsid w:val="00987714"/>
    <w:rsid w:val="00987A0D"/>
    <w:rsid w:val="00987DA7"/>
    <w:rsid w:val="00987F91"/>
    <w:rsid w:val="009900CF"/>
    <w:rsid w:val="00990886"/>
    <w:rsid w:val="009908FD"/>
    <w:rsid w:val="009910C4"/>
    <w:rsid w:val="00991597"/>
    <w:rsid w:val="0099287A"/>
    <w:rsid w:val="00992B00"/>
    <w:rsid w:val="0099348C"/>
    <w:rsid w:val="009935FA"/>
    <w:rsid w:val="009939AB"/>
    <w:rsid w:val="00993C6D"/>
    <w:rsid w:val="00994180"/>
    <w:rsid w:val="009943EE"/>
    <w:rsid w:val="009944A6"/>
    <w:rsid w:val="009945AE"/>
    <w:rsid w:val="00994613"/>
    <w:rsid w:val="0099485F"/>
    <w:rsid w:val="00994879"/>
    <w:rsid w:val="00994884"/>
    <w:rsid w:val="00994B32"/>
    <w:rsid w:val="00994C8A"/>
    <w:rsid w:val="0099548A"/>
    <w:rsid w:val="0099590D"/>
    <w:rsid w:val="00995AD4"/>
    <w:rsid w:val="00995B02"/>
    <w:rsid w:val="00995B44"/>
    <w:rsid w:val="00995F87"/>
    <w:rsid w:val="00996363"/>
    <w:rsid w:val="009963BB"/>
    <w:rsid w:val="009964AC"/>
    <w:rsid w:val="00996BF1"/>
    <w:rsid w:val="00997CF0"/>
    <w:rsid w:val="009A0060"/>
    <w:rsid w:val="009A04A2"/>
    <w:rsid w:val="009A0520"/>
    <w:rsid w:val="009A0855"/>
    <w:rsid w:val="009A0C93"/>
    <w:rsid w:val="009A0EF3"/>
    <w:rsid w:val="009A0F59"/>
    <w:rsid w:val="009A1370"/>
    <w:rsid w:val="009A2250"/>
    <w:rsid w:val="009A38EB"/>
    <w:rsid w:val="009A3CB2"/>
    <w:rsid w:val="009A3E37"/>
    <w:rsid w:val="009A4445"/>
    <w:rsid w:val="009A51A6"/>
    <w:rsid w:val="009A526B"/>
    <w:rsid w:val="009A547E"/>
    <w:rsid w:val="009A5889"/>
    <w:rsid w:val="009A5B92"/>
    <w:rsid w:val="009A6AA7"/>
    <w:rsid w:val="009A6D39"/>
    <w:rsid w:val="009A7037"/>
    <w:rsid w:val="009B04EC"/>
    <w:rsid w:val="009B0534"/>
    <w:rsid w:val="009B0755"/>
    <w:rsid w:val="009B07FC"/>
    <w:rsid w:val="009B0EAA"/>
    <w:rsid w:val="009B0EC4"/>
    <w:rsid w:val="009B1767"/>
    <w:rsid w:val="009B198A"/>
    <w:rsid w:val="009B1FE4"/>
    <w:rsid w:val="009B220F"/>
    <w:rsid w:val="009B2777"/>
    <w:rsid w:val="009B27E0"/>
    <w:rsid w:val="009B28C6"/>
    <w:rsid w:val="009B2C99"/>
    <w:rsid w:val="009B2DB7"/>
    <w:rsid w:val="009B2FB2"/>
    <w:rsid w:val="009B320D"/>
    <w:rsid w:val="009B3EBD"/>
    <w:rsid w:val="009B408E"/>
    <w:rsid w:val="009B5105"/>
    <w:rsid w:val="009B607B"/>
    <w:rsid w:val="009B6633"/>
    <w:rsid w:val="009B67CE"/>
    <w:rsid w:val="009B6C09"/>
    <w:rsid w:val="009B6CB9"/>
    <w:rsid w:val="009B7443"/>
    <w:rsid w:val="009B7559"/>
    <w:rsid w:val="009B7960"/>
    <w:rsid w:val="009C054F"/>
    <w:rsid w:val="009C1118"/>
    <w:rsid w:val="009C137E"/>
    <w:rsid w:val="009C15B0"/>
    <w:rsid w:val="009C166F"/>
    <w:rsid w:val="009C1C2E"/>
    <w:rsid w:val="009C1FCF"/>
    <w:rsid w:val="009C2181"/>
    <w:rsid w:val="009C221F"/>
    <w:rsid w:val="009C22FA"/>
    <w:rsid w:val="009C231C"/>
    <w:rsid w:val="009C2966"/>
    <w:rsid w:val="009C2AF2"/>
    <w:rsid w:val="009C2EFA"/>
    <w:rsid w:val="009C3BDE"/>
    <w:rsid w:val="009C3DF0"/>
    <w:rsid w:val="009C4178"/>
    <w:rsid w:val="009C473D"/>
    <w:rsid w:val="009C5FE9"/>
    <w:rsid w:val="009C62D0"/>
    <w:rsid w:val="009C6DF3"/>
    <w:rsid w:val="009C75A6"/>
    <w:rsid w:val="009C76BC"/>
    <w:rsid w:val="009C7793"/>
    <w:rsid w:val="009C7A84"/>
    <w:rsid w:val="009D01BA"/>
    <w:rsid w:val="009D0B2B"/>
    <w:rsid w:val="009D11EF"/>
    <w:rsid w:val="009D12A7"/>
    <w:rsid w:val="009D1EBC"/>
    <w:rsid w:val="009D2AAA"/>
    <w:rsid w:val="009D3678"/>
    <w:rsid w:val="009D420B"/>
    <w:rsid w:val="009D4527"/>
    <w:rsid w:val="009D45B3"/>
    <w:rsid w:val="009D4913"/>
    <w:rsid w:val="009D500F"/>
    <w:rsid w:val="009D546A"/>
    <w:rsid w:val="009D5E29"/>
    <w:rsid w:val="009D6205"/>
    <w:rsid w:val="009D646B"/>
    <w:rsid w:val="009D661E"/>
    <w:rsid w:val="009D69C1"/>
    <w:rsid w:val="009D6B92"/>
    <w:rsid w:val="009D771C"/>
    <w:rsid w:val="009E055A"/>
    <w:rsid w:val="009E077B"/>
    <w:rsid w:val="009E07E7"/>
    <w:rsid w:val="009E0A16"/>
    <w:rsid w:val="009E12B4"/>
    <w:rsid w:val="009E17FB"/>
    <w:rsid w:val="009E1B73"/>
    <w:rsid w:val="009E2029"/>
    <w:rsid w:val="009E259D"/>
    <w:rsid w:val="009E269F"/>
    <w:rsid w:val="009E2A5B"/>
    <w:rsid w:val="009E2B27"/>
    <w:rsid w:val="009E2D35"/>
    <w:rsid w:val="009E3966"/>
    <w:rsid w:val="009E3A6F"/>
    <w:rsid w:val="009E483F"/>
    <w:rsid w:val="009E49EB"/>
    <w:rsid w:val="009E507A"/>
    <w:rsid w:val="009E5385"/>
    <w:rsid w:val="009E569E"/>
    <w:rsid w:val="009E5AD1"/>
    <w:rsid w:val="009E5D7F"/>
    <w:rsid w:val="009E6277"/>
    <w:rsid w:val="009E649E"/>
    <w:rsid w:val="009E6D8D"/>
    <w:rsid w:val="009E6E53"/>
    <w:rsid w:val="009E758A"/>
    <w:rsid w:val="009E7B5D"/>
    <w:rsid w:val="009F015A"/>
    <w:rsid w:val="009F0767"/>
    <w:rsid w:val="009F0D62"/>
    <w:rsid w:val="009F0E23"/>
    <w:rsid w:val="009F0F61"/>
    <w:rsid w:val="009F0F98"/>
    <w:rsid w:val="009F0FC8"/>
    <w:rsid w:val="009F112A"/>
    <w:rsid w:val="009F1757"/>
    <w:rsid w:val="009F1A09"/>
    <w:rsid w:val="009F1F26"/>
    <w:rsid w:val="009F26BE"/>
    <w:rsid w:val="009F30EC"/>
    <w:rsid w:val="009F3187"/>
    <w:rsid w:val="009F39CB"/>
    <w:rsid w:val="009F3BE2"/>
    <w:rsid w:val="009F405E"/>
    <w:rsid w:val="009F412E"/>
    <w:rsid w:val="009F475F"/>
    <w:rsid w:val="009F4886"/>
    <w:rsid w:val="009F48CA"/>
    <w:rsid w:val="009F5090"/>
    <w:rsid w:val="009F509D"/>
    <w:rsid w:val="009F6426"/>
    <w:rsid w:val="009F687B"/>
    <w:rsid w:val="009F6A90"/>
    <w:rsid w:val="009F6E7D"/>
    <w:rsid w:val="009F74CE"/>
    <w:rsid w:val="009F7C9B"/>
    <w:rsid w:val="009F7D2A"/>
    <w:rsid w:val="009F7D42"/>
    <w:rsid w:val="00A01862"/>
    <w:rsid w:val="00A01AA9"/>
    <w:rsid w:val="00A01C02"/>
    <w:rsid w:val="00A0286E"/>
    <w:rsid w:val="00A02FB7"/>
    <w:rsid w:val="00A034FC"/>
    <w:rsid w:val="00A03804"/>
    <w:rsid w:val="00A03C5B"/>
    <w:rsid w:val="00A03CDB"/>
    <w:rsid w:val="00A053F1"/>
    <w:rsid w:val="00A05450"/>
    <w:rsid w:val="00A055CB"/>
    <w:rsid w:val="00A05871"/>
    <w:rsid w:val="00A05AA3"/>
    <w:rsid w:val="00A063FD"/>
    <w:rsid w:val="00A06C89"/>
    <w:rsid w:val="00A074F3"/>
    <w:rsid w:val="00A07760"/>
    <w:rsid w:val="00A10BF9"/>
    <w:rsid w:val="00A10FFE"/>
    <w:rsid w:val="00A11333"/>
    <w:rsid w:val="00A113EB"/>
    <w:rsid w:val="00A11CC2"/>
    <w:rsid w:val="00A11CC7"/>
    <w:rsid w:val="00A12BA9"/>
    <w:rsid w:val="00A132A2"/>
    <w:rsid w:val="00A1332B"/>
    <w:rsid w:val="00A13E2D"/>
    <w:rsid w:val="00A1408D"/>
    <w:rsid w:val="00A148DD"/>
    <w:rsid w:val="00A14B91"/>
    <w:rsid w:val="00A1553B"/>
    <w:rsid w:val="00A1616F"/>
    <w:rsid w:val="00A1637E"/>
    <w:rsid w:val="00A16632"/>
    <w:rsid w:val="00A166A7"/>
    <w:rsid w:val="00A169C0"/>
    <w:rsid w:val="00A173EC"/>
    <w:rsid w:val="00A17650"/>
    <w:rsid w:val="00A176E2"/>
    <w:rsid w:val="00A177BC"/>
    <w:rsid w:val="00A17B77"/>
    <w:rsid w:val="00A17DE7"/>
    <w:rsid w:val="00A20472"/>
    <w:rsid w:val="00A2086D"/>
    <w:rsid w:val="00A21278"/>
    <w:rsid w:val="00A224C6"/>
    <w:rsid w:val="00A22A01"/>
    <w:rsid w:val="00A22E8D"/>
    <w:rsid w:val="00A23E29"/>
    <w:rsid w:val="00A240C6"/>
    <w:rsid w:val="00A24269"/>
    <w:rsid w:val="00A24670"/>
    <w:rsid w:val="00A246A1"/>
    <w:rsid w:val="00A24964"/>
    <w:rsid w:val="00A24B7F"/>
    <w:rsid w:val="00A24D11"/>
    <w:rsid w:val="00A2523A"/>
    <w:rsid w:val="00A256D4"/>
    <w:rsid w:val="00A2587C"/>
    <w:rsid w:val="00A25E39"/>
    <w:rsid w:val="00A263E6"/>
    <w:rsid w:val="00A26522"/>
    <w:rsid w:val="00A268CA"/>
    <w:rsid w:val="00A26F4E"/>
    <w:rsid w:val="00A26FA9"/>
    <w:rsid w:val="00A26FFD"/>
    <w:rsid w:val="00A2783A"/>
    <w:rsid w:val="00A279EB"/>
    <w:rsid w:val="00A27BE6"/>
    <w:rsid w:val="00A30577"/>
    <w:rsid w:val="00A307E5"/>
    <w:rsid w:val="00A309F3"/>
    <w:rsid w:val="00A30A9E"/>
    <w:rsid w:val="00A30C8C"/>
    <w:rsid w:val="00A30E34"/>
    <w:rsid w:val="00A32354"/>
    <w:rsid w:val="00A32830"/>
    <w:rsid w:val="00A328F6"/>
    <w:rsid w:val="00A32A17"/>
    <w:rsid w:val="00A32A5E"/>
    <w:rsid w:val="00A32E83"/>
    <w:rsid w:val="00A32F1C"/>
    <w:rsid w:val="00A32FB4"/>
    <w:rsid w:val="00A33250"/>
    <w:rsid w:val="00A340D0"/>
    <w:rsid w:val="00A34109"/>
    <w:rsid w:val="00A34D22"/>
    <w:rsid w:val="00A34F70"/>
    <w:rsid w:val="00A35056"/>
    <w:rsid w:val="00A3578B"/>
    <w:rsid w:val="00A3617C"/>
    <w:rsid w:val="00A3694C"/>
    <w:rsid w:val="00A36D68"/>
    <w:rsid w:val="00A371D3"/>
    <w:rsid w:val="00A37590"/>
    <w:rsid w:val="00A37648"/>
    <w:rsid w:val="00A37A04"/>
    <w:rsid w:val="00A37C03"/>
    <w:rsid w:val="00A37E3B"/>
    <w:rsid w:val="00A37EC3"/>
    <w:rsid w:val="00A40487"/>
    <w:rsid w:val="00A40F4A"/>
    <w:rsid w:val="00A4114A"/>
    <w:rsid w:val="00A4184D"/>
    <w:rsid w:val="00A41DAC"/>
    <w:rsid w:val="00A42106"/>
    <w:rsid w:val="00A422F9"/>
    <w:rsid w:val="00A42E5B"/>
    <w:rsid w:val="00A4321F"/>
    <w:rsid w:val="00A43C46"/>
    <w:rsid w:val="00A43FE8"/>
    <w:rsid w:val="00A44FD8"/>
    <w:rsid w:val="00A4525D"/>
    <w:rsid w:val="00A45478"/>
    <w:rsid w:val="00A4555D"/>
    <w:rsid w:val="00A4581D"/>
    <w:rsid w:val="00A45DF0"/>
    <w:rsid w:val="00A464D8"/>
    <w:rsid w:val="00A46AD1"/>
    <w:rsid w:val="00A46B71"/>
    <w:rsid w:val="00A46CA4"/>
    <w:rsid w:val="00A46EFD"/>
    <w:rsid w:val="00A470D3"/>
    <w:rsid w:val="00A471BD"/>
    <w:rsid w:val="00A473DF"/>
    <w:rsid w:val="00A50544"/>
    <w:rsid w:val="00A507E2"/>
    <w:rsid w:val="00A513AB"/>
    <w:rsid w:val="00A51640"/>
    <w:rsid w:val="00A524E0"/>
    <w:rsid w:val="00A52E82"/>
    <w:rsid w:val="00A53474"/>
    <w:rsid w:val="00A5356B"/>
    <w:rsid w:val="00A536F2"/>
    <w:rsid w:val="00A538B5"/>
    <w:rsid w:val="00A53FD8"/>
    <w:rsid w:val="00A54114"/>
    <w:rsid w:val="00A54761"/>
    <w:rsid w:val="00A54BE5"/>
    <w:rsid w:val="00A558B0"/>
    <w:rsid w:val="00A559AF"/>
    <w:rsid w:val="00A55B91"/>
    <w:rsid w:val="00A55D8D"/>
    <w:rsid w:val="00A55E54"/>
    <w:rsid w:val="00A60103"/>
    <w:rsid w:val="00A60538"/>
    <w:rsid w:val="00A60D37"/>
    <w:rsid w:val="00A60D4A"/>
    <w:rsid w:val="00A60DB1"/>
    <w:rsid w:val="00A61050"/>
    <w:rsid w:val="00A61888"/>
    <w:rsid w:val="00A62420"/>
    <w:rsid w:val="00A62F04"/>
    <w:rsid w:val="00A637AA"/>
    <w:rsid w:val="00A63BDD"/>
    <w:rsid w:val="00A6468A"/>
    <w:rsid w:val="00A64877"/>
    <w:rsid w:val="00A650C8"/>
    <w:rsid w:val="00A6603E"/>
    <w:rsid w:val="00A664F1"/>
    <w:rsid w:val="00A6681F"/>
    <w:rsid w:val="00A66DBB"/>
    <w:rsid w:val="00A67061"/>
    <w:rsid w:val="00A67230"/>
    <w:rsid w:val="00A6746A"/>
    <w:rsid w:val="00A675BC"/>
    <w:rsid w:val="00A676C0"/>
    <w:rsid w:val="00A67989"/>
    <w:rsid w:val="00A67C2B"/>
    <w:rsid w:val="00A67D93"/>
    <w:rsid w:val="00A67DF8"/>
    <w:rsid w:val="00A70289"/>
    <w:rsid w:val="00A70429"/>
    <w:rsid w:val="00A70E01"/>
    <w:rsid w:val="00A70E3C"/>
    <w:rsid w:val="00A7133E"/>
    <w:rsid w:val="00A71482"/>
    <w:rsid w:val="00A71D2A"/>
    <w:rsid w:val="00A72628"/>
    <w:rsid w:val="00A72BD7"/>
    <w:rsid w:val="00A72FDE"/>
    <w:rsid w:val="00A7309A"/>
    <w:rsid w:val="00A73EE4"/>
    <w:rsid w:val="00A740DF"/>
    <w:rsid w:val="00A74954"/>
    <w:rsid w:val="00A74F5A"/>
    <w:rsid w:val="00A75652"/>
    <w:rsid w:val="00A7669A"/>
    <w:rsid w:val="00A767BC"/>
    <w:rsid w:val="00A76F9F"/>
    <w:rsid w:val="00A77311"/>
    <w:rsid w:val="00A777D4"/>
    <w:rsid w:val="00A77892"/>
    <w:rsid w:val="00A77C0B"/>
    <w:rsid w:val="00A809A6"/>
    <w:rsid w:val="00A80C5D"/>
    <w:rsid w:val="00A80E9E"/>
    <w:rsid w:val="00A814D1"/>
    <w:rsid w:val="00A81BD0"/>
    <w:rsid w:val="00A824D2"/>
    <w:rsid w:val="00A8292F"/>
    <w:rsid w:val="00A82E37"/>
    <w:rsid w:val="00A83436"/>
    <w:rsid w:val="00A83EFC"/>
    <w:rsid w:val="00A842BE"/>
    <w:rsid w:val="00A84E71"/>
    <w:rsid w:val="00A84F03"/>
    <w:rsid w:val="00A85017"/>
    <w:rsid w:val="00A8579B"/>
    <w:rsid w:val="00A85909"/>
    <w:rsid w:val="00A85E34"/>
    <w:rsid w:val="00A870C2"/>
    <w:rsid w:val="00A87654"/>
    <w:rsid w:val="00A878DB"/>
    <w:rsid w:val="00A87980"/>
    <w:rsid w:val="00A90211"/>
    <w:rsid w:val="00A90265"/>
    <w:rsid w:val="00A903C7"/>
    <w:rsid w:val="00A90433"/>
    <w:rsid w:val="00A91B59"/>
    <w:rsid w:val="00A924BF"/>
    <w:rsid w:val="00A92CC2"/>
    <w:rsid w:val="00A92E9E"/>
    <w:rsid w:val="00A92F2B"/>
    <w:rsid w:val="00A92F94"/>
    <w:rsid w:val="00A93182"/>
    <w:rsid w:val="00A93967"/>
    <w:rsid w:val="00A93E8D"/>
    <w:rsid w:val="00A9438C"/>
    <w:rsid w:val="00A9444B"/>
    <w:rsid w:val="00A94AA9"/>
    <w:rsid w:val="00A94C41"/>
    <w:rsid w:val="00A94CA2"/>
    <w:rsid w:val="00A94D8D"/>
    <w:rsid w:val="00A94E12"/>
    <w:rsid w:val="00A954C6"/>
    <w:rsid w:val="00A95AEB"/>
    <w:rsid w:val="00A95E0D"/>
    <w:rsid w:val="00A96991"/>
    <w:rsid w:val="00A96ED4"/>
    <w:rsid w:val="00A9708C"/>
    <w:rsid w:val="00A9765D"/>
    <w:rsid w:val="00A97EE0"/>
    <w:rsid w:val="00AA0065"/>
    <w:rsid w:val="00AA0159"/>
    <w:rsid w:val="00AA0541"/>
    <w:rsid w:val="00AA0646"/>
    <w:rsid w:val="00AA0BD6"/>
    <w:rsid w:val="00AA0CDA"/>
    <w:rsid w:val="00AA0FA9"/>
    <w:rsid w:val="00AA1A44"/>
    <w:rsid w:val="00AA21E1"/>
    <w:rsid w:val="00AA2BAE"/>
    <w:rsid w:val="00AA2DA5"/>
    <w:rsid w:val="00AA34D5"/>
    <w:rsid w:val="00AA360D"/>
    <w:rsid w:val="00AA380D"/>
    <w:rsid w:val="00AA3A97"/>
    <w:rsid w:val="00AA3F07"/>
    <w:rsid w:val="00AA413F"/>
    <w:rsid w:val="00AA44A8"/>
    <w:rsid w:val="00AA4CD3"/>
    <w:rsid w:val="00AA539D"/>
    <w:rsid w:val="00AA548E"/>
    <w:rsid w:val="00AA56B4"/>
    <w:rsid w:val="00AA59EB"/>
    <w:rsid w:val="00AA5AA4"/>
    <w:rsid w:val="00AA62BF"/>
    <w:rsid w:val="00AA62CC"/>
    <w:rsid w:val="00AA6342"/>
    <w:rsid w:val="00AA69E8"/>
    <w:rsid w:val="00AA6BDB"/>
    <w:rsid w:val="00AA6CD7"/>
    <w:rsid w:val="00AA74BD"/>
    <w:rsid w:val="00AA7EA3"/>
    <w:rsid w:val="00AB0171"/>
    <w:rsid w:val="00AB042D"/>
    <w:rsid w:val="00AB0621"/>
    <w:rsid w:val="00AB084F"/>
    <w:rsid w:val="00AB0ECA"/>
    <w:rsid w:val="00AB18BF"/>
    <w:rsid w:val="00AB19C1"/>
    <w:rsid w:val="00AB1E05"/>
    <w:rsid w:val="00AB262F"/>
    <w:rsid w:val="00AB2703"/>
    <w:rsid w:val="00AB2D60"/>
    <w:rsid w:val="00AB30CF"/>
    <w:rsid w:val="00AB3639"/>
    <w:rsid w:val="00AB3988"/>
    <w:rsid w:val="00AB4843"/>
    <w:rsid w:val="00AB4872"/>
    <w:rsid w:val="00AB49CB"/>
    <w:rsid w:val="00AB5703"/>
    <w:rsid w:val="00AB5813"/>
    <w:rsid w:val="00AB59D1"/>
    <w:rsid w:val="00AB5AB5"/>
    <w:rsid w:val="00AB5E1D"/>
    <w:rsid w:val="00AB6E08"/>
    <w:rsid w:val="00AB792F"/>
    <w:rsid w:val="00AC054E"/>
    <w:rsid w:val="00AC0823"/>
    <w:rsid w:val="00AC0AA2"/>
    <w:rsid w:val="00AC10DE"/>
    <w:rsid w:val="00AC11E1"/>
    <w:rsid w:val="00AC1B2A"/>
    <w:rsid w:val="00AC1CA9"/>
    <w:rsid w:val="00AC20A5"/>
    <w:rsid w:val="00AC2794"/>
    <w:rsid w:val="00AC2D0D"/>
    <w:rsid w:val="00AC2E62"/>
    <w:rsid w:val="00AC3521"/>
    <w:rsid w:val="00AC3FA7"/>
    <w:rsid w:val="00AC42B8"/>
    <w:rsid w:val="00AC57EA"/>
    <w:rsid w:val="00AC6062"/>
    <w:rsid w:val="00AC63AE"/>
    <w:rsid w:val="00AC6914"/>
    <w:rsid w:val="00AC693E"/>
    <w:rsid w:val="00AC6BF4"/>
    <w:rsid w:val="00AC6D4E"/>
    <w:rsid w:val="00AC78B6"/>
    <w:rsid w:val="00AC7939"/>
    <w:rsid w:val="00AC7E36"/>
    <w:rsid w:val="00AD0116"/>
    <w:rsid w:val="00AD07BD"/>
    <w:rsid w:val="00AD0A94"/>
    <w:rsid w:val="00AD0DB3"/>
    <w:rsid w:val="00AD1189"/>
    <w:rsid w:val="00AD18F3"/>
    <w:rsid w:val="00AD1B18"/>
    <w:rsid w:val="00AD1D5F"/>
    <w:rsid w:val="00AD1E2B"/>
    <w:rsid w:val="00AD1FAB"/>
    <w:rsid w:val="00AD24A5"/>
    <w:rsid w:val="00AD27F6"/>
    <w:rsid w:val="00AD29A3"/>
    <w:rsid w:val="00AD2AD3"/>
    <w:rsid w:val="00AD39B0"/>
    <w:rsid w:val="00AD3B94"/>
    <w:rsid w:val="00AD41C1"/>
    <w:rsid w:val="00AD49AB"/>
    <w:rsid w:val="00AD51B9"/>
    <w:rsid w:val="00AD523C"/>
    <w:rsid w:val="00AD5523"/>
    <w:rsid w:val="00AD5A1D"/>
    <w:rsid w:val="00AD5F30"/>
    <w:rsid w:val="00AD61CE"/>
    <w:rsid w:val="00AD6270"/>
    <w:rsid w:val="00AD627C"/>
    <w:rsid w:val="00AD6B91"/>
    <w:rsid w:val="00AD750C"/>
    <w:rsid w:val="00AD7576"/>
    <w:rsid w:val="00AD76A2"/>
    <w:rsid w:val="00AD7EBA"/>
    <w:rsid w:val="00AE00F0"/>
    <w:rsid w:val="00AE03E8"/>
    <w:rsid w:val="00AE04A9"/>
    <w:rsid w:val="00AE0661"/>
    <w:rsid w:val="00AE0729"/>
    <w:rsid w:val="00AE1392"/>
    <w:rsid w:val="00AE192D"/>
    <w:rsid w:val="00AE1EEC"/>
    <w:rsid w:val="00AE270B"/>
    <w:rsid w:val="00AE33E5"/>
    <w:rsid w:val="00AE389B"/>
    <w:rsid w:val="00AE3ACB"/>
    <w:rsid w:val="00AE3D63"/>
    <w:rsid w:val="00AE3F0D"/>
    <w:rsid w:val="00AE47C6"/>
    <w:rsid w:val="00AE5370"/>
    <w:rsid w:val="00AE5423"/>
    <w:rsid w:val="00AE585E"/>
    <w:rsid w:val="00AE58F8"/>
    <w:rsid w:val="00AE5AE1"/>
    <w:rsid w:val="00AE6175"/>
    <w:rsid w:val="00AE629D"/>
    <w:rsid w:val="00AE6FAB"/>
    <w:rsid w:val="00AE7554"/>
    <w:rsid w:val="00AE76AC"/>
    <w:rsid w:val="00AF015C"/>
    <w:rsid w:val="00AF0800"/>
    <w:rsid w:val="00AF089D"/>
    <w:rsid w:val="00AF0C20"/>
    <w:rsid w:val="00AF1623"/>
    <w:rsid w:val="00AF1E94"/>
    <w:rsid w:val="00AF24CB"/>
    <w:rsid w:val="00AF2FF9"/>
    <w:rsid w:val="00AF3761"/>
    <w:rsid w:val="00AF3CE7"/>
    <w:rsid w:val="00AF41D0"/>
    <w:rsid w:val="00AF471C"/>
    <w:rsid w:val="00AF57A7"/>
    <w:rsid w:val="00AF6019"/>
    <w:rsid w:val="00AF6616"/>
    <w:rsid w:val="00AF6914"/>
    <w:rsid w:val="00AF6BF4"/>
    <w:rsid w:val="00AF7166"/>
    <w:rsid w:val="00AF7858"/>
    <w:rsid w:val="00AF7A40"/>
    <w:rsid w:val="00AF7A50"/>
    <w:rsid w:val="00AF7CB6"/>
    <w:rsid w:val="00B000F3"/>
    <w:rsid w:val="00B00201"/>
    <w:rsid w:val="00B00242"/>
    <w:rsid w:val="00B00256"/>
    <w:rsid w:val="00B00294"/>
    <w:rsid w:val="00B00830"/>
    <w:rsid w:val="00B00C4C"/>
    <w:rsid w:val="00B01378"/>
    <w:rsid w:val="00B01429"/>
    <w:rsid w:val="00B02163"/>
    <w:rsid w:val="00B0256C"/>
    <w:rsid w:val="00B025CA"/>
    <w:rsid w:val="00B04DD4"/>
    <w:rsid w:val="00B04DF3"/>
    <w:rsid w:val="00B0601C"/>
    <w:rsid w:val="00B06971"/>
    <w:rsid w:val="00B076A4"/>
    <w:rsid w:val="00B077C1"/>
    <w:rsid w:val="00B07860"/>
    <w:rsid w:val="00B0792E"/>
    <w:rsid w:val="00B07C9D"/>
    <w:rsid w:val="00B108A4"/>
    <w:rsid w:val="00B10FFA"/>
    <w:rsid w:val="00B111CD"/>
    <w:rsid w:val="00B1154F"/>
    <w:rsid w:val="00B11851"/>
    <w:rsid w:val="00B11BA4"/>
    <w:rsid w:val="00B12F32"/>
    <w:rsid w:val="00B13403"/>
    <w:rsid w:val="00B1399D"/>
    <w:rsid w:val="00B13C64"/>
    <w:rsid w:val="00B13F8F"/>
    <w:rsid w:val="00B145FE"/>
    <w:rsid w:val="00B1487D"/>
    <w:rsid w:val="00B14AA8"/>
    <w:rsid w:val="00B14DC5"/>
    <w:rsid w:val="00B158A8"/>
    <w:rsid w:val="00B15F5A"/>
    <w:rsid w:val="00B164A2"/>
    <w:rsid w:val="00B202C3"/>
    <w:rsid w:val="00B207A2"/>
    <w:rsid w:val="00B20BFA"/>
    <w:rsid w:val="00B211B4"/>
    <w:rsid w:val="00B21214"/>
    <w:rsid w:val="00B22112"/>
    <w:rsid w:val="00B221DA"/>
    <w:rsid w:val="00B22FA0"/>
    <w:rsid w:val="00B23010"/>
    <w:rsid w:val="00B230DF"/>
    <w:rsid w:val="00B231B0"/>
    <w:rsid w:val="00B23718"/>
    <w:rsid w:val="00B24106"/>
    <w:rsid w:val="00B2417E"/>
    <w:rsid w:val="00B24384"/>
    <w:rsid w:val="00B246EF"/>
    <w:rsid w:val="00B24FAD"/>
    <w:rsid w:val="00B2546F"/>
    <w:rsid w:val="00B25807"/>
    <w:rsid w:val="00B2588E"/>
    <w:rsid w:val="00B25D97"/>
    <w:rsid w:val="00B26051"/>
    <w:rsid w:val="00B26781"/>
    <w:rsid w:val="00B26D59"/>
    <w:rsid w:val="00B27A44"/>
    <w:rsid w:val="00B3091C"/>
    <w:rsid w:val="00B30A4C"/>
    <w:rsid w:val="00B30B89"/>
    <w:rsid w:val="00B30BD5"/>
    <w:rsid w:val="00B3107A"/>
    <w:rsid w:val="00B31B77"/>
    <w:rsid w:val="00B32E26"/>
    <w:rsid w:val="00B332C0"/>
    <w:rsid w:val="00B33907"/>
    <w:rsid w:val="00B33B83"/>
    <w:rsid w:val="00B33D5C"/>
    <w:rsid w:val="00B34199"/>
    <w:rsid w:val="00B343B3"/>
    <w:rsid w:val="00B355CC"/>
    <w:rsid w:val="00B35A2A"/>
    <w:rsid w:val="00B35BD4"/>
    <w:rsid w:val="00B36506"/>
    <w:rsid w:val="00B365AA"/>
    <w:rsid w:val="00B37096"/>
    <w:rsid w:val="00B37553"/>
    <w:rsid w:val="00B376A4"/>
    <w:rsid w:val="00B41538"/>
    <w:rsid w:val="00B415F3"/>
    <w:rsid w:val="00B41F76"/>
    <w:rsid w:val="00B421B7"/>
    <w:rsid w:val="00B437B2"/>
    <w:rsid w:val="00B43E7D"/>
    <w:rsid w:val="00B44634"/>
    <w:rsid w:val="00B4498E"/>
    <w:rsid w:val="00B44C45"/>
    <w:rsid w:val="00B44EE9"/>
    <w:rsid w:val="00B451A5"/>
    <w:rsid w:val="00B4532E"/>
    <w:rsid w:val="00B45461"/>
    <w:rsid w:val="00B45619"/>
    <w:rsid w:val="00B45977"/>
    <w:rsid w:val="00B45E0B"/>
    <w:rsid w:val="00B46168"/>
    <w:rsid w:val="00B46338"/>
    <w:rsid w:val="00B466AF"/>
    <w:rsid w:val="00B469FE"/>
    <w:rsid w:val="00B47822"/>
    <w:rsid w:val="00B47BE3"/>
    <w:rsid w:val="00B47F2F"/>
    <w:rsid w:val="00B47FEB"/>
    <w:rsid w:val="00B5001E"/>
    <w:rsid w:val="00B500E0"/>
    <w:rsid w:val="00B50F1E"/>
    <w:rsid w:val="00B51167"/>
    <w:rsid w:val="00B5125C"/>
    <w:rsid w:val="00B5139E"/>
    <w:rsid w:val="00B51700"/>
    <w:rsid w:val="00B51763"/>
    <w:rsid w:val="00B51B55"/>
    <w:rsid w:val="00B51C39"/>
    <w:rsid w:val="00B51D0B"/>
    <w:rsid w:val="00B51D8E"/>
    <w:rsid w:val="00B51E3C"/>
    <w:rsid w:val="00B5213F"/>
    <w:rsid w:val="00B522B1"/>
    <w:rsid w:val="00B522B9"/>
    <w:rsid w:val="00B523E3"/>
    <w:rsid w:val="00B524B7"/>
    <w:rsid w:val="00B528F7"/>
    <w:rsid w:val="00B5312C"/>
    <w:rsid w:val="00B531FC"/>
    <w:rsid w:val="00B53418"/>
    <w:rsid w:val="00B5341A"/>
    <w:rsid w:val="00B536DB"/>
    <w:rsid w:val="00B537B8"/>
    <w:rsid w:val="00B5399E"/>
    <w:rsid w:val="00B539DA"/>
    <w:rsid w:val="00B546D8"/>
    <w:rsid w:val="00B54948"/>
    <w:rsid w:val="00B54E5D"/>
    <w:rsid w:val="00B5546A"/>
    <w:rsid w:val="00B555F1"/>
    <w:rsid w:val="00B55DA8"/>
    <w:rsid w:val="00B55DCC"/>
    <w:rsid w:val="00B55FE3"/>
    <w:rsid w:val="00B5618C"/>
    <w:rsid w:val="00B561AB"/>
    <w:rsid w:val="00B5625C"/>
    <w:rsid w:val="00B564C6"/>
    <w:rsid w:val="00B56AF1"/>
    <w:rsid w:val="00B5705B"/>
    <w:rsid w:val="00B57B64"/>
    <w:rsid w:val="00B57CDC"/>
    <w:rsid w:val="00B57D59"/>
    <w:rsid w:val="00B57ED5"/>
    <w:rsid w:val="00B6074F"/>
    <w:rsid w:val="00B60E2D"/>
    <w:rsid w:val="00B61209"/>
    <w:rsid w:val="00B612CF"/>
    <w:rsid w:val="00B61370"/>
    <w:rsid w:val="00B61E64"/>
    <w:rsid w:val="00B62957"/>
    <w:rsid w:val="00B62AE3"/>
    <w:rsid w:val="00B631DD"/>
    <w:rsid w:val="00B635D2"/>
    <w:rsid w:val="00B646E3"/>
    <w:rsid w:val="00B64A40"/>
    <w:rsid w:val="00B64EFC"/>
    <w:rsid w:val="00B655DD"/>
    <w:rsid w:val="00B65C64"/>
    <w:rsid w:val="00B65DC0"/>
    <w:rsid w:val="00B66C88"/>
    <w:rsid w:val="00B67758"/>
    <w:rsid w:val="00B67BFE"/>
    <w:rsid w:val="00B67ED3"/>
    <w:rsid w:val="00B70148"/>
    <w:rsid w:val="00B701EA"/>
    <w:rsid w:val="00B70973"/>
    <w:rsid w:val="00B70CEC"/>
    <w:rsid w:val="00B7100D"/>
    <w:rsid w:val="00B71BC9"/>
    <w:rsid w:val="00B72377"/>
    <w:rsid w:val="00B7258C"/>
    <w:rsid w:val="00B72C0C"/>
    <w:rsid w:val="00B73244"/>
    <w:rsid w:val="00B732EB"/>
    <w:rsid w:val="00B7376E"/>
    <w:rsid w:val="00B73C14"/>
    <w:rsid w:val="00B73D96"/>
    <w:rsid w:val="00B74197"/>
    <w:rsid w:val="00B74230"/>
    <w:rsid w:val="00B7476C"/>
    <w:rsid w:val="00B74E43"/>
    <w:rsid w:val="00B7508C"/>
    <w:rsid w:val="00B75431"/>
    <w:rsid w:val="00B75585"/>
    <w:rsid w:val="00B75B6D"/>
    <w:rsid w:val="00B75D00"/>
    <w:rsid w:val="00B7606D"/>
    <w:rsid w:val="00B774A1"/>
    <w:rsid w:val="00B7767F"/>
    <w:rsid w:val="00B77F2D"/>
    <w:rsid w:val="00B800C4"/>
    <w:rsid w:val="00B801A3"/>
    <w:rsid w:val="00B8023F"/>
    <w:rsid w:val="00B80A06"/>
    <w:rsid w:val="00B80E69"/>
    <w:rsid w:val="00B80ECA"/>
    <w:rsid w:val="00B8140A"/>
    <w:rsid w:val="00B81479"/>
    <w:rsid w:val="00B822B3"/>
    <w:rsid w:val="00B824B2"/>
    <w:rsid w:val="00B825BC"/>
    <w:rsid w:val="00B82B39"/>
    <w:rsid w:val="00B82C2E"/>
    <w:rsid w:val="00B836E9"/>
    <w:rsid w:val="00B837A4"/>
    <w:rsid w:val="00B8399D"/>
    <w:rsid w:val="00B84E7B"/>
    <w:rsid w:val="00B85083"/>
    <w:rsid w:val="00B8529E"/>
    <w:rsid w:val="00B859B8"/>
    <w:rsid w:val="00B863E2"/>
    <w:rsid w:val="00B86E15"/>
    <w:rsid w:val="00B86FF9"/>
    <w:rsid w:val="00B870E9"/>
    <w:rsid w:val="00B913BA"/>
    <w:rsid w:val="00B91FA4"/>
    <w:rsid w:val="00B9231E"/>
    <w:rsid w:val="00B92597"/>
    <w:rsid w:val="00B9271C"/>
    <w:rsid w:val="00B929D2"/>
    <w:rsid w:val="00B92A72"/>
    <w:rsid w:val="00B93019"/>
    <w:rsid w:val="00B93041"/>
    <w:rsid w:val="00B93409"/>
    <w:rsid w:val="00B9405B"/>
    <w:rsid w:val="00B942EC"/>
    <w:rsid w:val="00B94478"/>
    <w:rsid w:val="00B94C6B"/>
    <w:rsid w:val="00B95978"/>
    <w:rsid w:val="00B960C1"/>
    <w:rsid w:val="00B96193"/>
    <w:rsid w:val="00B96624"/>
    <w:rsid w:val="00B97499"/>
    <w:rsid w:val="00B97516"/>
    <w:rsid w:val="00B97993"/>
    <w:rsid w:val="00B97EA2"/>
    <w:rsid w:val="00BA0616"/>
    <w:rsid w:val="00BA0FC3"/>
    <w:rsid w:val="00BA1DFE"/>
    <w:rsid w:val="00BA2DC8"/>
    <w:rsid w:val="00BA2E4B"/>
    <w:rsid w:val="00BA3245"/>
    <w:rsid w:val="00BA32C7"/>
    <w:rsid w:val="00BA457D"/>
    <w:rsid w:val="00BA47CA"/>
    <w:rsid w:val="00BA499D"/>
    <w:rsid w:val="00BA4E1E"/>
    <w:rsid w:val="00BA5087"/>
    <w:rsid w:val="00BA5356"/>
    <w:rsid w:val="00BA59F2"/>
    <w:rsid w:val="00BA5BD2"/>
    <w:rsid w:val="00BA5E75"/>
    <w:rsid w:val="00BA60B1"/>
    <w:rsid w:val="00BA71D7"/>
    <w:rsid w:val="00BA7301"/>
    <w:rsid w:val="00BA74D6"/>
    <w:rsid w:val="00BA7D11"/>
    <w:rsid w:val="00BB0086"/>
    <w:rsid w:val="00BB0638"/>
    <w:rsid w:val="00BB0C1D"/>
    <w:rsid w:val="00BB0C5E"/>
    <w:rsid w:val="00BB0DBE"/>
    <w:rsid w:val="00BB0E16"/>
    <w:rsid w:val="00BB15B5"/>
    <w:rsid w:val="00BB1E0B"/>
    <w:rsid w:val="00BB25CB"/>
    <w:rsid w:val="00BB27BE"/>
    <w:rsid w:val="00BB29CB"/>
    <w:rsid w:val="00BB2EF1"/>
    <w:rsid w:val="00BB3092"/>
    <w:rsid w:val="00BB3304"/>
    <w:rsid w:val="00BB369A"/>
    <w:rsid w:val="00BB3AF0"/>
    <w:rsid w:val="00BB3D82"/>
    <w:rsid w:val="00BB410E"/>
    <w:rsid w:val="00BB428E"/>
    <w:rsid w:val="00BB4593"/>
    <w:rsid w:val="00BB480A"/>
    <w:rsid w:val="00BB4D06"/>
    <w:rsid w:val="00BB6A71"/>
    <w:rsid w:val="00BB74B0"/>
    <w:rsid w:val="00BB7562"/>
    <w:rsid w:val="00BB7957"/>
    <w:rsid w:val="00BB7AE2"/>
    <w:rsid w:val="00BB7E7B"/>
    <w:rsid w:val="00BC0288"/>
    <w:rsid w:val="00BC054D"/>
    <w:rsid w:val="00BC0687"/>
    <w:rsid w:val="00BC100B"/>
    <w:rsid w:val="00BC1629"/>
    <w:rsid w:val="00BC1D77"/>
    <w:rsid w:val="00BC22DD"/>
    <w:rsid w:val="00BC2312"/>
    <w:rsid w:val="00BC2DF3"/>
    <w:rsid w:val="00BC32E7"/>
    <w:rsid w:val="00BC342D"/>
    <w:rsid w:val="00BC3DB4"/>
    <w:rsid w:val="00BC3E69"/>
    <w:rsid w:val="00BC4020"/>
    <w:rsid w:val="00BC46DB"/>
    <w:rsid w:val="00BC5592"/>
    <w:rsid w:val="00BC55F6"/>
    <w:rsid w:val="00BC5600"/>
    <w:rsid w:val="00BC5FE8"/>
    <w:rsid w:val="00BC64B4"/>
    <w:rsid w:val="00BC65F7"/>
    <w:rsid w:val="00BC72F7"/>
    <w:rsid w:val="00BC7398"/>
    <w:rsid w:val="00BC74DD"/>
    <w:rsid w:val="00BC7574"/>
    <w:rsid w:val="00BC7CDF"/>
    <w:rsid w:val="00BD0129"/>
    <w:rsid w:val="00BD0179"/>
    <w:rsid w:val="00BD0832"/>
    <w:rsid w:val="00BD0E41"/>
    <w:rsid w:val="00BD0E79"/>
    <w:rsid w:val="00BD142E"/>
    <w:rsid w:val="00BD1F51"/>
    <w:rsid w:val="00BD269F"/>
    <w:rsid w:val="00BD26CD"/>
    <w:rsid w:val="00BD2878"/>
    <w:rsid w:val="00BD2E77"/>
    <w:rsid w:val="00BD2FA8"/>
    <w:rsid w:val="00BD3645"/>
    <w:rsid w:val="00BD39A8"/>
    <w:rsid w:val="00BD3E85"/>
    <w:rsid w:val="00BD4405"/>
    <w:rsid w:val="00BD4AF8"/>
    <w:rsid w:val="00BD4CBB"/>
    <w:rsid w:val="00BD56E6"/>
    <w:rsid w:val="00BD5858"/>
    <w:rsid w:val="00BD595A"/>
    <w:rsid w:val="00BD5CE0"/>
    <w:rsid w:val="00BD5F93"/>
    <w:rsid w:val="00BD6078"/>
    <w:rsid w:val="00BD622F"/>
    <w:rsid w:val="00BD7A99"/>
    <w:rsid w:val="00BD7FA2"/>
    <w:rsid w:val="00BE0170"/>
    <w:rsid w:val="00BE0D72"/>
    <w:rsid w:val="00BE1197"/>
    <w:rsid w:val="00BE11B3"/>
    <w:rsid w:val="00BE17ED"/>
    <w:rsid w:val="00BE20C1"/>
    <w:rsid w:val="00BE2490"/>
    <w:rsid w:val="00BE2FCC"/>
    <w:rsid w:val="00BE3D42"/>
    <w:rsid w:val="00BE3FB3"/>
    <w:rsid w:val="00BE45B8"/>
    <w:rsid w:val="00BE4A81"/>
    <w:rsid w:val="00BE4EA2"/>
    <w:rsid w:val="00BE5576"/>
    <w:rsid w:val="00BE5699"/>
    <w:rsid w:val="00BE5A0C"/>
    <w:rsid w:val="00BE6128"/>
    <w:rsid w:val="00BE67B2"/>
    <w:rsid w:val="00BE7893"/>
    <w:rsid w:val="00BF024D"/>
    <w:rsid w:val="00BF02DA"/>
    <w:rsid w:val="00BF09E6"/>
    <w:rsid w:val="00BF0F73"/>
    <w:rsid w:val="00BF180E"/>
    <w:rsid w:val="00BF1D46"/>
    <w:rsid w:val="00BF1DA4"/>
    <w:rsid w:val="00BF248D"/>
    <w:rsid w:val="00BF2658"/>
    <w:rsid w:val="00BF2785"/>
    <w:rsid w:val="00BF298A"/>
    <w:rsid w:val="00BF2AE0"/>
    <w:rsid w:val="00BF2B13"/>
    <w:rsid w:val="00BF32D6"/>
    <w:rsid w:val="00BF3AD1"/>
    <w:rsid w:val="00BF3F1D"/>
    <w:rsid w:val="00BF4A8B"/>
    <w:rsid w:val="00BF5271"/>
    <w:rsid w:val="00BF622D"/>
    <w:rsid w:val="00BF6A57"/>
    <w:rsid w:val="00BF798C"/>
    <w:rsid w:val="00C003A2"/>
    <w:rsid w:val="00C0084C"/>
    <w:rsid w:val="00C00A35"/>
    <w:rsid w:val="00C01B0E"/>
    <w:rsid w:val="00C01C52"/>
    <w:rsid w:val="00C02254"/>
    <w:rsid w:val="00C02390"/>
    <w:rsid w:val="00C0261D"/>
    <w:rsid w:val="00C0273E"/>
    <w:rsid w:val="00C02811"/>
    <w:rsid w:val="00C03417"/>
    <w:rsid w:val="00C0349E"/>
    <w:rsid w:val="00C041B6"/>
    <w:rsid w:val="00C04CA6"/>
    <w:rsid w:val="00C04DE1"/>
    <w:rsid w:val="00C04E16"/>
    <w:rsid w:val="00C05384"/>
    <w:rsid w:val="00C05D37"/>
    <w:rsid w:val="00C06077"/>
    <w:rsid w:val="00C0638C"/>
    <w:rsid w:val="00C063ED"/>
    <w:rsid w:val="00C075B4"/>
    <w:rsid w:val="00C07F65"/>
    <w:rsid w:val="00C105C6"/>
    <w:rsid w:val="00C10979"/>
    <w:rsid w:val="00C10E32"/>
    <w:rsid w:val="00C114B8"/>
    <w:rsid w:val="00C11747"/>
    <w:rsid w:val="00C11E77"/>
    <w:rsid w:val="00C121FD"/>
    <w:rsid w:val="00C12C98"/>
    <w:rsid w:val="00C12E91"/>
    <w:rsid w:val="00C12FEB"/>
    <w:rsid w:val="00C13AFF"/>
    <w:rsid w:val="00C13CC1"/>
    <w:rsid w:val="00C14325"/>
    <w:rsid w:val="00C14C29"/>
    <w:rsid w:val="00C14EA6"/>
    <w:rsid w:val="00C151E3"/>
    <w:rsid w:val="00C1522B"/>
    <w:rsid w:val="00C1550B"/>
    <w:rsid w:val="00C1565B"/>
    <w:rsid w:val="00C156F6"/>
    <w:rsid w:val="00C15A2E"/>
    <w:rsid w:val="00C17027"/>
    <w:rsid w:val="00C173D4"/>
    <w:rsid w:val="00C17C4D"/>
    <w:rsid w:val="00C2038D"/>
    <w:rsid w:val="00C20629"/>
    <w:rsid w:val="00C2091B"/>
    <w:rsid w:val="00C21068"/>
    <w:rsid w:val="00C22431"/>
    <w:rsid w:val="00C22600"/>
    <w:rsid w:val="00C22646"/>
    <w:rsid w:val="00C22D74"/>
    <w:rsid w:val="00C22EBC"/>
    <w:rsid w:val="00C22ECC"/>
    <w:rsid w:val="00C2343F"/>
    <w:rsid w:val="00C235EA"/>
    <w:rsid w:val="00C23D09"/>
    <w:rsid w:val="00C23D9C"/>
    <w:rsid w:val="00C2427A"/>
    <w:rsid w:val="00C24A33"/>
    <w:rsid w:val="00C25E27"/>
    <w:rsid w:val="00C25E48"/>
    <w:rsid w:val="00C264FC"/>
    <w:rsid w:val="00C26AC2"/>
    <w:rsid w:val="00C26B30"/>
    <w:rsid w:val="00C26F98"/>
    <w:rsid w:val="00C2705B"/>
    <w:rsid w:val="00C27685"/>
    <w:rsid w:val="00C302EE"/>
    <w:rsid w:val="00C303D1"/>
    <w:rsid w:val="00C3050C"/>
    <w:rsid w:val="00C3365E"/>
    <w:rsid w:val="00C338D9"/>
    <w:rsid w:val="00C33D5B"/>
    <w:rsid w:val="00C340FB"/>
    <w:rsid w:val="00C3414B"/>
    <w:rsid w:val="00C3479F"/>
    <w:rsid w:val="00C347D2"/>
    <w:rsid w:val="00C348D2"/>
    <w:rsid w:val="00C35068"/>
    <w:rsid w:val="00C355B7"/>
    <w:rsid w:val="00C357BD"/>
    <w:rsid w:val="00C35CE3"/>
    <w:rsid w:val="00C361F3"/>
    <w:rsid w:val="00C362F2"/>
    <w:rsid w:val="00C37056"/>
    <w:rsid w:val="00C37341"/>
    <w:rsid w:val="00C37B3C"/>
    <w:rsid w:val="00C37B59"/>
    <w:rsid w:val="00C37DAE"/>
    <w:rsid w:val="00C4035B"/>
    <w:rsid w:val="00C403BA"/>
    <w:rsid w:val="00C4050E"/>
    <w:rsid w:val="00C40724"/>
    <w:rsid w:val="00C409CE"/>
    <w:rsid w:val="00C409F9"/>
    <w:rsid w:val="00C4122C"/>
    <w:rsid w:val="00C4126C"/>
    <w:rsid w:val="00C41375"/>
    <w:rsid w:val="00C4151B"/>
    <w:rsid w:val="00C42202"/>
    <w:rsid w:val="00C427E1"/>
    <w:rsid w:val="00C42967"/>
    <w:rsid w:val="00C42996"/>
    <w:rsid w:val="00C429EB"/>
    <w:rsid w:val="00C4304F"/>
    <w:rsid w:val="00C434C9"/>
    <w:rsid w:val="00C4488A"/>
    <w:rsid w:val="00C45946"/>
    <w:rsid w:val="00C464BF"/>
    <w:rsid w:val="00C46524"/>
    <w:rsid w:val="00C46E0A"/>
    <w:rsid w:val="00C470A3"/>
    <w:rsid w:val="00C47906"/>
    <w:rsid w:val="00C50746"/>
    <w:rsid w:val="00C50795"/>
    <w:rsid w:val="00C5084D"/>
    <w:rsid w:val="00C50A0B"/>
    <w:rsid w:val="00C50FCB"/>
    <w:rsid w:val="00C5112D"/>
    <w:rsid w:val="00C51805"/>
    <w:rsid w:val="00C51B54"/>
    <w:rsid w:val="00C51EC1"/>
    <w:rsid w:val="00C52428"/>
    <w:rsid w:val="00C527BA"/>
    <w:rsid w:val="00C52F5E"/>
    <w:rsid w:val="00C540DB"/>
    <w:rsid w:val="00C542C9"/>
    <w:rsid w:val="00C54434"/>
    <w:rsid w:val="00C5553A"/>
    <w:rsid w:val="00C55653"/>
    <w:rsid w:val="00C558FD"/>
    <w:rsid w:val="00C563F1"/>
    <w:rsid w:val="00C564CF"/>
    <w:rsid w:val="00C56601"/>
    <w:rsid w:val="00C56643"/>
    <w:rsid w:val="00C569AC"/>
    <w:rsid w:val="00C56A67"/>
    <w:rsid w:val="00C56E3A"/>
    <w:rsid w:val="00C57E28"/>
    <w:rsid w:val="00C602E9"/>
    <w:rsid w:val="00C6051F"/>
    <w:rsid w:val="00C607DD"/>
    <w:rsid w:val="00C60C6C"/>
    <w:rsid w:val="00C61410"/>
    <w:rsid w:val="00C61523"/>
    <w:rsid w:val="00C62707"/>
    <w:rsid w:val="00C633AD"/>
    <w:rsid w:val="00C641E9"/>
    <w:rsid w:val="00C64B34"/>
    <w:rsid w:val="00C663AB"/>
    <w:rsid w:val="00C663C3"/>
    <w:rsid w:val="00C667C8"/>
    <w:rsid w:val="00C67008"/>
    <w:rsid w:val="00C6782D"/>
    <w:rsid w:val="00C67B5D"/>
    <w:rsid w:val="00C67F3A"/>
    <w:rsid w:val="00C70798"/>
    <w:rsid w:val="00C709C9"/>
    <w:rsid w:val="00C71C72"/>
    <w:rsid w:val="00C72646"/>
    <w:rsid w:val="00C7277C"/>
    <w:rsid w:val="00C72DE4"/>
    <w:rsid w:val="00C72F93"/>
    <w:rsid w:val="00C732FE"/>
    <w:rsid w:val="00C7336F"/>
    <w:rsid w:val="00C73387"/>
    <w:rsid w:val="00C734EA"/>
    <w:rsid w:val="00C73741"/>
    <w:rsid w:val="00C73AD8"/>
    <w:rsid w:val="00C73C3E"/>
    <w:rsid w:val="00C742FD"/>
    <w:rsid w:val="00C743BA"/>
    <w:rsid w:val="00C74A03"/>
    <w:rsid w:val="00C74B74"/>
    <w:rsid w:val="00C75417"/>
    <w:rsid w:val="00C75DF0"/>
    <w:rsid w:val="00C7601A"/>
    <w:rsid w:val="00C766DD"/>
    <w:rsid w:val="00C768EB"/>
    <w:rsid w:val="00C76EF4"/>
    <w:rsid w:val="00C7746C"/>
    <w:rsid w:val="00C802AA"/>
    <w:rsid w:val="00C8070B"/>
    <w:rsid w:val="00C8094A"/>
    <w:rsid w:val="00C821A3"/>
    <w:rsid w:val="00C8288B"/>
    <w:rsid w:val="00C82E2C"/>
    <w:rsid w:val="00C831E9"/>
    <w:rsid w:val="00C83B56"/>
    <w:rsid w:val="00C83C5F"/>
    <w:rsid w:val="00C84565"/>
    <w:rsid w:val="00C84707"/>
    <w:rsid w:val="00C848D0"/>
    <w:rsid w:val="00C84E97"/>
    <w:rsid w:val="00C85E4C"/>
    <w:rsid w:val="00C86320"/>
    <w:rsid w:val="00C870C0"/>
    <w:rsid w:val="00C8740F"/>
    <w:rsid w:val="00C876A2"/>
    <w:rsid w:val="00C87A8A"/>
    <w:rsid w:val="00C900A2"/>
    <w:rsid w:val="00C90D2B"/>
    <w:rsid w:val="00C91358"/>
    <w:rsid w:val="00C9138B"/>
    <w:rsid w:val="00C91DFD"/>
    <w:rsid w:val="00C9237C"/>
    <w:rsid w:val="00C92904"/>
    <w:rsid w:val="00C929CA"/>
    <w:rsid w:val="00C929DE"/>
    <w:rsid w:val="00C92A43"/>
    <w:rsid w:val="00C92F16"/>
    <w:rsid w:val="00C9313A"/>
    <w:rsid w:val="00C93381"/>
    <w:rsid w:val="00C93405"/>
    <w:rsid w:val="00C936AE"/>
    <w:rsid w:val="00C93FB2"/>
    <w:rsid w:val="00C946D6"/>
    <w:rsid w:val="00C9501F"/>
    <w:rsid w:val="00C951D1"/>
    <w:rsid w:val="00C95AD2"/>
    <w:rsid w:val="00C9641E"/>
    <w:rsid w:val="00C9647A"/>
    <w:rsid w:val="00C96FD1"/>
    <w:rsid w:val="00C97048"/>
    <w:rsid w:val="00C97666"/>
    <w:rsid w:val="00C9777B"/>
    <w:rsid w:val="00C9789B"/>
    <w:rsid w:val="00CA0A75"/>
    <w:rsid w:val="00CA0BBF"/>
    <w:rsid w:val="00CA0D9D"/>
    <w:rsid w:val="00CA0DA6"/>
    <w:rsid w:val="00CA136A"/>
    <w:rsid w:val="00CA13A9"/>
    <w:rsid w:val="00CA13C9"/>
    <w:rsid w:val="00CA1448"/>
    <w:rsid w:val="00CA147E"/>
    <w:rsid w:val="00CA16B2"/>
    <w:rsid w:val="00CA175F"/>
    <w:rsid w:val="00CA2395"/>
    <w:rsid w:val="00CA292B"/>
    <w:rsid w:val="00CA2E2D"/>
    <w:rsid w:val="00CA401A"/>
    <w:rsid w:val="00CA4774"/>
    <w:rsid w:val="00CA4D91"/>
    <w:rsid w:val="00CA4F20"/>
    <w:rsid w:val="00CA5D2C"/>
    <w:rsid w:val="00CA6420"/>
    <w:rsid w:val="00CA6540"/>
    <w:rsid w:val="00CA6659"/>
    <w:rsid w:val="00CA6E47"/>
    <w:rsid w:val="00CA7754"/>
    <w:rsid w:val="00CA78D6"/>
    <w:rsid w:val="00CA7981"/>
    <w:rsid w:val="00CA7E91"/>
    <w:rsid w:val="00CB0579"/>
    <w:rsid w:val="00CB0E00"/>
    <w:rsid w:val="00CB1096"/>
    <w:rsid w:val="00CB178D"/>
    <w:rsid w:val="00CB1CED"/>
    <w:rsid w:val="00CB2028"/>
    <w:rsid w:val="00CB3296"/>
    <w:rsid w:val="00CB3491"/>
    <w:rsid w:val="00CB4AF7"/>
    <w:rsid w:val="00CB4D44"/>
    <w:rsid w:val="00CB4DCB"/>
    <w:rsid w:val="00CB5329"/>
    <w:rsid w:val="00CB5403"/>
    <w:rsid w:val="00CB635A"/>
    <w:rsid w:val="00CB6E8D"/>
    <w:rsid w:val="00CB7970"/>
    <w:rsid w:val="00CB79E4"/>
    <w:rsid w:val="00CC0252"/>
    <w:rsid w:val="00CC07C2"/>
    <w:rsid w:val="00CC0EFF"/>
    <w:rsid w:val="00CC16C3"/>
    <w:rsid w:val="00CC17C6"/>
    <w:rsid w:val="00CC2238"/>
    <w:rsid w:val="00CC261A"/>
    <w:rsid w:val="00CC28FC"/>
    <w:rsid w:val="00CC3098"/>
    <w:rsid w:val="00CC3523"/>
    <w:rsid w:val="00CC363B"/>
    <w:rsid w:val="00CC3CAA"/>
    <w:rsid w:val="00CC49E2"/>
    <w:rsid w:val="00CC4A5D"/>
    <w:rsid w:val="00CC6103"/>
    <w:rsid w:val="00CC63B1"/>
    <w:rsid w:val="00CC67AB"/>
    <w:rsid w:val="00CC6BE8"/>
    <w:rsid w:val="00CC7568"/>
    <w:rsid w:val="00CC7A6B"/>
    <w:rsid w:val="00CD012D"/>
    <w:rsid w:val="00CD07E4"/>
    <w:rsid w:val="00CD0EB9"/>
    <w:rsid w:val="00CD12BD"/>
    <w:rsid w:val="00CD15E7"/>
    <w:rsid w:val="00CD1C1C"/>
    <w:rsid w:val="00CD1C6F"/>
    <w:rsid w:val="00CD1C8D"/>
    <w:rsid w:val="00CD2035"/>
    <w:rsid w:val="00CD2303"/>
    <w:rsid w:val="00CD287C"/>
    <w:rsid w:val="00CD3A46"/>
    <w:rsid w:val="00CD3B6C"/>
    <w:rsid w:val="00CD3FD7"/>
    <w:rsid w:val="00CD40C3"/>
    <w:rsid w:val="00CD506F"/>
    <w:rsid w:val="00CD50CF"/>
    <w:rsid w:val="00CD54D2"/>
    <w:rsid w:val="00CD565D"/>
    <w:rsid w:val="00CD579C"/>
    <w:rsid w:val="00CD5C6F"/>
    <w:rsid w:val="00CD5E53"/>
    <w:rsid w:val="00CD797D"/>
    <w:rsid w:val="00CE03DC"/>
    <w:rsid w:val="00CE08AD"/>
    <w:rsid w:val="00CE0E84"/>
    <w:rsid w:val="00CE17F9"/>
    <w:rsid w:val="00CE1C96"/>
    <w:rsid w:val="00CE1FF1"/>
    <w:rsid w:val="00CE217E"/>
    <w:rsid w:val="00CE225A"/>
    <w:rsid w:val="00CE274E"/>
    <w:rsid w:val="00CE2959"/>
    <w:rsid w:val="00CE2E4B"/>
    <w:rsid w:val="00CE3358"/>
    <w:rsid w:val="00CE3D6A"/>
    <w:rsid w:val="00CE4313"/>
    <w:rsid w:val="00CE447E"/>
    <w:rsid w:val="00CE44B6"/>
    <w:rsid w:val="00CE543E"/>
    <w:rsid w:val="00CE5758"/>
    <w:rsid w:val="00CE5858"/>
    <w:rsid w:val="00CE599D"/>
    <w:rsid w:val="00CE64F8"/>
    <w:rsid w:val="00CE6832"/>
    <w:rsid w:val="00CE77BD"/>
    <w:rsid w:val="00CE7F66"/>
    <w:rsid w:val="00CF0022"/>
    <w:rsid w:val="00CF068B"/>
    <w:rsid w:val="00CF0719"/>
    <w:rsid w:val="00CF0B81"/>
    <w:rsid w:val="00CF0E47"/>
    <w:rsid w:val="00CF0FFD"/>
    <w:rsid w:val="00CF17F1"/>
    <w:rsid w:val="00CF1A4D"/>
    <w:rsid w:val="00CF1A5D"/>
    <w:rsid w:val="00CF1CA2"/>
    <w:rsid w:val="00CF1DD9"/>
    <w:rsid w:val="00CF201E"/>
    <w:rsid w:val="00CF2748"/>
    <w:rsid w:val="00CF310A"/>
    <w:rsid w:val="00CF3842"/>
    <w:rsid w:val="00CF3F2F"/>
    <w:rsid w:val="00CF417F"/>
    <w:rsid w:val="00CF45A7"/>
    <w:rsid w:val="00CF4D1B"/>
    <w:rsid w:val="00CF5248"/>
    <w:rsid w:val="00CF5623"/>
    <w:rsid w:val="00CF585F"/>
    <w:rsid w:val="00CF5B77"/>
    <w:rsid w:val="00CF63E8"/>
    <w:rsid w:val="00CF67E1"/>
    <w:rsid w:val="00CF68FA"/>
    <w:rsid w:val="00CF6B47"/>
    <w:rsid w:val="00CF71D7"/>
    <w:rsid w:val="00CF770D"/>
    <w:rsid w:val="00CF7B25"/>
    <w:rsid w:val="00CF7D0F"/>
    <w:rsid w:val="00D002C8"/>
    <w:rsid w:val="00D00965"/>
    <w:rsid w:val="00D0178F"/>
    <w:rsid w:val="00D017AF"/>
    <w:rsid w:val="00D0228E"/>
    <w:rsid w:val="00D022A9"/>
    <w:rsid w:val="00D02439"/>
    <w:rsid w:val="00D024A0"/>
    <w:rsid w:val="00D0265F"/>
    <w:rsid w:val="00D027C5"/>
    <w:rsid w:val="00D02881"/>
    <w:rsid w:val="00D032B2"/>
    <w:rsid w:val="00D039BD"/>
    <w:rsid w:val="00D03A38"/>
    <w:rsid w:val="00D03AE9"/>
    <w:rsid w:val="00D03CD4"/>
    <w:rsid w:val="00D04CCC"/>
    <w:rsid w:val="00D050F0"/>
    <w:rsid w:val="00D05974"/>
    <w:rsid w:val="00D05E7B"/>
    <w:rsid w:val="00D05EE6"/>
    <w:rsid w:val="00D0617F"/>
    <w:rsid w:val="00D06231"/>
    <w:rsid w:val="00D06861"/>
    <w:rsid w:val="00D06B55"/>
    <w:rsid w:val="00D071F6"/>
    <w:rsid w:val="00D074A1"/>
    <w:rsid w:val="00D07B06"/>
    <w:rsid w:val="00D10EE8"/>
    <w:rsid w:val="00D116A8"/>
    <w:rsid w:val="00D11C66"/>
    <w:rsid w:val="00D12002"/>
    <w:rsid w:val="00D12629"/>
    <w:rsid w:val="00D126F8"/>
    <w:rsid w:val="00D12BF7"/>
    <w:rsid w:val="00D12C87"/>
    <w:rsid w:val="00D13227"/>
    <w:rsid w:val="00D13792"/>
    <w:rsid w:val="00D13FB1"/>
    <w:rsid w:val="00D14A1F"/>
    <w:rsid w:val="00D15268"/>
    <w:rsid w:val="00D15315"/>
    <w:rsid w:val="00D159BA"/>
    <w:rsid w:val="00D167CF"/>
    <w:rsid w:val="00D16B6C"/>
    <w:rsid w:val="00D17358"/>
    <w:rsid w:val="00D173BB"/>
    <w:rsid w:val="00D20333"/>
    <w:rsid w:val="00D205DE"/>
    <w:rsid w:val="00D20AA9"/>
    <w:rsid w:val="00D210EE"/>
    <w:rsid w:val="00D2129E"/>
    <w:rsid w:val="00D212F3"/>
    <w:rsid w:val="00D217C7"/>
    <w:rsid w:val="00D21815"/>
    <w:rsid w:val="00D21AD9"/>
    <w:rsid w:val="00D21D21"/>
    <w:rsid w:val="00D21DE5"/>
    <w:rsid w:val="00D22445"/>
    <w:rsid w:val="00D22834"/>
    <w:rsid w:val="00D229FA"/>
    <w:rsid w:val="00D22E25"/>
    <w:rsid w:val="00D230E4"/>
    <w:rsid w:val="00D241B8"/>
    <w:rsid w:val="00D24303"/>
    <w:rsid w:val="00D249A9"/>
    <w:rsid w:val="00D24E24"/>
    <w:rsid w:val="00D24E5A"/>
    <w:rsid w:val="00D2540E"/>
    <w:rsid w:val="00D2586E"/>
    <w:rsid w:val="00D25A47"/>
    <w:rsid w:val="00D25B22"/>
    <w:rsid w:val="00D25E3F"/>
    <w:rsid w:val="00D25F41"/>
    <w:rsid w:val="00D25F59"/>
    <w:rsid w:val="00D25FD2"/>
    <w:rsid w:val="00D26077"/>
    <w:rsid w:val="00D26619"/>
    <w:rsid w:val="00D2733C"/>
    <w:rsid w:val="00D2737A"/>
    <w:rsid w:val="00D2788D"/>
    <w:rsid w:val="00D27A9B"/>
    <w:rsid w:val="00D27D90"/>
    <w:rsid w:val="00D319E1"/>
    <w:rsid w:val="00D31A7D"/>
    <w:rsid w:val="00D31E95"/>
    <w:rsid w:val="00D32083"/>
    <w:rsid w:val="00D32B67"/>
    <w:rsid w:val="00D32FC9"/>
    <w:rsid w:val="00D331CB"/>
    <w:rsid w:val="00D33504"/>
    <w:rsid w:val="00D33554"/>
    <w:rsid w:val="00D33DA4"/>
    <w:rsid w:val="00D345DA"/>
    <w:rsid w:val="00D34F81"/>
    <w:rsid w:val="00D36A93"/>
    <w:rsid w:val="00D36FC2"/>
    <w:rsid w:val="00D37922"/>
    <w:rsid w:val="00D37F43"/>
    <w:rsid w:val="00D37FFE"/>
    <w:rsid w:val="00D4020E"/>
    <w:rsid w:val="00D40284"/>
    <w:rsid w:val="00D405C1"/>
    <w:rsid w:val="00D407D4"/>
    <w:rsid w:val="00D408FE"/>
    <w:rsid w:val="00D40FC5"/>
    <w:rsid w:val="00D411B7"/>
    <w:rsid w:val="00D417DB"/>
    <w:rsid w:val="00D41A56"/>
    <w:rsid w:val="00D4215C"/>
    <w:rsid w:val="00D42199"/>
    <w:rsid w:val="00D4268B"/>
    <w:rsid w:val="00D42D55"/>
    <w:rsid w:val="00D43115"/>
    <w:rsid w:val="00D43723"/>
    <w:rsid w:val="00D43778"/>
    <w:rsid w:val="00D43941"/>
    <w:rsid w:val="00D445A2"/>
    <w:rsid w:val="00D447CF"/>
    <w:rsid w:val="00D44F80"/>
    <w:rsid w:val="00D44FA1"/>
    <w:rsid w:val="00D451FE"/>
    <w:rsid w:val="00D4593C"/>
    <w:rsid w:val="00D459E1"/>
    <w:rsid w:val="00D46AC3"/>
    <w:rsid w:val="00D4724E"/>
    <w:rsid w:val="00D47A75"/>
    <w:rsid w:val="00D50058"/>
    <w:rsid w:val="00D5014A"/>
    <w:rsid w:val="00D506C0"/>
    <w:rsid w:val="00D506FE"/>
    <w:rsid w:val="00D50E9A"/>
    <w:rsid w:val="00D5116E"/>
    <w:rsid w:val="00D513F8"/>
    <w:rsid w:val="00D51423"/>
    <w:rsid w:val="00D51C27"/>
    <w:rsid w:val="00D52374"/>
    <w:rsid w:val="00D526EE"/>
    <w:rsid w:val="00D52C89"/>
    <w:rsid w:val="00D52EE9"/>
    <w:rsid w:val="00D52EFD"/>
    <w:rsid w:val="00D52FE3"/>
    <w:rsid w:val="00D530D3"/>
    <w:rsid w:val="00D53260"/>
    <w:rsid w:val="00D532F2"/>
    <w:rsid w:val="00D534AF"/>
    <w:rsid w:val="00D5359E"/>
    <w:rsid w:val="00D539BA"/>
    <w:rsid w:val="00D541A2"/>
    <w:rsid w:val="00D552B9"/>
    <w:rsid w:val="00D553A8"/>
    <w:rsid w:val="00D55F24"/>
    <w:rsid w:val="00D5637E"/>
    <w:rsid w:val="00D566C9"/>
    <w:rsid w:val="00D56902"/>
    <w:rsid w:val="00D56A5F"/>
    <w:rsid w:val="00D56D78"/>
    <w:rsid w:val="00D57004"/>
    <w:rsid w:val="00D57336"/>
    <w:rsid w:val="00D57585"/>
    <w:rsid w:val="00D57615"/>
    <w:rsid w:val="00D57AFA"/>
    <w:rsid w:val="00D57BA4"/>
    <w:rsid w:val="00D60549"/>
    <w:rsid w:val="00D607DD"/>
    <w:rsid w:val="00D610B8"/>
    <w:rsid w:val="00D61200"/>
    <w:rsid w:val="00D61933"/>
    <w:rsid w:val="00D61CF0"/>
    <w:rsid w:val="00D61D4C"/>
    <w:rsid w:val="00D62756"/>
    <w:rsid w:val="00D630CE"/>
    <w:rsid w:val="00D638CA"/>
    <w:rsid w:val="00D64073"/>
    <w:rsid w:val="00D643D2"/>
    <w:rsid w:val="00D64440"/>
    <w:rsid w:val="00D644BC"/>
    <w:rsid w:val="00D64822"/>
    <w:rsid w:val="00D64C81"/>
    <w:rsid w:val="00D64FDD"/>
    <w:rsid w:val="00D66264"/>
    <w:rsid w:val="00D66702"/>
    <w:rsid w:val="00D6695E"/>
    <w:rsid w:val="00D66AEE"/>
    <w:rsid w:val="00D66C80"/>
    <w:rsid w:val="00D674A1"/>
    <w:rsid w:val="00D67B15"/>
    <w:rsid w:val="00D67F52"/>
    <w:rsid w:val="00D67F92"/>
    <w:rsid w:val="00D70BA6"/>
    <w:rsid w:val="00D713CB"/>
    <w:rsid w:val="00D715C8"/>
    <w:rsid w:val="00D715D6"/>
    <w:rsid w:val="00D71968"/>
    <w:rsid w:val="00D723B2"/>
    <w:rsid w:val="00D7241F"/>
    <w:rsid w:val="00D725C9"/>
    <w:rsid w:val="00D7299F"/>
    <w:rsid w:val="00D72D96"/>
    <w:rsid w:val="00D72F7F"/>
    <w:rsid w:val="00D7367A"/>
    <w:rsid w:val="00D7413D"/>
    <w:rsid w:val="00D7436F"/>
    <w:rsid w:val="00D74921"/>
    <w:rsid w:val="00D7533F"/>
    <w:rsid w:val="00D75403"/>
    <w:rsid w:val="00D75459"/>
    <w:rsid w:val="00D7634E"/>
    <w:rsid w:val="00D76542"/>
    <w:rsid w:val="00D76766"/>
    <w:rsid w:val="00D76C64"/>
    <w:rsid w:val="00D76EBE"/>
    <w:rsid w:val="00D76EF1"/>
    <w:rsid w:val="00D77066"/>
    <w:rsid w:val="00D771B7"/>
    <w:rsid w:val="00D77368"/>
    <w:rsid w:val="00D800FD"/>
    <w:rsid w:val="00D8020C"/>
    <w:rsid w:val="00D803D4"/>
    <w:rsid w:val="00D8179B"/>
    <w:rsid w:val="00D81A86"/>
    <w:rsid w:val="00D81B6D"/>
    <w:rsid w:val="00D827DA"/>
    <w:rsid w:val="00D82FCB"/>
    <w:rsid w:val="00D83467"/>
    <w:rsid w:val="00D849EA"/>
    <w:rsid w:val="00D85261"/>
    <w:rsid w:val="00D858CB"/>
    <w:rsid w:val="00D85EA7"/>
    <w:rsid w:val="00D8602B"/>
    <w:rsid w:val="00D863D9"/>
    <w:rsid w:val="00D865D2"/>
    <w:rsid w:val="00D86A9A"/>
    <w:rsid w:val="00D86AD9"/>
    <w:rsid w:val="00D871D2"/>
    <w:rsid w:val="00D87AE4"/>
    <w:rsid w:val="00D87E4C"/>
    <w:rsid w:val="00D9021C"/>
    <w:rsid w:val="00D90499"/>
    <w:rsid w:val="00D9072D"/>
    <w:rsid w:val="00D90ADF"/>
    <w:rsid w:val="00D90AFD"/>
    <w:rsid w:val="00D90BC1"/>
    <w:rsid w:val="00D91088"/>
    <w:rsid w:val="00D913A8"/>
    <w:rsid w:val="00D916D5"/>
    <w:rsid w:val="00D9177E"/>
    <w:rsid w:val="00D91C02"/>
    <w:rsid w:val="00D91E58"/>
    <w:rsid w:val="00D921A7"/>
    <w:rsid w:val="00D925AB"/>
    <w:rsid w:val="00D9289B"/>
    <w:rsid w:val="00D931D9"/>
    <w:rsid w:val="00D9340B"/>
    <w:rsid w:val="00D9393D"/>
    <w:rsid w:val="00D93FA4"/>
    <w:rsid w:val="00D94E84"/>
    <w:rsid w:val="00D95BFD"/>
    <w:rsid w:val="00D95C28"/>
    <w:rsid w:val="00D95C67"/>
    <w:rsid w:val="00D960A1"/>
    <w:rsid w:val="00D968D8"/>
    <w:rsid w:val="00D97344"/>
    <w:rsid w:val="00D97A51"/>
    <w:rsid w:val="00D97BC2"/>
    <w:rsid w:val="00D97C20"/>
    <w:rsid w:val="00D97C6A"/>
    <w:rsid w:val="00DA01A2"/>
    <w:rsid w:val="00DA05D5"/>
    <w:rsid w:val="00DA0E76"/>
    <w:rsid w:val="00DA2085"/>
    <w:rsid w:val="00DA2738"/>
    <w:rsid w:val="00DA29DD"/>
    <w:rsid w:val="00DA2B84"/>
    <w:rsid w:val="00DA305A"/>
    <w:rsid w:val="00DA3A82"/>
    <w:rsid w:val="00DA3AC4"/>
    <w:rsid w:val="00DA3B61"/>
    <w:rsid w:val="00DA4B2F"/>
    <w:rsid w:val="00DA5641"/>
    <w:rsid w:val="00DA56AC"/>
    <w:rsid w:val="00DA5A79"/>
    <w:rsid w:val="00DA5ACC"/>
    <w:rsid w:val="00DA5AE7"/>
    <w:rsid w:val="00DA5CF5"/>
    <w:rsid w:val="00DA6676"/>
    <w:rsid w:val="00DA6886"/>
    <w:rsid w:val="00DA6A54"/>
    <w:rsid w:val="00DA704D"/>
    <w:rsid w:val="00DA70CC"/>
    <w:rsid w:val="00DA72C1"/>
    <w:rsid w:val="00DB07A7"/>
    <w:rsid w:val="00DB0BF0"/>
    <w:rsid w:val="00DB14D0"/>
    <w:rsid w:val="00DB28C0"/>
    <w:rsid w:val="00DB2DCF"/>
    <w:rsid w:val="00DB3049"/>
    <w:rsid w:val="00DB3AAC"/>
    <w:rsid w:val="00DB3B5C"/>
    <w:rsid w:val="00DB4615"/>
    <w:rsid w:val="00DB4CD3"/>
    <w:rsid w:val="00DB5B6B"/>
    <w:rsid w:val="00DB5B9E"/>
    <w:rsid w:val="00DB5E05"/>
    <w:rsid w:val="00DB5EC3"/>
    <w:rsid w:val="00DB607D"/>
    <w:rsid w:val="00DB6542"/>
    <w:rsid w:val="00DB6679"/>
    <w:rsid w:val="00DB6B4D"/>
    <w:rsid w:val="00DB6E2E"/>
    <w:rsid w:val="00DB6F2C"/>
    <w:rsid w:val="00DB6FC5"/>
    <w:rsid w:val="00DB7022"/>
    <w:rsid w:val="00DB72D6"/>
    <w:rsid w:val="00DB7711"/>
    <w:rsid w:val="00DC01BC"/>
    <w:rsid w:val="00DC043B"/>
    <w:rsid w:val="00DC0857"/>
    <w:rsid w:val="00DC0E63"/>
    <w:rsid w:val="00DC111A"/>
    <w:rsid w:val="00DC12D0"/>
    <w:rsid w:val="00DC1C97"/>
    <w:rsid w:val="00DC1CE5"/>
    <w:rsid w:val="00DC1DD6"/>
    <w:rsid w:val="00DC2094"/>
    <w:rsid w:val="00DC2820"/>
    <w:rsid w:val="00DC2B5B"/>
    <w:rsid w:val="00DC2BED"/>
    <w:rsid w:val="00DC33DB"/>
    <w:rsid w:val="00DC3802"/>
    <w:rsid w:val="00DC3943"/>
    <w:rsid w:val="00DC3CEA"/>
    <w:rsid w:val="00DC4585"/>
    <w:rsid w:val="00DC4C1F"/>
    <w:rsid w:val="00DC4DC6"/>
    <w:rsid w:val="00DC637D"/>
    <w:rsid w:val="00DC7069"/>
    <w:rsid w:val="00DC7912"/>
    <w:rsid w:val="00DC7A53"/>
    <w:rsid w:val="00DC7B28"/>
    <w:rsid w:val="00DC7D35"/>
    <w:rsid w:val="00DD008E"/>
    <w:rsid w:val="00DD00E7"/>
    <w:rsid w:val="00DD06F8"/>
    <w:rsid w:val="00DD0F9E"/>
    <w:rsid w:val="00DD1DDB"/>
    <w:rsid w:val="00DD2367"/>
    <w:rsid w:val="00DD2713"/>
    <w:rsid w:val="00DD2A3F"/>
    <w:rsid w:val="00DD2D75"/>
    <w:rsid w:val="00DD31EF"/>
    <w:rsid w:val="00DD3C94"/>
    <w:rsid w:val="00DD47CA"/>
    <w:rsid w:val="00DD49DF"/>
    <w:rsid w:val="00DD4D74"/>
    <w:rsid w:val="00DD5247"/>
    <w:rsid w:val="00DD558D"/>
    <w:rsid w:val="00DD577D"/>
    <w:rsid w:val="00DD5A9A"/>
    <w:rsid w:val="00DD5BB6"/>
    <w:rsid w:val="00DD6D0E"/>
    <w:rsid w:val="00DD6E95"/>
    <w:rsid w:val="00DD768D"/>
    <w:rsid w:val="00DE0697"/>
    <w:rsid w:val="00DE0AE2"/>
    <w:rsid w:val="00DE16C3"/>
    <w:rsid w:val="00DE1DE3"/>
    <w:rsid w:val="00DE2465"/>
    <w:rsid w:val="00DE2A08"/>
    <w:rsid w:val="00DE3080"/>
    <w:rsid w:val="00DE3428"/>
    <w:rsid w:val="00DE38DD"/>
    <w:rsid w:val="00DE419B"/>
    <w:rsid w:val="00DE4941"/>
    <w:rsid w:val="00DE4E2F"/>
    <w:rsid w:val="00DE5B12"/>
    <w:rsid w:val="00DE5E83"/>
    <w:rsid w:val="00DE6240"/>
    <w:rsid w:val="00DE6893"/>
    <w:rsid w:val="00DE6ECA"/>
    <w:rsid w:val="00DE728A"/>
    <w:rsid w:val="00DE7305"/>
    <w:rsid w:val="00DE77C1"/>
    <w:rsid w:val="00DE7EDB"/>
    <w:rsid w:val="00DF0C3D"/>
    <w:rsid w:val="00DF141F"/>
    <w:rsid w:val="00DF1E43"/>
    <w:rsid w:val="00DF1FBB"/>
    <w:rsid w:val="00DF289C"/>
    <w:rsid w:val="00DF2B30"/>
    <w:rsid w:val="00DF395C"/>
    <w:rsid w:val="00DF39DA"/>
    <w:rsid w:val="00DF3D71"/>
    <w:rsid w:val="00DF4998"/>
    <w:rsid w:val="00DF4CDE"/>
    <w:rsid w:val="00DF5031"/>
    <w:rsid w:val="00DF51E0"/>
    <w:rsid w:val="00DF5313"/>
    <w:rsid w:val="00DF5943"/>
    <w:rsid w:val="00DF5DAC"/>
    <w:rsid w:val="00DF65CF"/>
    <w:rsid w:val="00DF65EA"/>
    <w:rsid w:val="00DF695C"/>
    <w:rsid w:val="00DF6A06"/>
    <w:rsid w:val="00DF7411"/>
    <w:rsid w:val="00DF7C24"/>
    <w:rsid w:val="00E0027A"/>
    <w:rsid w:val="00E004AB"/>
    <w:rsid w:val="00E00B9B"/>
    <w:rsid w:val="00E00BA5"/>
    <w:rsid w:val="00E01CC2"/>
    <w:rsid w:val="00E01D91"/>
    <w:rsid w:val="00E01F12"/>
    <w:rsid w:val="00E020C8"/>
    <w:rsid w:val="00E03098"/>
    <w:rsid w:val="00E035C5"/>
    <w:rsid w:val="00E0544E"/>
    <w:rsid w:val="00E05AF0"/>
    <w:rsid w:val="00E06043"/>
    <w:rsid w:val="00E06A16"/>
    <w:rsid w:val="00E06B26"/>
    <w:rsid w:val="00E077B6"/>
    <w:rsid w:val="00E07D1F"/>
    <w:rsid w:val="00E07E41"/>
    <w:rsid w:val="00E101E2"/>
    <w:rsid w:val="00E10854"/>
    <w:rsid w:val="00E10AF3"/>
    <w:rsid w:val="00E10E63"/>
    <w:rsid w:val="00E1123D"/>
    <w:rsid w:val="00E112EF"/>
    <w:rsid w:val="00E11CD9"/>
    <w:rsid w:val="00E122AF"/>
    <w:rsid w:val="00E12432"/>
    <w:rsid w:val="00E126B7"/>
    <w:rsid w:val="00E12888"/>
    <w:rsid w:val="00E1299C"/>
    <w:rsid w:val="00E12B07"/>
    <w:rsid w:val="00E12BB2"/>
    <w:rsid w:val="00E12E88"/>
    <w:rsid w:val="00E12FC5"/>
    <w:rsid w:val="00E12FCE"/>
    <w:rsid w:val="00E131BB"/>
    <w:rsid w:val="00E13CC6"/>
    <w:rsid w:val="00E13E33"/>
    <w:rsid w:val="00E14392"/>
    <w:rsid w:val="00E143D3"/>
    <w:rsid w:val="00E14A9E"/>
    <w:rsid w:val="00E14FA3"/>
    <w:rsid w:val="00E15A19"/>
    <w:rsid w:val="00E16176"/>
    <w:rsid w:val="00E169C9"/>
    <w:rsid w:val="00E16F0C"/>
    <w:rsid w:val="00E17499"/>
    <w:rsid w:val="00E1773F"/>
    <w:rsid w:val="00E1789D"/>
    <w:rsid w:val="00E17AF2"/>
    <w:rsid w:val="00E20B3F"/>
    <w:rsid w:val="00E217AF"/>
    <w:rsid w:val="00E21A75"/>
    <w:rsid w:val="00E220E0"/>
    <w:rsid w:val="00E22400"/>
    <w:rsid w:val="00E2242C"/>
    <w:rsid w:val="00E22A7F"/>
    <w:rsid w:val="00E22E00"/>
    <w:rsid w:val="00E2329B"/>
    <w:rsid w:val="00E23440"/>
    <w:rsid w:val="00E235D4"/>
    <w:rsid w:val="00E23D00"/>
    <w:rsid w:val="00E24907"/>
    <w:rsid w:val="00E24FF1"/>
    <w:rsid w:val="00E25004"/>
    <w:rsid w:val="00E25113"/>
    <w:rsid w:val="00E254E8"/>
    <w:rsid w:val="00E2580B"/>
    <w:rsid w:val="00E25B13"/>
    <w:rsid w:val="00E262A1"/>
    <w:rsid w:val="00E26AE1"/>
    <w:rsid w:val="00E2793B"/>
    <w:rsid w:val="00E27C29"/>
    <w:rsid w:val="00E30579"/>
    <w:rsid w:val="00E3057D"/>
    <w:rsid w:val="00E30A08"/>
    <w:rsid w:val="00E30A74"/>
    <w:rsid w:val="00E31BCA"/>
    <w:rsid w:val="00E31DDC"/>
    <w:rsid w:val="00E32190"/>
    <w:rsid w:val="00E32A7F"/>
    <w:rsid w:val="00E33046"/>
    <w:rsid w:val="00E33221"/>
    <w:rsid w:val="00E3402B"/>
    <w:rsid w:val="00E340E0"/>
    <w:rsid w:val="00E3445D"/>
    <w:rsid w:val="00E3447E"/>
    <w:rsid w:val="00E34C1A"/>
    <w:rsid w:val="00E35E14"/>
    <w:rsid w:val="00E35FE7"/>
    <w:rsid w:val="00E363D6"/>
    <w:rsid w:val="00E36E0B"/>
    <w:rsid w:val="00E37695"/>
    <w:rsid w:val="00E37ADF"/>
    <w:rsid w:val="00E37F0D"/>
    <w:rsid w:val="00E40761"/>
    <w:rsid w:val="00E407B9"/>
    <w:rsid w:val="00E40CD7"/>
    <w:rsid w:val="00E41098"/>
    <w:rsid w:val="00E41204"/>
    <w:rsid w:val="00E41546"/>
    <w:rsid w:val="00E4195E"/>
    <w:rsid w:val="00E41A00"/>
    <w:rsid w:val="00E41BF1"/>
    <w:rsid w:val="00E42BFC"/>
    <w:rsid w:val="00E42EC4"/>
    <w:rsid w:val="00E430CE"/>
    <w:rsid w:val="00E4348D"/>
    <w:rsid w:val="00E43717"/>
    <w:rsid w:val="00E43A2C"/>
    <w:rsid w:val="00E44239"/>
    <w:rsid w:val="00E4459F"/>
    <w:rsid w:val="00E44B9B"/>
    <w:rsid w:val="00E44DEE"/>
    <w:rsid w:val="00E4575B"/>
    <w:rsid w:val="00E459D5"/>
    <w:rsid w:val="00E45B82"/>
    <w:rsid w:val="00E475A6"/>
    <w:rsid w:val="00E4760B"/>
    <w:rsid w:val="00E50443"/>
    <w:rsid w:val="00E50575"/>
    <w:rsid w:val="00E50D3E"/>
    <w:rsid w:val="00E50F92"/>
    <w:rsid w:val="00E5126A"/>
    <w:rsid w:val="00E51A12"/>
    <w:rsid w:val="00E51B99"/>
    <w:rsid w:val="00E51FFF"/>
    <w:rsid w:val="00E5264E"/>
    <w:rsid w:val="00E53006"/>
    <w:rsid w:val="00E53117"/>
    <w:rsid w:val="00E53564"/>
    <w:rsid w:val="00E53F07"/>
    <w:rsid w:val="00E54588"/>
    <w:rsid w:val="00E5496E"/>
    <w:rsid w:val="00E54EE1"/>
    <w:rsid w:val="00E55228"/>
    <w:rsid w:val="00E55458"/>
    <w:rsid w:val="00E55BFB"/>
    <w:rsid w:val="00E55C00"/>
    <w:rsid w:val="00E56062"/>
    <w:rsid w:val="00E56A72"/>
    <w:rsid w:val="00E57A0A"/>
    <w:rsid w:val="00E57DF5"/>
    <w:rsid w:val="00E601A3"/>
    <w:rsid w:val="00E607ED"/>
    <w:rsid w:val="00E60972"/>
    <w:rsid w:val="00E60C44"/>
    <w:rsid w:val="00E61199"/>
    <w:rsid w:val="00E61ABE"/>
    <w:rsid w:val="00E61ED7"/>
    <w:rsid w:val="00E621FE"/>
    <w:rsid w:val="00E62451"/>
    <w:rsid w:val="00E6268D"/>
    <w:rsid w:val="00E6292A"/>
    <w:rsid w:val="00E6297A"/>
    <w:rsid w:val="00E6298B"/>
    <w:rsid w:val="00E62A87"/>
    <w:rsid w:val="00E630D7"/>
    <w:rsid w:val="00E631A5"/>
    <w:rsid w:val="00E631AA"/>
    <w:rsid w:val="00E648A2"/>
    <w:rsid w:val="00E659A5"/>
    <w:rsid w:val="00E65D23"/>
    <w:rsid w:val="00E663C7"/>
    <w:rsid w:val="00E66786"/>
    <w:rsid w:val="00E67FC0"/>
    <w:rsid w:val="00E7003E"/>
    <w:rsid w:val="00E70501"/>
    <w:rsid w:val="00E7053C"/>
    <w:rsid w:val="00E709B7"/>
    <w:rsid w:val="00E70C54"/>
    <w:rsid w:val="00E714E5"/>
    <w:rsid w:val="00E71553"/>
    <w:rsid w:val="00E7170A"/>
    <w:rsid w:val="00E71889"/>
    <w:rsid w:val="00E71A37"/>
    <w:rsid w:val="00E71B21"/>
    <w:rsid w:val="00E720DF"/>
    <w:rsid w:val="00E723B8"/>
    <w:rsid w:val="00E72F0A"/>
    <w:rsid w:val="00E730BD"/>
    <w:rsid w:val="00E731EC"/>
    <w:rsid w:val="00E73C20"/>
    <w:rsid w:val="00E7432A"/>
    <w:rsid w:val="00E7432D"/>
    <w:rsid w:val="00E747B5"/>
    <w:rsid w:val="00E7485E"/>
    <w:rsid w:val="00E75B79"/>
    <w:rsid w:val="00E75F4D"/>
    <w:rsid w:val="00E762AE"/>
    <w:rsid w:val="00E76E1E"/>
    <w:rsid w:val="00E76F78"/>
    <w:rsid w:val="00E778F3"/>
    <w:rsid w:val="00E77CA5"/>
    <w:rsid w:val="00E80343"/>
    <w:rsid w:val="00E804B0"/>
    <w:rsid w:val="00E804DE"/>
    <w:rsid w:val="00E80585"/>
    <w:rsid w:val="00E80778"/>
    <w:rsid w:val="00E809CA"/>
    <w:rsid w:val="00E81743"/>
    <w:rsid w:val="00E819C1"/>
    <w:rsid w:val="00E81E82"/>
    <w:rsid w:val="00E82269"/>
    <w:rsid w:val="00E826CE"/>
    <w:rsid w:val="00E829C2"/>
    <w:rsid w:val="00E8345B"/>
    <w:rsid w:val="00E83E4F"/>
    <w:rsid w:val="00E84A77"/>
    <w:rsid w:val="00E85F36"/>
    <w:rsid w:val="00E8608E"/>
    <w:rsid w:val="00E8786A"/>
    <w:rsid w:val="00E87923"/>
    <w:rsid w:val="00E87DE3"/>
    <w:rsid w:val="00E90088"/>
    <w:rsid w:val="00E90C39"/>
    <w:rsid w:val="00E90EA4"/>
    <w:rsid w:val="00E912DB"/>
    <w:rsid w:val="00E91694"/>
    <w:rsid w:val="00E91C75"/>
    <w:rsid w:val="00E92164"/>
    <w:rsid w:val="00E92BBD"/>
    <w:rsid w:val="00E931DA"/>
    <w:rsid w:val="00E9340D"/>
    <w:rsid w:val="00E9341D"/>
    <w:rsid w:val="00E936EE"/>
    <w:rsid w:val="00E93930"/>
    <w:rsid w:val="00E93F30"/>
    <w:rsid w:val="00E9413F"/>
    <w:rsid w:val="00E9455A"/>
    <w:rsid w:val="00E9481C"/>
    <w:rsid w:val="00E94E06"/>
    <w:rsid w:val="00E952B8"/>
    <w:rsid w:val="00E95A72"/>
    <w:rsid w:val="00E95B9F"/>
    <w:rsid w:val="00E964D0"/>
    <w:rsid w:val="00E96629"/>
    <w:rsid w:val="00E966BA"/>
    <w:rsid w:val="00E96A8C"/>
    <w:rsid w:val="00E96D8C"/>
    <w:rsid w:val="00E97052"/>
    <w:rsid w:val="00E972F2"/>
    <w:rsid w:val="00E97713"/>
    <w:rsid w:val="00E97B58"/>
    <w:rsid w:val="00EA0BA8"/>
    <w:rsid w:val="00EA114D"/>
    <w:rsid w:val="00EA1BC2"/>
    <w:rsid w:val="00EA20AB"/>
    <w:rsid w:val="00EA20D0"/>
    <w:rsid w:val="00EA25B1"/>
    <w:rsid w:val="00EA2746"/>
    <w:rsid w:val="00EA2CA7"/>
    <w:rsid w:val="00EA3818"/>
    <w:rsid w:val="00EA4463"/>
    <w:rsid w:val="00EA458A"/>
    <w:rsid w:val="00EA51B7"/>
    <w:rsid w:val="00EA5343"/>
    <w:rsid w:val="00EA5B52"/>
    <w:rsid w:val="00EA5BC3"/>
    <w:rsid w:val="00EA6349"/>
    <w:rsid w:val="00EA7091"/>
    <w:rsid w:val="00EA74FE"/>
    <w:rsid w:val="00EB0077"/>
    <w:rsid w:val="00EB007F"/>
    <w:rsid w:val="00EB184D"/>
    <w:rsid w:val="00EB1D96"/>
    <w:rsid w:val="00EB1E64"/>
    <w:rsid w:val="00EB2046"/>
    <w:rsid w:val="00EB2199"/>
    <w:rsid w:val="00EB338E"/>
    <w:rsid w:val="00EB34D2"/>
    <w:rsid w:val="00EB3689"/>
    <w:rsid w:val="00EB3E59"/>
    <w:rsid w:val="00EB3F3D"/>
    <w:rsid w:val="00EB4290"/>
    <w:rsid w:val="00EB440E"/>
    <w:rsid w:val="00EB48A7"/>
    <w:rsid w:val="00EB49EB"/>
    <w:rsid w:val="00EB57B3"/>
    <w:rsid w:val="00EB5B7C"/>
    <w:rsid w:val="00EB5C06"/>
    <w:rsid w:val="00EB5F2A"/>
    <w:rsid w:val="00EB5FDD"/>
    <w:rsid w:val="00EB676C"/>
    <w:rsid w:val="00EB6B5D"/>
    <w:rsid w:val="00EB6EA2"/>
    <w:rsid w:val="00EB6F8E"/>
    <w:rsid w:val="00EB7709"/>
    <w:rsid w:val="00EB7A83"/>
    <w:rsid w:val="00EC070E"/>
    <w:rsid w:val="00EC10CC"/>
    <w:rsid w:val="00EC14FD"/>
    <w:rsid w:val="00EC1907"/>
    <w:rsid w:val="00EC236B"/>
    <w:rsid w:val="00EC2A79"/>
    <w:rsid w:val="00EC2E97"/>
    <w:rsid w:val="00EC35D8"/>
    <w:rsid w:val="00EC3B84"/>
    <w:rsid w:val="00EC44F9"/>
    <w:rsid w:val="00EC48AA"/>
    <w:rsid w:val="00EC4ED5"/>
    <w:rsid w:val="00EC52D7"/>
    <w:rsid w:val="00EC5842"/>
    <w:rsid w:val="00EC5962"/>
    <w:rsid w:val="00EC6D6C"/>
    <w:rsid w:val="00EC6FD6"/>
    <w:rsid w:val="00EC71CA"/>
    <w:rsid w:val="00EC7384"/>
    <w:rsid w:val="00EC7AED"/>
    <w:rsid w:val="00EC7F72"/>
    <w:rsid w:val="00EC7F78"/>
    <w:rsid w:val="00ED058B"/>
    <w:rsid w:val="00ED07B2"/>
    <w:rsid w:val="00ED0921"/>
    <w:rsid w:val="00ED0A59"/>
    <w:rsid w:val="00ED0A84"/>
    <w:rsid w:val="00ED0C38"/>
    <w:rsid w:val="00ED105D"/>
    <w:rsid w:val="00ED1873"/>
    <w:rsid w:val="00ED1C54"/>
    <w:rsid w:val="00ED1DBA"/>
    <w:rsid w:val="00ED2088"/>
    <w:rsid w:val="00ED2388"/>
    <w:rsid w:val="00ED25C7"/>
    <w:rsid w:val="00ED2ADE"/>
    <w:rsid w:val="00ED2FF2"/>
    <w:rsid w:val="00ED37A4"/>
    <w:rsid w:val="00ED3C55"/>
    <w:rsid w:val="00ED4147"/>
    <w:rsid w:val="00ED41F7"/>
    <w:rsid w:val="00ED45C6"/>
    <w:rsid w:val="00ED4D2A"/>
    <w:rsid w:val="00ED5423"/>
    <w:rsid w:val="00ED5A21"/>
    <w:rsid w:val="00ED5B92"/>
    <w:rsid w:val="00ED5EA0"/>
    <w:rsid w:val="00ED61E1"/>
    <w:rsid w:val="00ED61EE"/>
    <w:rsid w:val="00ED6232"/>
    <w:rsid w:val="00ED68FB"/>
    <w:rsid w:val="00ED6B5D"/>
    <w:rsid w:val="00ED6DBC"/>
    <w:rsid w:val="00ED7723"/>
    <w:rsid w:val="00ED78D3"/>
    <w:rsid w:val="00ED7C0B"/>
    <w:rsid w:val="00EE05DC"/>
    <w:rsid w:val="00EE0911"/>
    <w:rsid w:val="00EE0AF2"/>
    <w:rsid w:val="00EE10B8"/>
    <w:rsid w:val="00EE16E2"/>
    <w:rsid w:val="00EE275E"/>
    <w:rsid w:val="00EE33AC"/>
    <w:rsid w:val="00EE3E7F"/>
    <w:rsid w:val="00EE3F08"/>
    <w:rsid w:val="00EE485B"/>
    <w:rsid w:val="00EE49B7"/>
    <w:rsid w:val="00EE51BD"/>
    <w:rsid w:val="00EE5350"/>
    <w:rsid w:val="00EE62F5"/>
    <w:rsid w:val="00EE672A"/>
    <w:rsid w:val="00EE6764"/>
    <w:rsid w:val="00EE6992"/>
    <w:rsid w:val="00EE6DED"/>
    <w:rsid w:val="00EE75B9"/>
    <w:rsid w:val="00EE7950"/>
    <w:rsid w:val="00EE7AF5"/>
    <w:rsid w:val="00EE7DAA"/>
    <w:rsid w:val="00EF07B8"/>
    <w:rsid w:val="00EF136F"/>
    <w:rsid w:val="00EF146B"/>
    <w:rsid w:val="00EF157B"/>
    <w:rsid w:val="00EF1DC0"/>
    <w:rsid w:val="00EF2336"/>
    <w:rsid w:val="00EF2384"/>
    <w:rsid w:val="00EF264F"/>
    <w:rsid w:val="00EF2AFC"/>
    <w:rsid w:val="00EF3470"/>
    <w:rsid w:val="00EF3C45"/>
    <w:rsid w:val="00EF3D6A"/>
    <w:rsid w:val="00EF451C"/>
    <w:rsid w:val="00EF48C1"/>
    <w:rsid w:val="00EF4C88"/>
    <w:rsid w:val="00EF5452"/>
    <w:rsid w:val="00EF5462"/>
    <w:rsid w:val="00EF57B6"/>
    <w:rsid w:val="00EF5879"/>
    <w:rsid w:val="00EF5C5A"/>
    <w:rsid w:val="00EF602C"/>
    <w:rsid w:val="00EF6F7C"/>
    <w:rsid w:val="00EF722C"/>
    <w:rsid w:val="00EF7271"/>
    <w:rsid w:val="00EF75D6"/>
    <w:rsid w:val="00EF7A01"/>
    <w:rsid w:val="00F00011"/>
    <w:rsid w:val="00F00053"/>
    <w:rsid w:val="00F005DA"/>
    <w:rsid w:val="00F00AA0"/>
    <w:rsid w:val="00F00B8C"/>
    <w:rsid w:val="00F01334"/>
    <w:rsid w:val="00F01840"/>
    <w:rsid w:val="00F02390"/>
    <w:rsid w:val="00F02478"/>
    <w:rsid w:val="00F0282F"/>
    <w:rsid w:val="00F02843"/>
    <w:rsid w:val="00F035DC"/>
    <w:rsid w:val="00F039A2"/>
    <w:rsid w:val="00F03A93"/>
    <w:rsid w:val="00F042FC"/>
    <w:rsid w:val="00F04400"/>
    <w:rsid w:val="00F0448F"/>
    <w:rsid w:val="00F06151"/>
    <w:rsid w:val="00F06247"/>
    <w:rsid w:val="00F0635A"/>
    <w:rsid w:val="00F066DC"/>
    <w:rsid w:val="00F06BCE"/>
    <w:rsid w:val="00F07456"/>
    <w:rsid w:val="00F07DED"/>
    <w:rsid w:val="00F10587"/>
    <w:rsid w:val="00F10695"/>
    <w:rsid w:val="00F10CDE"/>
    <w:rsid w:val="00F11668"/>
    <w:rsid w:val="00F117EC"/>
    <w:rsid w:val="00F1260F"/>
    <w:rsid w:val="00F1293D"/>
    <w:rsid w:val="00F13643"/>
    <w:rsid w:val="00F13F3B"/>
    <w:rsid w:val="00F14674"/>
    <w:rsid w:val="00F15AA2"/>
    <w:rsid w:val="00F15C52"/>
    <w:rsid w:val="00F15CDC"/>
    <w:rsid w:val="00F15D7B"/>
    <w:rsid w:val="00F16499"/>
    <w:rsid w:val="00F168A5"/>
    <w:rsid w:val="00F169AE"/>
    <w:rsid w:val="00F16F27"/>
    <w:rsid w:val="00F17255"/>
    <w:rsid w:val="00F17651"/>
    <w:rsid w:val="00F179D6"/>
    <w:rsid w:val="00F20A5E"/>
    <w:rsid w:val="00F20B01"/>
    <w:rsid w:val="00F213EC"/>
    <w:rsid w:val="00F21627"/>
    <w:rsid w:val="00F21A4F"/>
    <w:rsid w:val="00F21C5F"/>
    <w:rsid w:val="00F22267"/>
    <w:rsid w:val="00F22958"/>
    <w:rsid w:val="00F22D7C"/>
    <w:rsid w:val="00F2372D"/>
    <w:rsid w:val="00F2382F"/>
    <w:rsid w:val="00F23D3A"/>
    <w:rsid w:val="00F23EC8"/>
    <w:rsid w:val="00F2510C"/>
    <w:rsid w:val="00F253FB"/>
    <w:rsid w:val="00F254A5"/>
    <w:rsid w:val="00F255A3"/>
    <w:rsid w:val="00F259E7"/>
    <w:rsid w:val="00F25F01"/>
    <w:rsid w:val="00F26107"/>
    <w:rsid w:val="00F26784"/>
    <w:rsid w:val="00F26F4F"/>
    <w:rsid w:val="00F302F3"/>
    <w:rsid w:val="00F3078C"/>
    <w:rsid w:val="00F30FC5"/>
    <w:rsid w:val="00F3172C"/>
    <w:rsid w:val="00F319F9"/>
    <w:rsid w:val="00F31A2D"/>
    <w:rsid w:val="00F31CE7"/>
    <w:rsid w:val="00F31F89"/>
    <w:rsid w:val="00F32062"/>
    <w:rsid w:val="00F32976"/>
    <w:rsid w:val="00F32EFF"/>
    <w:rsid w:val="00F343DF"/>
    <w:rsid w:val="00F34415"/>
    <w:rsid w:val="00F34763"/>
    <w:rsid w:val="00F348B2"/>
    <w:rsid w:val="00F34901"/>
    <w:rsid w:val="00F34965"/>
    <w:rsid w:val="00F34A14"/>
    <w:rsid w:val="00F3547D"/>
    <w:rsid w:val="00F357FF"/>
    <w:rsid w:val="00F35C1B"/>
    <w:rsid w:val="00F3605A"/>
    <w:rsid w:val="00F36723"/>
    <w:rsid w:val="00F36CFC"/>
    <w:rsid w:val="00F37001"/>
    <w:rsid w:val="00F3738A"/>
    <w:rsid w:val="00F3757A"/>
    <w:rsid w:val="00F3759A"/>
    <w:rsid w:val="00F3779F"/>
    <w:rsid w:val="00F37C51"/>
    <w:rsid w:val="00F37FD7"/>
    <w:rsid w:val="00F40321"/>
    <w:rsid w:val="00F40601"/>
    <w:rsid w:val="00F40D1E"/>
    <w:rsid w:val="00F4144A"/>
    <w:rsid w:val="00F414CE"/>
    <w:rsid w:val="00F41DB9"/>
    <w:rsid w:val="00F42857"/>
    <w:rsid w:val="00F42900"/>
    <w:rsid w:val="00F431D8"/>
    <w:rsid w:val="00F4337D"/>
    <w:rsid w:val="00F43566"/>
    <w:rsid w:val="00F438C5"/>
    <w:rsid w:val="00F44837"/>
    <w:rsid w:val="00F4487F"/>
    <w:rsid w:val="00F45F1A"/>
    <w:rsid w:val="00F46094"/>
    <w:rsid w:val="00F460E8"/>
    <w:rsid w:val="00F462EF"/>
    <w:rsid w:val="00F4640C"/>
    <w:rsid w:val="00F46834"/>
    <w:rsid w:val="00F46A40"/>
    <w:rsid w:val="00F47378"/>
    <w:rsid w:val="00F478D4"/>
    <w:rsid w:val="00F47B73"/>
    <w:rsid w:val="00F47C7A"/>
    <w:rsid w:val="00F47CE8"/>
    <w:rsid w:val="00F50258"/>
    <w:rsid w:val="00F5095C"/>
    <w:rsid w:val="00F50AAC"/>
    <w:rsid w:val="00F51022"/>
    <w:rsid w:val="00F51883"/>
    <w:rsid w:val="00F51A4B"/>
    <w:rsid w:val="00F52123"/>
    <w:rsid w:val="00F5287E"/>
    <w:rsid w:val="00F52C04"/>
    <w:rsid w:val="00F52C6A"/>
    <w:rsid w:val="00F534A9"/>
    <w:rsid w:val="00F5371A"/>
    <w:rsid w:val="00F5383B"/>
    <w:rsid w:val="00F53A08"/>
    <w:rsid w:val="00F53A20"/>
    <w:rsid w:val="00F53A54"/>
    <w:rsid w:val="00F5409C"/>
    <w:rsid w:val="00F54D8B"/>
    <w:rsid w:val="00F55296"/>
    <w:rsid w:val="00F55E07"/>
    <w:rsid w:val="00F561DF"/>
    <w:rsid w:val="00F562CD"/>
    <w:rsid w:val="00F56AA8"/>
    <w:rsid w:val="00F56AD8"/>
    <w:rsid w:val="00F56EBF"/>
    <w:rsid w:val="00F57C5C"/>
    <w:rsid w:val="00F57EE3"/>
    <w:rsid w:val="00F603DF"/>
    <w:rsid w:val="00F60572"/>
    <w:rsid w:val="00F607F4"/>
    <w:rsid w:val="00F608D1"/>
    <w:rsid w:val="00F60DDA"/>
    <w:rsid w:val="00F612DA"/>
    <w:rsid w:val="00F619B6"/>
    <w:rsid w:val="00F61C4D"/>
    <w:rsid w:val="00F622A5"/>
    <w:rsid w:val="00F626D6"/>
    <w:rsid w:val="00F6290A"/>
    <w:rsid w:val="00F62A21"/>
    <w:rsid w:val="00F62D71"/>
    <w:rsid w:val="00F634C9"/>
    <w:rsid w:val="00F63B16"/>
    <w:rsid w:val="00F63EBB"/>
    <w:rsid w:val="00F63F35"/>
    <w:rsid w:val="00F641AD"/>
    <w:rsid w:val="00F64690"/>
    <w:rsid w:val="00F6481E"/>
    <w:rsid w:val="00F64AEA"/>
    <w:rsid w:val="00F64EC1"/>
    <w:rsid w:val="00F653DF"/>
    <w:rsid w:val="00F6671B"/>
    <w:rsid w:val="00F670FD"/>
    <w:rsid w:val="00F6742B"/>
    <w:rsid w:val="00F67453"/>
    <w:rsid w:val="00F70008"/>
    <w:rsid w:val="00F70FC2"/>
    <w:rsid w:val="00F718DB"/>
    <w:rsid w:val="00F72A3A"/>
    <w:rsid w:val="00F72B23"/>
    <w:rsid w:val="00F72CCE"/>
    <w:rsid w:val="00F73118"/>
    <w:rsid w:val="00F733B6"/>
    <w:rsid w:val="00F735CE"/>
    <w:rsid w:val="00F73FB6"/>
    <w:rsid w:val="00F7482C"/>
    <w:rsid w:val="00F74CCE"/>
    <w:rsid w:val="00F74EE0"/>
    <w:rsid w:val="00F75187"/>
    <w:rsid w:val="00F752A6"/>
    <w:rsid w:val="00F7533B"/>
    <w:rsid w:val="00F75425"/>
    <w:rsid w:val="00F755E3"/>
    <w:rsid w:val="00F75770"/>
    <w:rsid w:val="00F757E2"/>
    <w:rsid w:val="00F75804"/>
    <w:rsid w:val="00F75CA4"/>
    <w:rsid w:val="00F7616B"/>
    <w:rsid w:val="00F766C6"/>
    <w:rsid w:val="00F767B2"/>
    <w:rsid w:val="00F76AB1"/>
    <w:rsid w:val="00F76CCA"/>
    <w:rsid w:val="00F77702"/>
    <w:rsid w:val="00F779E5"/>
    <w:rsid w:val="00F80076"/>
    <w:rsid w:val="00F8105A"/>
    <w:rsid w:val="00F815DB"/>
    <w:rsid w:val="00F82021"/>
    <w:rsid w:val="00F83BCD"/>
    <w:rsid w:val="00F84166"/>
    <w:rsid w:val="00F847E0"/>
    <w:rsid w:val="00F854BD"/>
    <w:rsid w:val="00F855EC"/>
    <w:rsid w:val="00F85ACA"/>
    <w:rsid w:val="00F86030"/>
    <w:rsid w:val="00F860EC"/>
    <w:rsid w:val="00F86E10"/>
    <w:rsid w:val="00F86F17"/>
    <w:rsid w:val="00F8723F"/>
    <w:rsid w:val="00F8766A"/>
    <w:rsid w:val="00F878B6"/>
    <w:rsid w:val="00F87CC7"/>
    <w:rsid w:val="00F87D22"/>
    <w:rsid w:val="00F9005B"/>
    <w:rsid w:val="00F90264"/>
    <w:rsid w:val="00F903D6"/>
    <w:rsid w:val="00F906F8"/>
    <w:rsid w:val="00F90CA4"/>
    <w:rsid w:val="00F915AB"/>
    <w:rsid w:val="00F919FF"/>
    <w:rsid w:val="00F91E64"/>
    <w:rsid w:val="00F91EBE"/>
    <w:rsid w:val="00F92515"/>
    <w:rsid w:val="00F92CDF"/>
    <w:rsid w:val="00F93279"/>
    <w:rsid w:val="00F9328C"/>
    <w:rsid w:val="00F950BC"/>
    <w:rsid w:val="00F95960"/>
    <w:rsid w:val="00F96291"/>
    <w:rsid w:val="00F9655F"/>
    <w:rsid w:val="00F972C7"/>
    <w:rsid w:val="00F97467"/>
    <w:rsid w:val="00F977EC"/>
    <w:rsid w:val="00F97CA8"/>
    <w:rsid w:val="00F97EA9"/>
    <w:rsid w:val="00FA044E"/>
    <w:rsid w:val="00FA0912"/>
    <w:rsid w:val="00FA0DC0"/>
    <w:rsid w:val="00FA146D"/>
    <w:rsid w:val="00FA1699"/>
    <w:rsid w:val="00FA1E3B"/>
    <w:rsid w:val="00FA24CE"/>
    <w:rsid w:val="00FA28BC"/>
    <w:rsid w:val="00FA2A14"/>
    <w:rsid w:val="00FA36E8"/>
    <w:rsid w:val="00FA3B70"/>
    <w:rsid w:val="00FA42D2"/>
    <w:rsid w:val="00FA489A"/>
    <w:rsid w:val="00FA522A"/>
    <w:rsid w:val="00FA5549"/>
    <w:rsid w:val="00FA5ECA"/>
    <w:rsid w:val="00FA603A"/>
    <w:rsid w:val="00FA67E8"/>
    <w:rsid w:val="00FA687A"/>
    <w:rsid w:val="00FA6913"/>
    <w:rsid w:val="00FA6CA2"/>
    <w:rsid w:val="00FA6F20"/>
    <w:rsid w:val="00FA70B8"/>
    <w:rsid w:val="00FB0046"/>
    <w:rsid w:val="00FB01D0"/>
    <w:rsid w:val="00FB01D2"/>
    <w:rsid w:val="00FB0A69"/>
    <w:rsid w:val="00FB0B3D"/>
    <w:rsid w:val="00FB0C2A"/>
    <w:rsid w:val="00FB0C73"/>
    <w:rsid w:val="00FB0CFD"/>
    <w:rsid w:val="00FB0EBD"/>
    <w:rsid w:val="00FB1497"/>
    <w:rsid w:val="00FB185E"/>
    <w:rsid w:val="00FB1B5A"/>
    <w:rsid w:val="00FB1DF8"/>
    <w:rsid w:val="00FB1E4E"/>
    <w:rsid w:val="00FB251F"/>
    <w:rsid w:val="00FB2832"/>
    <w:rsid w:val="00FB359E"/>
    <w:rsid w:val="00FB3DB2"/>
    <w:rsid w:val="00FB3DD4"/>
    <w:rsid w:val="00FB3DFF"/>
    <w:rsid w:val="00FB431E"/>
    <w:rsid w:val="00FB4741"/>
    <w:rsid w:val="00FB4836"/>
    <w:rsid w:val="00FB4B09"/>
    <w:rsid w:val="00FB5361"/>
    <w:rsid w:val="00FB5A18"/>
    <w:rsid w:val="00FB680E"/>
    <w:rsid w:val="00FB6B39"/>
    <w:rsid w:val="00FB6E90"/>
    <w:rsid w:val="00FB7337"/>
    <w:rsid w:val="00FB78AA"/>
    <w:rsid w:val="00FB7C42"/>
    <w:rsid w:val="00FC06C2"/>
    <w:rsid w:val="00FC0D25"/>
    <w:rsid w:val="00FC1528"/>
    <w:rsid w:val="00FC15C6"/>
    <w:rsid w:val="00FC1949"/>
    <w:rsid w:val="00FC1CF1"/>
    <w:rsid w:val="00FC2074"/>
    <w:rsid w:val="00FC210C"/>
    <w:rsid w:val="00FC226E"/>
    <w:rsid w:val="00FC2379"/>
    <w:rsid w:val="00FC28B0"/>
    <w:rsid w:val="00FC32B1"/>
    <w:rsid w:val="00FC358A"/>
    <w:rsid w:val="00FC3967"/>
    <w:rsid w:val="00FC39C1"/>
    <w:rsid w:val="00FC3BB0"/>
    <w:rsid w:val="00FC3BF6"/>
    <w:rsid w:val="00FC473A"/>
    <w:rsid w:val="00FC4854"/>
    <w:rsid w:val="00FC573B"/>
    <w:rsid w:val="00FC5879"/>
    <w:rsid w:val="00FC5B00"/>
    <w:rsid w:val="00FC609F"/>
    <w:rsid w:val="00FC61A4"/>
    <w:rsid w:val="00FC6D6B"/>
    <w:rsid w:val="00FC7151"/>
    <w:rsid w:val="00FC7260"/>
    <w:rsid w:val="00FC7382"/>
    <w:rsid w:val="00FC770E"/>
    <w:rsid w:val="00FD0921"/>
    <w:rsid w:val="00FD0F7C"/>
    <w:rsid w:val="00FD1913"/>
    <w:rsid w:val="00FD1A32"/>
    <w:rsid w:val="00FD2267"/>
    <w:rsid w:val="00FD2B2D"/>
    <w:rsid w:val="00FD3686"/>
    <w:rsid w:val="00FD36FF"/>
    <w:rsid w:val="00FD388E"/>
    <w:rsid w:val="00FD399E"/>
    <w:rsid w:val="00FD41A9"/>
    <w:rsid w:val="00FD432B"/>
    <w:rsid w:val="00FD4557"/>
    <w:rsid w:val="00FD4682"/>
    <w:rsid w:val="00FD4CA6"/>
    <w:rsid w:val="00FD4F89"/>
    <w:rsid w:val="00FD5032"/>
    <w:rsid w:val="00FD5E2A"/>
    <w:rsid w:val="00FD6DA6"/>
    <w:rsid w:val="00FD6F21"/>
    <w:rsid w:val="00FD768B"/>
    <w:rsid w:val="00FD78FB"/>
    <w:rsid w:val="00FD7A2F"/>
    <w:rsid w:val="00FE0291"/>
    <w:rsid w:val="00FE0541"/>
    <w:rsid w:val="00FE07E9"/>
    <w:rsid w:val="00FE183B"/>
    <w:rsid w:val="00FE1EE1"/>
    <w:rsid w:val="00FE24B1"/>
    <w:rsid w:val="00FE27BF"/>
    <w:rsid w:val="00FE2952"/>
    <w:rsid w:val="00FE29FE"/>
    <w:rsid w:val="00FE3826"/>
    <w:rsid w:val="00FE39FB"/>
    <w:rsid w:val="00FE3E45"/>
    <w:rsid w:val="00FE45D6"/>
    <w:rsid w:val="00FE4B48"/>
    <w:rsid w:val="00FE54E4"/>
    <w:rsid w:val="00FE56DA"/>
    <w:rsid w:val="00FE6167"/>
    <w:rsid w:val="00FE741B"/>
    <w:rsid w:val="00FE766F"/>
    <w:rsid w:val="00FE78E0"/>
    <w:rsid w:val="00FE7D0C"/>
    <w:rsid w:val="00FE7FDB"/>
    <w:rsid w:val="00FF05D4"/>
    <w:rsid w:val="00FF0691"/>
    <w:rsid w:val="00FF0F2E"/>
    <w:rsid w:val="00FF12DA"/>
    <w:rsid w:val="00FF1703"/>
    <w:rsid w:val="00FF19F5"/>
    <w:rsid w:val="00FF20F4"/>
    <w:rsid w:val="00FF23D8"/>
    <w:rsid w:val="00FF39CA"/>
    <w:rsid w:val="00FF3A65"/>
    <w:rsid w:val="00FF3EC1"/>
    <w:rsid w:val="00FF404C"/>
    <w:rsid w:val="00FF466C"/>
    <w:rsid w:val="00FF504A"/>
    <w:rsid w:val="00FF5512"/>
    <w:rsid w:val="00FF5843"/>
    <w:rsid w:val="00FF5943"/>
    <w:rsid w:val="00FF7A0E"/>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DD27"/>
  <w15:docId w15:val="{B06D0733-319D-4F0A-82DE-1CEFC6F0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BDD"/>
    <w:pPr>
      <w:widowControl w:val="0"/>
      <w:adjustRightInd w:val="0"/>
      <w:spacing w:after="0" w:line="360" w:lineRule="atLeast"/>
      <w:jc w:val="both"/>
      <w:textAlignment w:val="baseline"/>
    </w:pPr>
    <w:rPr>
      <w:rFonts w:ascii="Verdana" w:eastAsia="Times New Roman" w:hAnsi="Verdana" w:cs="Times New Roman"/>
      <w:sz w:val="24"/>
      <w:szCs w:val="24"/>
      <w:lang w:eastAsia="es-CR"/>
    </w:rPr>
  </w:style>
  <w:style w:type="paragraph" w:styleId="Ttulo1">
    <w:name w:val="heading 1"/>
    <w:aliases w:val="Título Verdana"/>
    <w:basedOn w:val="Normal"/>
    <w:next w:val="Normal"/>
    <w:link w:val="Ttulo1Car"/>
    <w:uiPriority w:val="9"/>
    <w:qFormat/>
    <w:rsid w:val="00085BDD"/>
    <w:pPr>
      <w:keepNext/>
      <w:keepLines/>
      <w:tabs>
        <w:tab w:val="left" w:pos="720"/>
      </w:tabs>
      <w:spacing w:line="240" w:lineRule="auto"/>
      <w:jc w:val="center"/>
      <w:outlineLvl w:val="0"/>
    </w:pPr>
    <w:rPr>
      <w:rFonts w:eastAsia="MS ????"/>
      <w:b/>
      <w:bCs/>
      <w:caps/>
      <w:snapToGrid w:val="0"/>
      <w:spacing w:val="-2"/>
      <w:sz w:val="20"/>
      <w:szCs w:val="20"/>
      <w:lang w:val="x-none" w:eastAsia="es-ES"/>
    </w:rPr>
  </w:style>
  <w:style w:type="paragraph" w:styleId="Ttulo2">
    <w:name w:val="heading 2"/>
    <w:basedOn w:val="Normal"/>
    <w:next w:val="Normal"/>
    <w:link w:val="Ttulo2Car"/>
    <w:uiPriority w:val="9"/>
    <w:unhideWhenUsed/>
    <w:qFormat/>
    <w:rsid w:val="008920BF"/>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085BDD"/>
    <w:pPr>
      <w:widowControl/>
      <w:tabs>
        <w:tab w:val="left" w:pos="567"/>
      </w:tabs>
      <w:autoSpaceDE w:val="0"/>
      <w:autoSpaceDN w:val="0"/>
      <w:adjustRightInd/>
      <w:spacing w:line="240" w:lineRule="auto"/>
      <w:ind w:left="1416"/>
      <w:contextualSpacing/>
      <w:textAlignment w:val="auto"/>
      <w:outlineLvl w:val="2"/>
    </w:pPr>
    <w:rPr>
      <w:rFonts w:eastAsia="Calibri"/>
      <w:b/>
      <w:spacing w:val="-2"/>
      <w:sz w:val="20"/>
      <w:szCs w:val="20"/>
      <w:lang w:val="es-ES" w:eastAsia="x-none"/>
    </w:rPr>
  </w:style>
  <w:style w:type="paragraph" w:styleId="Ttulo4">
    <w:name w:val="heading 4"/>
    <w:basedOn w:val="Normal"/>
    <w:next w:val="Normal"/>
    <w:link w:val="Ttulo4Car"/>
    <w:uiPriority w:val="9"/>
    <w:semiHidden/>
    <w:unhideWhenUsed/>
    <w:qFormat/>
    <w:rsid w:val="008920BF"/>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E3447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Ttulo5"/>
    <w:next w:val="Normal"/>
    <w:link w:val="Ttulo6Car"/>
    <w:uiPriority w:val="9"/>
    <w:unhideWhenUsed/>
    <w:qFormat/>
    <w:rsid w:val="00E3447E"/>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085BDD"/>
    <w:rPr>
      <w:rFonts w:ascii="Verdana" w:eastAsia="MS ????" w:hAnsi="Verdana" w:cs="Times New Roman"/>
      <w:b/>
      <w:bCs/>
      <w:caps/>
      <w:snapToGrid w:val="0"/>
      <w:spacing w:val="-2"/>
      <w:sz w:val="20"/>
      <w:szCs w:val="20"/>
      <w:lang w:val="x-none" w:eastAsia="es-ES"/>
    </w:rPr>
  </w:style>
  <w:style w:type="character" w:customStyle="1" w:styleId="Ttulo3Car">
    <w:name w:val="Título 3 Car"/>
    <w:basedOn w:val="Fuentedeprrafopredeter"/>
    <w:link w:val="Ttulo3"/>
    <w:uiPriority w:val="9"/>
    <w:rsid w:val="00085BDD"/>
    <w:rPr>
      <w:rFonts w:ascii="Verdana" w:eastAsia="Calibri" w:hAnsi="Verdana" w:cs="Times New Roman"/>
      <w:b/>
      <w:spacing w:val="-2"/>
      <w:sz w:val="20"/>
      <w:szCs w:val="20"/>
      <w:lang w:val="es-ES" w:eastAsia="x-none"/>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085BD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qFormat/>
    <w:rsid w:val="00085BDD"/>
    <w:pPr>
      <w:spacing w:line="240" w:lineRule="auto"/>
    </w:pPr>
    <w:rPr>
      <w:sz w:val="20"/>
      <w:szCs w:val="20"/>
      <w:lang w:val="es-ES_tradnl"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085BDD"/>
    <w:rPr>
      <w:rFonts w:ascii="Verdana" w:eastAsia="Times New Roman" w:hAnsi="Verdana" w:cs="Times New Roman"/>
      <w:sz w:val="20"/>
      <w:szCs w:val="20"/>
      <w:lang w:val="es-ES_tradnl" w:eastAsia="x-none"/>
    </w:rPr>
  </w:style>
  <w:style w:type="character" w:styleId="Textoennegrita">
    <w:name w:val="Strong"/>
    <w:uiPriority w:val="22"/>
    <w:qFormat/>
    <w:rsid w:val="00085BDD"/>
    <w:rPr>
      <w:b/>
      <w:bCs/>
    </w:rPr>
  </w:style>
  <w:style w:type="paragraph" w:styleId="Prrafodelista">
    <w:name w:val="List Paragraph"/>
    <w:aliases w:val="List Paragraph2,Lista vistosa - Énfasis 11,Párrafo de lista1,Footnote,List Paragraph1"/>
    <w:basedOn w:val="Normal"/>
    <w:link w:val="PrrafodelistaCar"/>
    <w:uiPriority w:val="34"/>
    <w:qFormat/>
    <w:rsid w:val="00085BDD"/>
    <w:pPr>
      <w:ind w:left="708"/>
    </w:pPr>
  </w:style>
  <w:style w:type="character" w:customStyle="1" w:styleId="MediumGrid1-Accent2Char">
    <w:name w:val="Medium Grid 1 - Accent 2 Char"/>
    <w:aliases w:val="Footnote Char,List Paragraph1 Char,Colorful List - Accent 11 Char,Párrafo de lista1 Char,List Paragraph Char,List Paragraph2 Char,Lista vistosa - Énfasis 11 Char,Colorful List - Accent 1 Char"/>
    <w:link w:val="Cuadrculamedia1-nfasis2"/>
    <w:uiPriority w:val="34"/>
    <w:locked/>
    <w:rsid w:val="00475387"/>
    <w:rPr>
      <w:rFonts w:ascii="Verdana" w:eastAsia="Batang" w:hAnsi="Verdana" w:cs="Times"/>
      <w:noProof/>
      <w:sz w:val="20"/>
      <w:szCs w:val="24"/>
      <w:lang w:val="es-ES_tradnl"/>
    </w:rPr>
  </w:style>
  <w:style w:type="paragraph" w:customStyle="1" w:styleId="PrrafodeSentencia">
    <w:name w:val="*. Párrafo de Sentencia"/>
    <w:basedOn w:val="Textonotapie"/>
    <w:link w:val="PrrafodeSentenciaChar"/>
    <w:autoRedefine/>
    <w:qFormat/>
    <w:rsid w:val="00475387"/>
    <w:pPr>
      <w:widowControl/>
      <w:numPr>
        <w:numId w:val="1"/>
      </w:numPr>
      <w:tabs>
        <w:tab w:val="left" w:pos="720"/>
      </w:tabs>
      <w:adjustRightInd/>
      <w:spacing w:before="120" w:after="120"/>
      <w:textAlignment w:val="auto"/>
    </w:pPr>
    <w:rPr>
      <w:bCs/>
      <w:noProof/>
      <w:lang w:eastAsia="es-ES"/>
    </w:rPr>
  </w:style>
  <w:style w:type="table" w:styleId="Cuadrculamedia1-nfasis2">
    <w:name w:val="Medium Grid 1 Accent 2"/>
    <w:basedOn w:val="Tablanormal"/>
    <w:link w:val="MediumGrid1-Accent2Char"/>
    <w:rsid w:val="00475387"/>
    <w:pPr>
      <w:spacing w:after="0" w:line="240" w:lineRule="auto"/>
    </w:pPr>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uiPriority w:val="99"/>
    <w:unhideWhenUsed/>
    <w:rsid w:val="006C37C9"/>
    <w:pPr>
      <w:adjustRightInd/>
      <w:spacing w:after="200" w:line="276" w:lineRule="auto"/>
      <w:jc w:val="left"/>
      <w:textAlignment w:val="auto"/>
    </w:pPr>
    <w:rPr>
      <w:rFonts w:ascii="Times New Roman" w:eastAsiaTheme="minorHAnsi" w:hAnsi="Times New Roman"/>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Fuentedeprrafopredeter"/>
    <w:uiPriority w:val="99"/>
    <w:rsid w:val="006C37C9"/>
    <w:rPr>
      <w:sz w:val="20"/>
      <w:szCs w:val="20"/>
      <w:lang w:val="en-US"/>
    </w:rPr>
  </w:style>
  <w:style w:type="paragraph" w:styleId="Encabezado">
    <w:name w:val="header"/>
    <w:basedOn w:val="Normal"/>
    <w:link w:val="EncabezadoC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6C37C9"/>
    <w:rPr>
      <w:lang w:val="en-US"/>
    </w:rPr>
  </w:style>
  <w:style w:type="paragraph" w:styleId="Piedepgina">
    <w:name w:val="footer"/>
    <w:basedOn w:val="Normal"/>
    <w:link w:val="PiedepginaC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6C37C9"/>
    <w:rPr>
      <w:lang w:val="en-US"/>
    </w:rPr>
  </w:style>
  <w:style w:type="paragraph" w:styleId="Textonotaalfinal">
    <w:name w:val="endnote text"/>
    <w:basedOn w:val="Normal"/>
    <w:link w:val="TextonotaalfinalCar"/>
    <w:uiPriority w:val="99"/>
    <w:semiHidden/>
    <w:unhideWhenUsed/>
    <w:rsid w:val="006C37C9"/>
    <w:pPr>
      <w:adjustRightInd/>
      <w:spacing w:line="240" w:lineRule="auto"/>
      <w:jc w:val="left"/>
      <w:textAlignment w:val="auto"/>
    </w:pPr>
    <w:rPr>
      <w:rFonts w:asciiTheme="minorHAnsi" w:eastAsiaTheme="minorHAnsi" w:hAnsiTheme="minorHAnsi" w:cstheme="minorBidi"/>
      <w:sz w:val="20"/>
      <w:szCs w:val="20"/>
      <w:lang w:val="en-US" w:eastAsia="en-US"/>
    </w:rPr>
  </w:style>
  <w:style w:type="character" w:customStyle="1" w:styleId="TextonotaalfinalCar">
    <w:name w:val="Texto nota al final Car"/>
    <w:basedOn w:val="Fuentedeprrafopredeter"/>
    <w:link w:val="Textonotaalfinal"/>
    <w:uiPriority w:val="99"/>
    <w:semiHidden/>
    <w:rsid w:val="006C37C9"/>
    <w:rPr>
      <w:sz w:val="20"/>
      <w:szCs w:val="20"/>
      <w:lang w:val="en-US"/>
    </w:rPr>
  </w:style>
  <w:style w:type="character" w:styleId="Hipervnculo">
    <w:name w:val="Hyperlink"/>
    <w:basedOn w:val="Fuentedeprrafopredeter"/>
    <w:uiPriority w:val="99"/>
    <w:unhideWhenUsed/>
    <w:rsid w:val="006C37C9"/>
    <w:rPr>
      <w:color w:val="0000FF" w:themeColor="hyperlink"/>
      <w:u w:val="single"/>
    </w:rPr>
  </w:style>
  <w:style w:type="character" w:styleId="Hipervnculovisitado">
    <w:name w:val="FollowedHyperlink"/>
    <w:basedOn w:val="Fuentedeprrafopredeter"/>
    <w:uiPriority w:val="99"/>
    <w:semiHidden/>
    <w:unhideWhenUsed/>
    <w:rsid w:val="006C37C9"/>
    <w:rPr>
      <w:color w:val="800080" w:themeColor="followedHyperlink"/>
      <w:u w:val="single"/>
    </w:rPr>
  </w:style>
  <w:style w:type="paragraph" w:styleId="Textodeglobo">
    <w:name w:val="Balloon Text"/>
    <w:basedOn w:val="Normal"/>
    <w:link w:val="TextodegloboCar"/>
    <w:uiPriority w:val="99"/>
    <w:semiHidden/>
    <w:unhideWhenUsed/>
    <w:rsid w:val="006C37C9"/>
    <w:pPr>
      <w:widowControl/>
      <w:adjustRightInd/>
      <w:spacing w:line="240" w:lineRule="auto"/>
      <w:jc w:val="left"/>
      <w:textAlignment w:val="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6C37C9"/>
    <w:rPr>
      <w:rFonts w:ascii="Tahoma" w:hAnsi="Tahoma" w:cs="Tahoma"/>
      <w:sz w:val="16"/>
      <w:szCs w:val="16"/>
    </w:rPr>
  </w:style>
  <w:style w:type="paragraph" w:styleId="TtuloTDC">
    <w:name w:val="TOC Heading"/>
    <w:basedOn w:val="Ttulo1"/>
    <w:next w:val="Normal"/>
    <w:uiPriority w:val="39"/>
    <w:unhideWhenUsed/>
    <w:qFormat/>
    <w:rsid w:val="00E16176"/>
    <w:pPr>
      <w:widowControl/>
      <w:tabs>
        <w:tab w:val="clear" w:pos="720"/>
      </w:tabs>
      <w:adjustRightInd/>
      <w:spacing w:before="480" w:line="276" w:lineRule="auto"/>
      <w:jc w:val="left"/>
      <w:textAlignment w:val="auto"/>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paragraph" w:styleId="TDC1">
    <w:name w:val="toc 1"/>
    <w:basedOn w:val="Normal"/>
    <w:next w:val="Normal"/>
    <w:autoRedefine/>
    <w:uiPriority w:val="39"/>
    <w:unhideWhenUsed/>
    <w:rsid w:val="00E16176"/>
    <w:pPr>
      <w:spacing w:after="100"/>
    </w:pPr>
  </w:style>
  <w:style w:type="paragraph" w:styleId="TDC2">
    <w:name w:val="toc 2"/>
    <w:basedOn w:val="Normal"/>
    <w:next w:val="Normal"/>
    <w:autoRedefine/>
    <w:uiPriority w:val="39"/>
    <w:unhideWhenUsed/>
    <w:rsid w:val="008A6487"/>
    <w:pPr>
      <w:tabs>
        <w:tab w:val="left" w:pos="851"/>
        <w:tab w:val="right" w:leader="dot" w:pos="10076"/>
      </w:tabs>
      <w:spacing w:line="240" w:lineRule="auto"/>
      <w:ind w:left="240"/>
      <w:jc w:val="left"/>
    </w:pPr>
  </w:style>
  <w:style w:type="paragraph" w:styleId="TDC3">
    <w:name w:val="toc 3"/>
    <w:basedOn w:val="Normal"/>
    <w:next w:val="Normal"/>
    <w:autoRedefine/>
    <w:uiPriority w:val="39"/>
    <w:unhideWhenUsed/>
    <w:rsid w:val="0014134B"/>
    <w:pPr>
      <w:tabs>
        <w:tab w:val="left" w:pos="1560"/>
        <w:tab w:val="right" w:leader="dot" w:pos="10076"/>
      </w:tabs>
      <w:spacing w:line="240" w:lineRule="auto"/>
      <w:ind w:left="480"/>
    </w:pPr>
  </w:style>
  <w:style w:type="character" w:styleId="Nmerodelnea">
    <w:name w:val="line number"/>
    <w:basedOn w:val="Fuentedeprrafopredeter"/>
    <w:uiPriority w:val="99"/>
    <w:semiHidden/>
    <w:unhideWhenUsed/>
    <w:rsid w:val="00D407D4"/>
  </w:style>
  <w:style w:type="character" w:styleId="Refdecomentario">
    <w:name w:val="annotation reference"/>
    <w:basedOn w:val="Fuentedeprrafopredeter"/>
    <w:uiPriority w:val="99"/>
    <w:semiHidden/>
    <w:unhideWhenUsed/>
    <w:rsid w:val="007A1A14"/>
    <w:rPr>
      <w:sz w:val="16"/>
      <w:szCs w:val="16"/>
    </w:rPr>
  </w:style>
  <w:style w:type="paragraph" w:styleId="Textocomentario">
    <w:name w:val="annotation text"/>
    <w:basedOn w:val="Normal"/>
    <w:link w:val="TextocomentarioCar"/>
    <w:uiPriority w:val="99"/>
    <w:unhideWhenUsed/>
    <w:rsid w:val="007A1A14"/>
    <w:pPr>
      <w:widowControl/>
      <w:adjustRightInd/>
      <w:spacing w:after="200" w:line="240" w:lineRule="auto"/>
      <w:jc w:val="left"/>
      <w:textAlignment w:val="auto"/>
    </w:pPr>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rsid w:val="007A1A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7A1A14"/>
    <w:rPr>
      <w:b/>
      <w:bCs/>
    </w:rPr>
  </w:style>
  <w:style w:type="character" w:customStyle="1" w:styleId="AsuntodelcomentarioCar">
    <w:name w:val="Asunto del comentario Car"/>
    <w:basedOn w:val="TextocomentarioCar"/>
    <w:link w:val="Asuntodelcomentario"/>
    <w:uiPriority w:val="99"/>
    <w:semiHidden/>
    <w:rsid w:val="007A1A14"/>
    <w:rPr>
      <w:b/>
      <w:bCs/>
      <w:sz w:val="20"/>
      <w:szCs w:val="20"/>
      <w:lang w:val="en-US"/>
    </w:rPr>
  </w:style>
  <w:style w:type="paragraph" w:customStyle="1" w:styleId="Heading21">
    <w:name w:val="Heading 21"/>
    <w:basedOn w:val="Normal"/>
    <w:next w:val="Normal"/>
    <w:uiPriority w:val="9"/>
    <w:semiHidden/>
    <w:unhideWhenUsed/>
    <w:qFormat/>
    <w:rsid w:val="008920BF"/>
    <w:pPr>
      <w:keepNext/>
      <w:keepLines/>
      <w:spacing w:before="200"/>
      <w:outlineLvl w:val="1"/>
    </w:pPr>
    <w:rPr>
      <w:rFonts w:ascii="Cambria" w:hAnsi="Cambria"/>
      <w:b/>
      <w:bCs/>
      <w:color w:val="4F81BD"/>
      <w:sz w:val="26"/>
      <w:szCs w:val="26"/>
    </w:rPr>
  </w:style>
  <w:style w:type="paragraph" w:customStyle="1" w:styleId="Heading41">
    <w:name w:val="Heading 41"/>
    <w:basedOn w:val="Normal"/>
    <w:next w:val="Normal"/>
    <w:uiPriority w:val="9"/>
    <w:semiHidden/>
    <w:unhideWhenUsed/>
    <w:qFormat/>
    <w:rsid w:val="008920BF"/>
    <w:pPr>
      <w:keepNext/>
      <w:keepLines/>
      <w:spacing w:before="200"/>
      <w:outlineLvl w:val="3"/>
    </w:pPr>
    <w:rPr>
      <w:rFonts w:ascii="Cambria" w:hAnsi="Cambria"/>
      <w:b/>
      <w:bCs/>
      <w:i/>
      <w:iCs/>
      <w:color w:val="4F81BD"/>
    </w:rPr>
  </w:style>
  <w:style w:type="numbering" w:customStyle="1" w:styleId="NoList1">
    <w:name w:val="No List1"/>
    <w:next w:val="Sinlista"/>
    <w:uiPriority w:val="99"/>
    <w:semiHidden/>
    <w:unhideWhenUsed/>
    <w:rsid w:val="008920BF"/>
  </w:style>
  <w:style w:type="character" w:customStyle="1" w:styleId="Ttulo2Car">
    <w:name w:val="Título 2 Car"/>
    <w:basedOn w:val="Fuentedeprrafopredeter"/>
    <w:link w:val="Ttulo2"/>
    <w:uiPriority w:val="9"/>
    <w:rsid w:val="008920BF"/>
    <w:rPr>
      <w:rFonts w:ascii="Cambria" w:eastAsia="Times New Roman" w:hAnsi="Cambria" w:cs="Times New Roman"/>
      <w:b/>
      <w:bCs/>
      <w:color w:val="4F81BD"/>
      <w:sz w:val="26"/>
      <w:szCs w:val="26"/>
      <w:lang w:eastAsia="es-CR"/>
    </w:rPr>
  </w:style>
  <w:style w:type="character" w:customStyle="1" w:styleId="Ttulo4Car">
    <w:name w:val="Título 4 Car"/>
    <w:basedOn w:val="Fuentedeprrafopredeter"/>
    <w:link w:val="Ttulo4"/>
    <w:uiPriority w:val="9"/>
    <w:semiHidden/>
    <w:rsid w:val="008920BF"/>
    <w:rPr>
      <w:rFonts w:ascii="Cambria" w:eastAsia="Times New Roman" w:hAnsi="Cambria" w:cs="Times New Roman"/>
      <w:b/>
      <w:bCs/>
      <w:i/>
      <w:iCs/>
      <w:color w:val="4F81BD"/>
      <w:sz w:val="24"/>
      <w:szCs w:val="24"/>
      <w:lang w:eastAsia="es-CR"/>
    </w:rPr>
  </w:style>
  <w:style w:type="paragraph" w:customStyle="1" w:styleId="Prrafodelista2">
    <w:name w:val="Párrafo de lista2"/>
    <w:basedOn w:val="Normal"/>
    <w:uiPriority w:val="99"/>
    <w:rsid w:val="008920BF"/>
    <w:pPr>
      <w:widowControl/>
      <w:adjustRightInd/>
      <w:spacing w:line="240" w:lineRule="auto"/>
      <w:ind w:left="720"/>
      <w:jc w:val="left"/>
      <w:textAlignment w:val="auto"/>
    </w:pPr>
    <w:rPr>
      <w:rFonts w:eastAsia="MS Mincho"/>
      <w:sz w:val="20"/>
      <w:szCs w:val="20"/>
      <w:lang w:val="es-ES_tradnl" w:eastAsia="en-US" w:bidi="en-US"/>
    </w:rPr>
  </w:style>
  <w:style w:type="character" w:customStyle="1" w:styleId="apple-style-span">
    <w:name w:val="apple-style-span"/>
    <w:rsid w:val="008920BF"/>
    <w:rPr>
      <w:rFonts w:cs="Times New Roman"/>
    </w:rPr>
  </w:style>
  <w:style w:type="character" w:customStyle="1" w:styleId="Listavistosa-nfasis1Car1">
    <w:name w:val="Lista vistosa - Énfasis 1 Car1"/>
    <w:link w:val="Listavistosa-nfasis1"/>
    <w:uiPriority w:val="99"/>
    <w:locked/>
    <w:rsid w:val="008920BF"/>
    <w:rPr>
      <w:rFonts w:ascii="Verdana" w:eastAsia="Times New Roman" w:hAnsi="Verdana"/>
      <w:lang w:val="es-ES_tradnl" w:eastAsia="en-US"/>
    </w:rPr>
  </w:style>
  <w:style w:type="character" w:customStyle="1" w:styleId="column01">
    <w:name w:val="column01"/>
    <w:basedOn w:val="Fuentedeprrafopredeter"/>
    <w:rsid w:val="008920BF"/>
  </w:style>
  <w:style w:type="table" w:customStyle="1" w:styleId="ColorfulList-Accent11">
    <w:name w:val="Colorful List - Accent 11"/>
    <w:basedOn w:val="Tablanormal"/>
    <w:next w:val="Listavistosa-nfasis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Sangradetextonormal">
    <w:name w:val="Body Text Indent"/>
    <w:basedOn w:val="Normal"/>
    <w:link w:val="SangradetextonormalCar"/>
    <w:uiPriority w:val="99"/>
    <w:rsid w:val="008920BF"/>
    <w:pPr>
      <w:widowControl/>
      <w:adjustRightInd/>
      <w:spacing w:after="120" w:line="240" w:lineRule="auto"/>
      <w:ind w:left="360"/>
      <w:jc w:val="left"/>
      <w:textAlignment w:val="auto"/>
    </w:pPr>
    <w:rPr>
      <w:rFonts w:ascii="Times New Roman" w:eastAsia="MS Mincho" w:hAnsi="Times New Roman"/>
      <w:lang w:val="es-AR" w:eastAsia="en-US"/>
    </w:rPr>
  </w:style>
  <w:style w:type="character" w:customStyle="1" w:styleId="SangradetextonormalCar">
    <w:name w:val="Sangría de texto normal Car"/>
    <w:basedOn w:val="Fuentedeprrafopredeter"/>
    <w:link w:val="Sangradetextonormal"/>
    <w:uiPriority w:val="99"/>
    <w:rsid w:val="008920BF"/>
    <w:rPr>
      <w:rFonts w:ascii="Times New Roman" w:eastAsia="MS Mincho" w:hAnsi="Times New Roman" w:cs="Times New Roman"/>
      <w:sz w:val="24"/>
      <w:szCs w:val="24"/>
      <w:lang w:val="es-AR"/>
    </w:rPr>
  </w:style>
  <w:style w:type="character" w:customStyle="1" w:styleId="apple-converted-space">
    <w:name w:val="apple-converted-space"/>
    <w:basedOn w:val="Fuentedeprrafopredeter"/>
    <w:rsid w:val="008920BF"/>
  </w:style>
  <w:style w:type="paragraph" w:customStyle="1" w:styleId="CM4">
    <w:name w:val="CM4"/>
    <w:basedOn w:val="Normal"/>
    <w:next w:val="Normal"/>
    <w:uiPriority w:val="99"/>
    <w:rsid w:val="008920BF"/>
    <w:pPr>
      <w:widowControl/>
      <w:autoSpaceDE w:val="0"/>
      <w:autoSpaceDN w:val="0"/>
      <w:spacing w:line="240" w:lineRule="auto"/>
      <w:jc w:val="left"/>
      <w:textAlignment w:val="auto"/>
    </w:pPr>
    <w:rPr>
      <w:rFonts w:ascii="EUAlbertina" w:eastAsia="Calibri" w:hAnsi="EUAlbertina"/>
      <w:lang w:eastAsia="en-US"/>
    </w:rPr>
  </w:style>
  <w:style w:type="paragraph" w:customStyle="1" w:styleId="Default">
    <w:name w:val="Default"/>
    <w:rsid w:val="008920BF"/>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styleId="HTMLconformatoprevio">
    <w:name w:val="HTML Preformatted"/>
    <w:basedOn w:val="Normal"/>
    <w:link w:val="HTMLconformatoprevioCar"/>
    <w:uiPriority w:val="99"/>
    <w:unhideWhenUsed/>
    <w:rsid w:val="00892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8920BF"/>
    <w:rPr>
      <w:rFonts w:ascii="Courier New" w:eastAsia="Times New Roman" w:hAnsi="Courier New" w:cs="Courier New"/>
      <w:sz w:val="20"/>
      <w:szCs w:val="20"/>
      <w:lang w:val="en-US"/>
    </w:rPr>
  </w:style>
  <w:style w:type="character" w:customStyle="1" w:styleId="Heading2Char1">
    <w:name w:val="Heading 2 Char1"/>
    <w:basedOn w:val="Fuentedeprrafopredeter"/>
    <w:uiPriority w:val="9"/>
    <w:semiHidden/>
    <w:rsid w:val="008920BF"/>
    <w:rPr>
      <w:rFonts w:asciiTheme="majorHAnsi" w:eastAsiaTheme="majorEastAsia" w:hAnsiTheme="majorHAnsi" w:cstheme="majorBidi"/>
      <w:b/>
      <w:bCs/>
      <w:color w:val="4F81BD" w:themeColor="accent1"/>
      <w:sz w:val="26"/>
      <w:szCs w:val="26"/>
      <w:lang w:eastAsia="es-CR"/>
    </w:rPr>
  </w:style>
  <w:style w:type="character" w:customStyle="1" w:styleId="Heading4Char1">
    <w:name w:val="Heading 4 Char1"/>
    <w:basedOn w:val="Fuentedeprrafopredeter"/>
    <w:uiPriority w:val="9"/>
    <w:semiHidden/>
    <w:rsid w:val="008920BF"/>
    <w:rPr>
      <w:rFonts w:asciiTheme="majorHAnsi" w:eastAsiaTheme="majorEastAsia" w:hAnsiTheme="majorHAnsi" w:cstheme="majorBidi"/>
      <w:b/>
      <w:bCs/>
      <w:i/>
      <w:iCs/>
      <w:color w:val="4F81BD" w:themeColor="accent1"/>
      <w:sz w:val="24"/>
      <w:szCs w:val="24"/>
      <w:lang w:eastAsia="es-CR"/>
    </w:rPr>
  </w:style>
  <w:style w:type="table" w:styleId="Listavistosa-nfasis1">
    <w:name w:val="Colorful List Accent 1"/>
    <w:basedOn w:val="Tablanormal"/>
    <w:link w:val="Listavistosa-nfasis1Car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b8d990e2">
    <w:name w:val="sb8d990e2"/>
    <w:basedOn w:val="Fuentedeprrafopredeter"/>
    <w:rsid w:val="00502B43"/>
  </w:style>
  <w:style w:type="character" w:customStyle="1" w:styleId="s6b621b36">
    <w:name w:val="s6b621b36"/>
    <w:basedOn w:val="Fuentedeprrafopredeter"/>
    <w:rsid w:val="00502B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02B43"/>
    <w:pPr>
      <w:widowControl/>
      <w:adjustRightInd/>
      <w:spacing w:line="240" w:lineRule="auto"/>
      <w:textAlignment w:val="auto"/>
    </w:pPr>
    <w:rPr>
      <w:rFonts w:asciiTheme="minorHAnsi" w:eastAsiaTheme="minorHAnsi" w:hAnsiTheme="minorHAnsi" w:cstheme="minorBidi"/>
      <w:sz w:val="22"/>
      <w:szCs w:val="22"/>
      <w:vertAlign w:val="superscript"/>
      <w:lang w:eastAsia="en-US"/>
    </w:rPr>
  </w:style>
  <w:style w:type="paragraph" w:customStyle="1" w:styleId="s5891fd46">
    <w:name w:val="s5891fd46"/>
    <w:basedOn w:val="Normal"/>
    <w:rsid w:val="00502B43"/>
    <w:pPr>
      <w:widowControl/>
      <w:adjustRightInd/>
      <w:spacing w:before="100" w:beforeAutospacing="1" w:after="100" w:afterAutospacing="1" w:line="240" w:lineRule="auto"/>
      <w:jc w:val="left"/>
      <w:textAlignment w:val="auto"/>
    </w:pPr>
    <w:rPr>
      <w:rFonts w:ascii="Times New Roman" w:hAnsi="Times New Roman"/>
    </w:rPr>
  </w:style>
  <w:style w:type="character" w:styleId="nfasis">
    <w:name w:val="Emphasis"/>
    <w:uiPriority w:val="20"/>
    <w:qFormat/>
    <w:rsid w:val="00502B43"/>
    <w:rPr>
      <w:b/>
      <w:bCs/>
      <w:i/>
      <w:iCs/>
      <w:spacing w:val="10"/>
      <w:bdr w:val="none" w:sz="0" w:space="0" w:color="auto"/>
      <w:shd w:val="clear" w:color="auto" w:fill="auto"/>
    </w:rPr>
  </w:style>
  <w:style w:type="paragraph" w:styleId="TDC4">
    <w:name w:val="toc 4"/>
    <w:basedOn w:val="Normal"/>
    <w:next w:val="Normal"/>
    <w:autoRedefine/>
    <w:uiPriority w:val="39"/>
    <w:unhideWhenUsed/>
    <w:rsid w:val="00E35E14"/>
    <w:pPr>
      <w:widowControl/>
      <w:adjustRightInd/>
      <w:spacing w:after="100" w:line="276" w:lineRule="auto"/>
      <w:ind w:left="660"/>
      <w:jc w:val="left"/>
      <w:textAlignment w:val="auto"/>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E35E14"/>
    <w:pPr>
      <w:widowControl/>
      <w:adjustRightInd/>
      <w:spacing w:after="100" w:line="276" w:lineRule="auto"/>
      <w:ind w:left="880"/>
      <w:jc w:val="left"/>
      <w:textAlignment w:val="auto"/>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E35E14"/>
    <w:pPr>
      <w:widowControl/>
      <w:adjustRightInd/>
      <w:spacing w:after="100" w:line="276" w:lineRule="auto"/>
      <w:ind w:left="1100"/>
      <w:jc w:val="left"/>
      <w:textAlignment w:val="auto"/>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E35E14"/>
    <w:pPr>
      <w:widowControl/>
      <w:adjustRightInd/>
      <w:spacing w:after="100" w:line="276" w:lineRule="auto"/>
      <w:ind w:left="1320"/>
      <w:jc w:val="left"/>
      <w:textAlignment w:val="auto"/>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E35E14"/>
    <w:pPr>
      <w:widowControl/>
      <w:adjustRightInd/>
      <w:spacing w:after="100" w:line="276" w:lineRule="auto"/>
      <w:ind w:left="1540"/>
      <w:jc w:val="left"/>
      <w:textAlignment w:val="auto"/>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E35E14"/>
    <w:pPr>
      <w:widowControl/>
      <w:adjustRightInd/>
      <w:spacing w:after="100" w:line="276" w:lineRule="auto"/>
      <w:ind w:left="1760"/>
      <w:jc w:val="left"/>
      <w:textAlignment w:val="auto"/>
    </w:pPr>
    <w:rPr>
      <w:rFonts w:asciiTheme="minorHAnsi" w:eastAsiaTheme="minorEastAsia" w:hAnsiTheme="minorHAnsi" w:cstheme="minorBidi"/>
      <w:sz w:val="22"/>
      <w:szCs w:val="22"/>
    </w:rPr>
  </w:style>
  <w:style w:type="paragraph" w:customStyle="1" w:styleId="styletitle2">
    <w:name w:val="styletitle2"/>
    <w:basedOn w:val="Normal"/>
    <w:rsid w:val="0000013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PrrafodelistaCar">
    <w:name w:val="Párrafo de lista Car"/>
    <w:aliases w:val="List Paragraph2 Car,Lista vistosa - Énfasis 11 Car,Párrafo de lista1 Car,Footnote Car,List Paragraph1 Car"/>
    <w:basedOn w:val="Fuentedeprrafopredeter"/>
    <w:link w:val="Prrafodelista"/>
    <w:uiPriority w:val="34"/>
    <w:rsid w:val="005624D3"/>
    <w:rPr>
      <w:rFonts w:ascii="Verdana" w:eastAsia="Times New Roman" w:hAnsi="Verdana" w:cs="Times New Roman"/>
      <w:sz w:val="24"/>
      <w:szCs w:val="24"/>
      <w:lang w:eastAsia="es-CR"/>
    </w:rPr>
  </w:style>
  <w:style w:type="character" w:customStyle="1" w:styleId="Hipervnculo1">
    <w:name w:val="Hipervínculo1"/>
    <w:basedOn w:val="Fuentedeprrafopredeter"/>
    <w:uiPriority w:val="99"/>
    <w:unhideWhenUsed/>
    <w:rsid w:val="00D534AF"/>
    <w:rPr>
      <w:color w:val="0000FF"/>
      <w:u w:val="single"/>
    </w:rPr>
  </w:style>
  <w:style w:type="character" w:customStyle="1" w:styleId="Ttulo6Car">
    <w:name w:val="Título 6 Car"/>
    <w:basedOn w:val="Fuentedeprrafopredeter"/>
    <w:link w:val="Ttulo6"/>
    <w:uiPriority w:val="9"/>
    <w:rsid w:val="00E3447E"/>
    <w:rPr>
      <w:rFonts w:ascii="Verdana" w:eastAsia="Times New Roman" w:hAnsi="Verdana" w:cs="Times New Roman"/>
      <w:spacing w:val="-2"/>
      <w:sz w:val="20"/>
      <w:szCs w:val="20"/>
      <w:lang w:val="es-ES_tradnl" w:eastAsia="es-CR"/>
    </w:rPr>
  </w:style>
  <w:style w:type="character" w:customStyle="1" w:styleId="Caracteresdenotafinal">
    <w:name w:val="Caracteres de nota final"/>
    <w:rsid w:val="00E3447E"/>
    <w:rPr>
      <w:vertAlign w:val="superscript"/>
    </w:rPr>
  </w:style>
  <w:style w:type="character" w:customStyle="1" w:styleId="Ttulo5Car">
    <w:name w:val="Título 5 Car"/>
    <w:basedOn w:val="Fuentedeprrafopredeter"/>
    <w:link w:val="Ttulo5"/>
    <w:uiPriority w:val="9"/>
    <w:semiHidden/>
    <w:rsid w:val="00E3447E"/>
    <w:rPr>
      <w:rFonts w:asciiTheme="majorHAnsi" w:eastAsiaTheme="majorEastAsia" w:hAnsiTheme="majorHAnsi" w:cstheme="majorBidi"/>
      <w:color w:val="243F60" w:themeColor="accent1" w:themeShade="7F"/>
      <w:sz w:val="24"/>
      <w:szCs w:val="24"/>
      <w:lang w:eastAsia="es-CR"/>
    </w:rPr>
  </w:style>
  <w:style w:type="character" w:styleId="Nmerodepgina">
    <w:name w:val="page number"/>
    <w:basedOn w:val="Fuentedeprrafopredeter"/>
    <w:uiPriority w:val="99"/>
    <w:semiHidden/>
    <w:unhideWhenUsed/>
    <w:rsid w:val="00011543"/>
  </w:style>
  <w:style w:type="table" w:styleId="Tablaconcuadrcula">
    <w:name w:val="Table Grid"/>
    <w:basedOn w:val="Tablanormal"/>
    <w:uiPriority w:val="59"/>
    <w:rsid w:val="00C8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B5625C"/>
  </w:style>
  <w:style w:type="table" w:customStyle="1" w:styleId="TableGrid1">
    <w:name w:val="Table Grid1"/>
    <w:basedOn w:val="Tablanormal"/>
    <w:next w:val="Tablaconcuadrcula"/>
    <w:uiPriority w:val="59"/>
    <w:rsid w:val="00B5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B5625C"/>
    <w:rPr>
      <w:i/>
      <w:iCs/>
      <w:color w:val="808080" w:themeColor="text1" w:themeTint="7F"/>
    </w:rPr>
  </w:style>
  <w:style w:type="character" w:customStyle="1" w:styleId="shorttext">
    <w:name w:val="shorttext"/>
    <w:basedOn w:val="Fuentedeprrafopredeter"/>
    <w:rsid w:val="00B5625C"/>
  </w:style>
  <w:style w:type="paragraph" w:customStyle="1" w:styleId="Estilo4">
    <w:name w:val="Estilo4"/>
    <w:basedOn w:val="Prrafodelista"/>
    <w:qFormat/>
    <w:rsid w:val="00B5625C"/>
    <w:pPr>
      <w:widowControl/>
      <w:numPr>
        <w:ilvl w:val="1"/>
        <w:numId w:val="7"/>
      </w:numPr>
      <w:adjustRightInd/>
      <w:spacing w:after="120" w:line="240" w:lineRule="auto"/>
      <w:ind w:left="0" w:firstLine="357"/>
      <w:textAlignment w:val="auto"/>
    </w:pPr>
    <w:rPr>
      <w:spacing w:val="-2"/>
      <w:sz w:val="20"/>
      <w:szCs w:val="20"/>
      <w:lang w:eastAsia="en-US"/>
    </w:rPr>
  </w:style>
  <w:style w:type="character" w:styleId="MquinadeescribirHTML">
    <w:name w:val="HTML Typewriter"/>
    <w:basedOn w:val="Fuentedeprrafopredeter"/>
    <w:semiHidden/>
    <w:unhideWhenUsed/>
    <w:rsid w:val="00B5625C"/>
    <w:rPr>
      <w:rFonts w:ascii="Courier New" w:eastAsia="Times New Roman" w:hAnsi="Courier New" w:cs="Courier New"/>
      <w:sz w:val="20"/>
      <w:szCs w:val="20"/>
    </w:rPr>
  </w:style>
  <w:style w:type="paragraph" w:customStyle="1" w:styleId="SingleTxtG">
    <w:name w:val="_ Single Txt_G"/>
    <w:basedOn w:val="Normal"/>
    <w:rsid w:val="00B5625C"/>
    <w:pPr>
      <w:widowControl/>
      <w:adjustRightInd/>
      <w:spacing w:after="120" w:line="240" w:lineRule="atLeast"/>
      <w:ind w:left="1134" w:right="1134"/>
      <w:textAlignment w:val="auto"/>
    </w:pPr>
    <w:rPr>
      <w:rFonts w:ascii="Times New Roman" w:hAnsi="Times New Roman"/>
      <w:sz w:val="20"/>
      <w:szCs w:val="20"/>
      <w:lang w:val="es-ES" w:eastAsia="es-ES"/>
    </w:rPr>
  </w:style>
  <w:style w:type="paragraph" w:customStyle="1" w:styleId="Numberedparagraphs">
    <w:name w:val="Numbered paragraphs"/>
    <w:basedOn w:val="Normal"/>
    <w:qFormat/>
    <w:rsid w:val="00E24907"/>
    <w:pPr>
      <w:widowControl/>
      <w:numPr>
        <w:numId w:val="10"/>
      </w:numPr>
      <w:adjustRightInd/>
      <w:spacing w:after="200" w:line="240" w:lineRule="auto"/>
      <w:textAlignment w:val="auto"/>
    </w:pPr>
    <w:rPr>
      <w:rFonts w:eastAsia="MS Mincho"/>
      <w:color w:val="000000"/>
      <w:sz w:val="20"/>
      <w:szCs w:val="20"/>
      <w:lang w:val="es-ES_tradnl" w:eastAsia="en-US"/>
    </w:rPr>
  </w:style>
  <w:style w:type="character" w:customStyle="1" w:styleId="PrrafodeSentenciaChar">
    <w:name w:val="*. Párrafo de Sentencia Char"/>
    <w:link w:val="PrrafodeSentencia"/>
    <w:rsid w:val="008D63D9"/>
    <w:rPr>
      <w:rFonts w:ascii="Verdana" w:eastAsia="Times New Roman" w:hAnsi="Verdana" w:cs="Times New Roman"/>
      <w:bCs/>
      <w:noProof/>
      <w:sz w:val="20"/>
      <w:szCs w:val="20"/>
      <w:lang w:val="es-ES_tradnl" w:eastAsia="es-ES"/>
    </w:rPr>
  </w:style>
  <w:style w:type="paragraph" w:styleId="Revisin">
    <w:name w:val="Revision"/>
    <w:hidden/>
    <w:uiPriority w:val="99"/>
    <w:semiHidden/>
    <w:rsid w:val="009D661E"/>
    <w:pPr>
      <w:spacing w:after="0" w:line="240" w:lineRule="auto"/>
    </w:pPr>
    <w:rPr>
      <w:rFonts w:ascii="Verdana" w:eastAsia="Times New Roman" w:hAnsi="Verdana" w:cs="Times New Roman"/>
      <w:sz w:val="24"/>
      <w:szCs w:val="24"/>
      <w:lang w:eastAsia="es-CR"/>
    </w:rPr>
  </w:style>
  <w:style w:type="paragraph" w:styleId="Sinespaciado">
    <w:name w:val="No Spacing"/>
    <w:uiPriority w:val="1"/>
    <w:qFormat/>
    <w:rsid w:val="009D661E"/>
    <w:pPr>
      <w:spacing w:after="0" w:line="240" w:lineRule="auto"/>
      <w:jc w:val="both"/>
    </w:pPr>
    <w:rPr>
      <w:rFonts w:ascii="Verdana" w:eastAsia="Calibri" w:hAnsi="Verdana" w:cs="Calibri"/>
      <w:sz w:val="20"/>
      <w:lang w:val="es-MX"/>
    </w:rPr>
  </w:style>
  <w:style w:type="paragraph" w:customStyle="1" w:styleId="Textonotapie1">
    <w:name w:val="Texto nota pie1"/>
    <w:basedOn w:val="Normal"/>
    <w:uiPriority w:val="99"/>
    <w:qFormat/>
    <w:rsid w:val="009D661E"/>
    <w:pPr>
      <w:widowControl/>
      <w:adjustRightInd/>
      <w:spacing w:line="240" w:lineRule="auto"/>
      <w:jc w:val="left"/>
      <w:textAlignment w:val="auto"/>
    </w:pPr>
    <w:rPr>
      <w:rFonts w:ascii="Times New Roman" w:hAnsi="Times New Roman"/>
      <w:sz w:val="20"/>
      <w:szCs w:val="20"/>
      <w:lang w:val="en-US" w:eastAsia="es-ES"/>
    </w:rPr>
  </w:style>
  <w:style w:type="character" w:customStyle="1" w:styleId="Funotenzeichen">
    <w:name w:val="Fußnotenzeichen"/>
    <w:rsid w:val="009D661E"/>
  </w:style>
  <w:style w:type="character" w:customStyle="1" w:styleId="Smbolodenotaalpie">
    <w:name w:val="Símbolo de nota al pie"/>
    <w:rsid w:val="009D661E"/>
    <w:rPr>
      <w:rFonts w:ascii="Times New Roman" w:hAnsi="Times New Roman" w:cs="Times New Roman" w:hint="default"/>
      <w:szCs w:val="20"/>
      <w:vertAlign w:val="superscript"/>
    </w:rPr>
  </w:style>
  <w:style w:type="character" w:customStyle="1" w:styleId="TextonotapieCar2">
    <w:name w:val="Texto nota pie Car2"/>
    <w:aliases w:val="Footnote Text Char Char Char Char Char Car2,Footnote Text Char Char Char Char Car2,Footnote reference Car2,FA Fu Car2,Footnote Text Char Char Char Car2,Footnote Text Cha Car2,FA Fußnotentext Car2,FA Fu?notentext Car2,Ca Car1,C Car2"/>
    <w:locked/>
    <w:rsid w:val="009D661E"/>
  </w:style>
  <w:style w:type="paragraph" w:styleId="Listaconvietas">
    <w:name w:val="List Bullet"/>
    <w:basedOn w:val="Normal"/>
    <w:uiPriority w:val="99"/>
    <w:unhideWhenUsed/>
    <w:rsid w:val="00673408"/>
    <w:pPr>
      <w:widowControl/>
      <w:numPr>
        <w:numId w:val="22"/>
      </w:numPr>
      <w:adjustRightInd/>
      <w:spacing w:after="200" w:line="276" w:lineRule="auto"/>
      <w:contextualSpacing/>
      <w:jc w:val="left"/>
      <w:textAlignment w:val="auto"/>
    </w:pPr>
    <w:rPr>
      <w:rFonts w:ascii="Calibri" w:hAnsi="Calibri"/>
      <w:sz w:val="22"/>
      <w:szCs w:val="22"/>
      <w:lang w:eastAsia="en-US"/>
    </w:rPr>
  </w:style>
  <w:style w:type="character" w:styleId="Mencinsinresolver">
    <w:name w:val="Unresolved Mention"/>
    <w:basedOn w:val="Fuentedeprrafopredeter"/>
    <w:uiPriority w:val="99"/>
    <w:semiHidden/>
    <w:unhideWhenUsed/>
    <w:rsid w:val="00A55E54"/>
    <w:rPr>
      <w:color w:val="605E5C"/>
      <w:shd w:val="clear" w:color="auto" w:fill="E1DFDD"/>
    </w:rPr>
  </w:style>
  <w:style w:type="character" w:customStyle="1" w:styleId="tagtrans">
    <w:name w:val="tag_trans"/>
    <w:basedOn w:val="Fuentedeprrafopredeter"/>
    <w:rsid w:val="000E74DA"/>
  </w:style>
  <w:style w:type="character" w:customStyle="1" w:styleId="tagtype">
    <w:name w:val="tag_type"/>
    <w:basedOn w:val="Fuentedeprrafopredeter"/>
    <w:rsid w:val="000E74DA"/>
  </w:style>
  <w:style w:type="character" w:customStyle="1" w:styleId="highlight">
    <w:name w:val="highlight"/>
    <w:basedOn w:val="Fuentedeprrafopredeter"/>
    <w:rsid w:val="00FA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026">
      <w:bodyDiv w:val="1"/>
      <w:marLeft w:val="0"/>
      <w:marRight w:val="0"/>
      <w:marTop w:val="0"/>
      <w:marBottom w:val="0"/>
      <w:divBdr>
        <w:top w:val="none" w:sz="0" w:space="0" w:color="auto"/>
        <w:left w:val="none" w:sz="0" w:space="0" w:color="auto"/>
        <w:bottom w:val="none" w:sz="0" w:space="0" w:color="auto"/>
        <w:right w:val="none" w:sz="0" w:space="0" w:color="auto"/>
      </w:divBdr>
      <w:divsChild>
        <w:div w:id="601454574">
          <w:marLeft w:val="432"/>
          <w:marRight w:val="0"/>
          <w:marTop w:val="120"/>
          <w:marBottom w:val="0"/>
          <w:divBdr>
            <w:top w:val="none" w:sz="0" w:space="0" w:color="auto"/>
            <w:left w:val="none" w:sz="0" w:space="0" w:color="auto"/>
            <w:bottom w:val="none" w:sz="0" w:space="0" w:color="auto"/>
            <w:right w:val="none" w:sz="0" w:space="0" w:color="auto"/>
          </w:divBdr>
        </w:div>
      </w:divsChild>
    </w:div>
    <w:div w:id="51543350">
      <w:bodyDiv w:val="1"/>
      <w:marLeft w:val="0"/>
      <w:marRight w:val="0"/>
      <w:marTop w:val="0"/>
      <w:marBottom w:val="0"/>
      <w:divBdr>
        <w:top w:val="none" w:sz="0" w:space="0" w:color="auto"/>
        <w:left w:val="none" w:sz="0" w:space="0" w:color="auto"/>
        <w:bottom w:val="none" w:sz="0" w:space="0" w:color="auto"/>
        <w:right w:val="none" w:sz="0" w:space="0" w:color="auto"/>
      </w:divBdr>
    </w:div>
    <w:div w:id="70860996">
      <w:bodyDiv w:val="1"/>
      <w:marLeft w:val="0"/>
      <w:marRight w:val="0"/>
      <w:marTop w:val="0"/>
      <w:marBottom w:val="0"/>
      <w:divBdr>
        <w:top w:val="none" w:sz="0" w:space="0" w:color="auto"/>
        <w:left w:val="none" w:sz="0" w:space="0" w:color="auto"/>
        <w:bottom w:val="none" w:sz="0" w:space="0" w:color="auto"/>
        <w:right w:val="none" w:sz="0" w:space="0" w:color="auto"/>
      </w:divBdr>
    </w:div>
    <w:div w:id="228080537">
      <w:bodyDiv w:val="1"/>
      <w:marLeft w:val="0"/>
      <w:marRight w:val="0"/>
      <w:marTop w:val="0"/>
      <w:marBottom w:val="0"/>
      <w:divBdr>
        <w:top w:val="none" w:sz="0" w:space="0" w:color="auto"/>
        <w:left w:val="none" w:sz="0" w:space="0" w:color="auto"/>
        <w:bottom w:val="none" w:sz="0" w:space="0" w:color="auto"/>
        <w:right w:val="none" w:sz="0" w:space="0" w:color="auto"/>
      </w:divBdr>
    </w:div>
    <w:div w:id="346055597">
      <w:bodyDiv w:val="1"/>
      <w:marLeft w:val="0"/>
      <w:marRight w:val="0"/>
      <w:marTop w:val="0"/>
      <w:marBottom w:val="0"/>
      <w:divBdr>
        <w:top w:val="none" w:sz="0" w:space="0" w:color="auto"/>
        <w:left w:val="none" w:sz="0" w:space="0" w:color="auto"/>
        <w:bottom w:val="none" w:sz="0" w:space="0" w:color="auto"/>
        <w:right w:val="none" w:sz="0" w:space="0" w:color="auto"/>
      </w:divBdr>
      <w:divsChild>
        <w:div w:id="1780489099">
          <w:marLeft w:val="547"/>
          <w:marRight w:val="0"/>
          <w:marTop w:val="125"/>
          <w:marBottom w:val="0"/>
          <w:divBdr>
            <w:top w:val="none" w:sz="0" w:space="0" w:color="auto"/>
            <w:left w:val="none" w:sz="0" w:space="0" w:color="auto"/>
            <w:bottom w:val="none" w:sz="0" w:space="0" w:color="auto"/>
            <w:right w:val="none" w:sz="0" w:space="0" w:color="auto"/>
          </w:divBdr>
        </w:div>
        <w:div w:id="232393733">
          <w:marLeft w:val="547"/>
          <w:marRight w:val="0"/>
          <w:marTop w:val="125"/>
          <w:marBottom w:val="0"/>
          <w:divBdr>
            <w:top w:val="none" w:sz="0" w:space="0" w:color="auto"/>
            <w:left w:val="none" w:sz="0" w:space="0" w:color="auto"/>
            <w:bottom w:val="none" w:sz="0" w:space="0" w:color="auto"/>
            <w:right w:val="none" w:sz="0" w:space="0" w:color="auto"/>
          </w:divBdr>
        </w:div>
      </w:divsChild>
    </w:div>
    <w:div w:id="349140117">
      <w:bodyDiv w:val="1"/>
      <w:marLeft w:val="0"/>
      <w:marRight w:val="0"/>
      <w:marTop w:val="0"/>
      <w:marBottom w:val="0"/>
      <w:divBdr>
        <w:top w:val="none" w:sz="0" w:space="0" w:color="auto"/>
        <w:left w:val="none" w:sz="0" w:space="0" w:color="auto"/>
        <w:bottom w:val="none" w:sz="0" w:space="0" w:color="auto"/>
        <w:right w:val="none" w:sz="0" w:space="0" w:color="auto"/>
      </w:divBdr>
      <w:divsChild>
        <w:div w:id="1429081194">
          <w:marLeft w:val="0"/>
          <w:marRight w:val="0"/>
          <w:marTop w:val="0"/>
          <w:marBottom w:val="0"/>
          <w:divBdr>
            <w:top w:val="none" w:sz="0" w:space="0" w:color="auto"/>
            <w:left w:val="none" w:sz="0" w:space="0" w:color="auto"/>
            <w:bottom w:val="none" w:sz="0" w:space="0" w:color="auto"/>
            <w:right w:val="none" w:sz="0" w:space="0" w:color="auto"/>
          </w:divBdr>
          <w:divsChild>
            <w:div w:id="2021077975">
              <w:marLeft w:val="0"/>
              <w:marRight w:val="60"/>
              <w:marTop w:val="0"/>
              <w:marBottom w:val="0"/>
              <w:divBdr>
                <w:top w:val="none" w:sz="0" w:space="0" w:color="auto"/>
                <w:left w:val="none" w:sz="0" w:space="0" w:color="auto"/>
                <w:bottom w:val="none" w:sz="0" w:space="0" w:color="auto"/>
                <w:right w:val="none" w:sz="0" w:space="0" w:color="auto"/>
              </w:divBdr>
              <w:divsChild>
                <w:div w:id="1169172349">
                  <w:marLeft w:val="0"/>
                  <w:marRight w:val="0"/>
                  <w:marTop w:val="0"/>
                  <w:marBottom w:val="120"/>
                  <w:divBdr>
                    <w:top w:val="single" w:sz="6" w:space="0" w:color="C0C0C0"/>
                    <w:left w:val="single" w:sz="6" w:space="0" w:color="D9D9D9"/>
                    <w:bottom w:val="single" w:sz="6" w:space="0" w:color="D9D9D9"/>
                    <w:right w:val="single" w:sz="6" w:space="0" w:color="D9D9D9"/>
                  </w:divBdr>
                  <w:divsChild>
                    <w:div w:id="10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9240">
          <w:marLeft w:val="0"/>
          <w:marRight w:val="0"/>
          <w:marTop w:val="0"/>
          <w:marBottom w:val="0"/>
          <w:divBdr>
            <w:top w:val="none" w:sz="0" w:space="0" w:color="auto"/>
            <w:left w:val="none" w:sz="0" w:space="0" w:color="auto"/>
            <w:bottom w:val="none" w:sz="0" w:space="0" w:color="auto"/>
            <w:right w:val="none" w:sz="0" w:space="0" w:color="auto"/>
          </w:divBdr>
          <w:divsChild>
            <w:div w:id="9337766">
              <w:marLeft w:val="60"/>
              <w:marRight w:val="0"/>
              <w:marTop w:val="0"/>
              <w:marBottom w:val="0"/>
              <w:divBdr>
                <w:top w:val="none" w:sz="0" w:space="0" w:color="auto"/>
                <w:left w:val="none" w:sz="0" w:space="0" w:color="auto"/>
                <w:bottom w:val="none" w:sz="0" w:space="0" w:color="auto"/>
                <w:right w:val="none" w:sz="0" w:space="0" w:color="auto"/>
              </w:divBdr>
              <w:divsChild>
                <w:div w:id="896430872">
                  <w:marLeft w:val="0"/>
                  <w:marRight w:val="0"/>
                  <w:marTop w:val="0"/>
                  <w:marBottom w:val="0"/>
                  <w:divBdr>
                    <w:top w:val="none" w:sz="0" w:space="0" w:color="auto"/>
                    <w:left w:val="none" w:sz="0" w:space="0" w:color="auto"/>
                    <w:bottom w:val="none" w:sz="0" w:space="0" w:color="auto"/>
                    <w:right w:val="none" w:sz="0" w:space="0" w:color="auto"/>
                  </w:divBdr>
                  <w:divsChild>
                    <w:div w:id="1255674402">
                      <w:marLeft w:val="0"/>
                      <w:marRight w:val="0"/>
                      <w:marTop w:val="0"/>
                      <w:marBottom w:val="120"/>
                      <w:divBdr>
                        <w:top w:val="single" w:sz="6" w:space="0" w:color="F5F5F5"/>
                        <w:left w:val="single" w:sz="6" w:space="0" w:color="F5F5F5"/>
                        <w:bottom w:val="single" w:sz="6" w:space="0" w:color="F5F5F5"/>
                        <w:right w:val="single" w:sz="6" w:space="0" w:color="F5F5F5"/>
                      </w:divBdr>
                      <w:divsChild>
                        <w:div w:id="671491477">
                          <w:marLeft w:val="0"/>
                          <w:marRight w:val="0"/>
                          <w:marTop w:val="0"/>
                          <w:marBottom w:val="0"/>
                          <w:divBdr>
                            <w:top w:val="none" w:sz="0" w:space="0" w:color="auto"/>
                            <w:left w:val="none" w:sz="0" w:space="0" w:color="auto"/>
                            <w:bottom w:val="none" w:sz="0" w:space="0" w:color="auto"/>
                            <w:right w:val="none" w:sz="0" w:space="0" w:color="auto"/>
                          </w:divBdr>
                          <w:divsChild>
                            <w:div w:id="12238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1390">
      <w:bodyDiv w:val="1"/>
      <w:marLeft w:val="0"/>
      <w:marRight w:val="0"/>
      <w:marTop w:val="0"/>
      <w:marBottom w:val="0"/>
      <w:divBdr>
        <w:top w:val="none" w:sz="0" w:space="0" w:color="auto"/>
        <w:left w:val="none" w:sz="0" w:space="0" w:color="auto"/>
        <w:bottom w:val="none" w:sz="0" w:space="0" w:color="auto"/>
        <w:right w:val="none" w:sz="0" w:space="0" w:color="auto"/>
      </w:divBdr>
    </w:div>
    <w:div w:id="580875946">
      <w:bodyDiv w:val="1"/>
      <w:marLeft w:val="0"/>
      <w:marRight w:val="0"/>
      <w:marTop w:val="0"/>
      <w:marBottom w:val="0"/>
      <w:divBdr>
        <w:top w:val="none" w:sz="0" w:space="0" w:color="auto"/>
        <w:left w:val="none" w:sz="0" w:space="0" w:color="auto"/>
        <w:bottom w:val="none" w:sz="0" w:space="0" w:color="auto"/>
        <w:right w:val="none" w:sz="0" w:space="0" w:color="auto"/>
      </w:divBdr>
    </w:div>
    <w:div w:id="670913164">
      <w:bodyDiv w:val="1"/>
      <w:marLeft w:val="0"/>
      <w:marRight w:val="0"/>
      <w:marTop w:val="0"/>
      <w:marBottom w:val="0"/>
      <w:divBdr>
        <w:top w:val="none" w:sz="0" w:space="0" w:color="auto"/>
        <w:left w:val="none" w:sz="0" w:space="0" w:color="auto"/>
        <w:bottom w:val="none" w:sz="0" w:space="0" w:color="auto"/>
        <w:right w:val="none" w:sz="0" w:space="0" w:color="auto"/>
      </w:divBdr>
    </w:div>
    <w:div w:id="707994313">
      <w:bodyDiv w:val="1"/>
      <w:marLeft w:val="0"/>
      <w:marRight w:val="0"/>
      <w:marTop w:val="0"/>
      <w:marBottom w:val="0"/>
      <w:divBdr>
        <w:top w:val="none" w:sz="0" w:space="0" w:color="auto"/>
        <w:left w:val="none" w:sz="0" w:space="0" w:color="auto"/>
        <w:bottom w:val="none" w:sz="0" w:space="0" w:color="auto"/>
        <w:right w:val="none" w:sz="0" w:space="0" w:color="auto"/>
      </w:divBdr>
      <w:divsChild>
        <w:div w:id="1097560830">
          <w:marLeft w:val="432"/>
          <w:marRight w:val="0"/>
          <w:marTop w:val="91"/>
          <w:marBottom w:val="0"/>
          <w:divBdr>
            <w:top w:val="none" w:sz="0" w:space="0" w:color="auto"/>
            <w:left w:val="none" w:sz="0" w:space="0" w:color="auto"/>
            <w:bottom w:val="none" w:sz="0" w:space="0" w:color="auto"/>
            <w:right w:val="none" w:sz="0" w:space="0" w:color="auto"/>
          </w:divBdr>
        </w:div>
      </w:divsChild>
    </w:div>
    <w:div w:id="747845350">
      <w:bodyDiv w:val="1"/>
      <w:marLeft w:val="0"/>
      <w:marRight w:val="0"/>
      <w:marTop w:val="0"/>
      <w:marBottom w:val="0"/>
      <w:divBdr>
        <w:top w:val="none" w:sz="0" w:space="0" w:color="auto"/>
        <w:left w:val="none" w:sz="0" w:space="0" w:color="auto"/>
        <w:bottom w:val="none" w:sz="0" w:space="0" w:color="auto"/>
        <w:right w:val="none" w:sz="0" w:space="0" w:color="auto"/>
      </w:divBdr>
    </w:div>
    <w:div w:id="755058272">
      <w:bodyDiv w:val="1"/>
      <w:marLeft w:val="0"/>
      <w:marRight w:val="0"/>
      <w:marTop w:val="0"/>
      <w:marBottom w:val="0"/>
      <w:divBdr>
        <w:top w:val="none" w:sz="0" w:space="0" w:color="auto"/>
        <w:left w:val="none" w:sz="0" w:space="0" w:color="auto"/>
        <w:bottom w:val="none" w:sz="0" w:space="0" w:color="auto"/>
        <w:right w:val="none" w:sz="0" w:space="0" w:color="auto"/>
      </w:divBdr>
    </w:div>
    <w:div w:id="781265155">
      <w:bodyDiv w:val="1"/>
      <w:marLeft w:val="0"/>
      <w:marRight w:val="0"/>
      <w:marTop w:val="0"/>
      <w:marBottom w:val="0"/>
      <w:divBdr>
        <w:top w:val="none" w:sz="0" w:space="0" w:color="auto"/>
        <w:left w:val="none" w:sz="0" w:space="0" w:color="auto"/>
        <w:bottom w:val="none" w:sz="0" w:space="0" w:color="auto"/>
        <w:right w:val="none" w:sz="0" w:space="0" w:color="auto"/>
      </w:divBdr>
    </w:div>
    <w:div w:id="786851822">
      <w:bodyDiv w:val="1"/>
      <w:marLeft w:val="0"/>
      <w:marRight w:val="0"/>
      <w:marTop w:val="0"/>
      <w:marBottom w:val="0"/>
      <w:divBdr>
        <w:top w:val="none" w:sz="0" w:space="0" w:color="auto"/>
        <w:left w:val="none" w:sz="0" w:space="0" w:color="auto"/>
        <w:bottom w:val="none" w:sz="0" w:space="0" w:color="auto"/>
        <w:right w:val="none" w:sz="0" w:space="0" w:color="auto"/>
      </w:divBdr>
    </w:div>
    <w:div w:id="871185451">
      <w:bodyDiv w:val="1"/>
      <w:marLeft w:val="0"/>
      <w:marRight w:val="0"/>
      <w:marTop w:val="0"/>
      <w:marBottom w:val="0"/>
      <w:divBdr>
        <w:top w:val="none" w:sz="0" w:space="0" w:color="auto"/>
        <w:left w:val="none" w:sz="0" w:space="0" w:color="auto"/>
        <w:bottom w:val="none" w:sz="0" w:space="0" w:color="auto"/>
        <w:right w:val="none" w:sz="0" w:space="0" w:color="auto"/>
      </w:divBdr>
    </w:div>
    <w:div w:id="915673780">
      <w:bodyDiv w:val="1"/>
      <w:marLeft w:val="0"/>
      <w:marRight w:val="0"/>
      <w:marTop w:val="0"/>
      <w:marBottom w:val="0"/>
      <w:divBdr>
        <w:top w:val="none" w:sz="0" w:space="0" w:color="auto"/>
        <w:left w:val="none" w:sz="0" w:space="0" w:color="auto"/>
        <w:bottom w:val="none" w:sz="0" w:space="0" w:color="auto"/>
        <w:right w:val="none" w:sz="0" w:space="0" w:color="auto"/>
      </w:divBdr>
    </w:div>
    <w:div w:id="980354312">
      <w:bodyDiv w:val="1"/>
      <w:marLeft w:val="0"/>
      <w:marRight w:val="0"/>
      <w:marTop w:val="0"/>
      <w:marBottom w:val="0"/>
      <w:divBdr>
        <w:top w:val="none" w:sz="0" w:space="0" w:color="auto"/>
        <w:left w:val="none" w:sz="0" w:space="0" w:color="auto"/>
        <w:bottom w:val="none" w:sz="0" w:space="0" w:color="auto"/>
        <w:right w:val="none" w:sz="0" w:space="0" w:color="auto"/>
      </w:divBdr>
    </w:div>
    <w:div w:id="1049643152">
      <w:bodyDiv w:val="1"/>
      <w:marLeft w:val="0"/>
      <w:marRight w:val="0"/>
      <w:marTop w:val="0"/>
      <w:marBottom w:val="0"/>
      <w:divBdr>
        <w:top w:val="none" w:sz="0" w:space="0" w:color="auto"/>
        <w:left w:val="none" w:sz="0" w:space="0" w:color="auto"/>
        <w:bottom w:val="none" w:sz="0" w:space="0" w:color="auto"/>
        <w:right w:val="none" w:sz="0" w:space="0" w:color="auto"/>
      </w:divBdr>
    </w:div>
    <w:div w:id="1075664695">
      <w:bodyDiv w:val="1"/>
      <w:marLeft w:val="0"/>
      <w:marRight w:val="0"/>
      <w:marTop w:val="0"/>
      <w:marBottom w:val="0"/>
      <w:divBdr>
        <w:top w:val="none" w:sz="0" w:space="0" w:color="auto"/>
        <w:left w:val="none" w:sz="0" w:space="0" w:color="auto"/>
        <w:bottom w:val="none" w:sz="0" w:space="0" w:color="auto"/>
        <w:right w:val="none" w:sz="0" w:space="0" w:color="auto"/>
      </w:divBdr>
    </w:div>
    <w:div w:id="1170753839">
      <w:bodyDiv w:val="1"/>
      <w:marLeft w:val="0"/>
      <w:marRight w:val="0"/>
      <w:marTop w:val="0"/>
      <w:marBottom w:val="0"/>
      <w:divBdr>
        <w:top w:val="none" w:sz="0" w:space="0" w:color="auto"/>
        <w:left w:val="none" w:sz="0" w:space="0" w:color="auto"/>
        <w:bottom w:val="none" w:sz="0" w:space="0" w:color="auto"/>
        <w:right w:val="none" w:sz="0" w:space="0" w:color="auto"/>
      </w:divBdr>
    </w:div>
    <w:div w:id="1187326676">
      <w:bodyDiv w:val="1"/>
      <w:marLeft w:val="0"/>
      <w:marRight w:val="0"/>
      <w:marTop w:val="0"/>
      <w:marBottom w:val="0"/>
      <w:divBdr>
        <w:top w:val="none" w:sz="0" w:space="0" w:color="auto"/>
        <w:left w:val="none" w:sz="0" w:space="0" w:color="auto"/>
        <w:bottom w:val="none" w:sz="0" w:space="0" w:color="auto"/>
        <w:right w:val="none" w:sz="0" w:space="0" w:color="auto"/>
      </w:divBdr>
    </w:div>
    <w:div w:id="1333339026">
      <w:bodyDiv w:val="1"/>
      <w:marLeft w:val="0"/>
      <w:marRight w:val="0"/>
      <w:marTop w:val="0"/>
      <w:marBottom w:val="0"/>
      <w:divBdr>
        <w:top w:val="none" w:sz="0" w:space="0" w:color="auto"/>
        <w:left w:val="none" w:sz="0" w:space="0" w:color="auto"/>
        <w:bottom w:val="none" w:sz="0" w:space="0" w:color="auto"/>
        <w:right w:val="none" w:sz="0" w:space="0" w:color="auto"/>
      </w:divBdr>
    </w:div>
    <w:div w:id="1410224755">
      <w:bodyDiv w:val="1"/>
      <w:marLeft w:val="0"/>
      <w:marRight w:val="0"/>
      <w:marTop w:val="0"/>
      <w:marBottom w:val="0"/>
      <w:divBdr>
        <w:top w:val="none" w:sz="0" w:space="0" w:color="auto"/>
        <w:left w:val="none" w:sz="0" w:space="0" w:color="auto"/>
        <w:bottom w:val="none" w:sz="0" w:space="0" w:color="auto"/>
        <w:right w:val="none" w:sz="0" w:space="0" w:color="auto"/>
      </w:divBdr>
    </w:div>
    <w:div w:id="1447653269">
      <w:bodyDiv w:val="1"/>
      <w:marLeft w:val="0"/>
      <w:marRight w:val="0"/>
      <w:marTop w:val="0"/>
      <w:marBottom w:val="0"/>
      <w:divBdr>
        <w:top w:val="none" w:sz="0" w:space="0" w:color="auto"/>
        <w:left w:val="none" w:sz="0" w:space="0" w:color="auto"/>
        <w:bottom w:val="none" w:sz="0" w:space="0" w:color="auto"/>
        <w:right w:val="none" w:sz="0" w:space="0" w:color="auto"/>
      </w:divBdr>
    </w:div>
    <w:div w:id="1835105144">
      <w:bodyDiv w:val="1"/>
      <w:marLeft w:val="0"/>
      <w:marRight w:val="0"/>
      <w:marTop w:val="0"/>
      <w:marBottom w:val="0"/>
      <w:divBdr>
        <w:top w:val="none" w:sz="0" w:space="0" w:color="auto"/>
        <w:left w:val="none" w:sz="0" w:space="0" w:color="auto"/>
        <w:bottom w:val="none" w:sz="0" w:space="0" w:color="auto"/>
        <w:right w:val="none" w:sz="0" w:space="0" w:color="auto"/>
      </w:divBdr>
    </w:div>
    <w:div w:id="21249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idh.or.cr/cf/themis/digesto/digesto.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hrlibrary.umn.edu/iachr/b_11_4k.htm" TargetMode="External"/><Relationship Id="rId1" Type="http://schemas.openxmlformats.org/officeDocument/2006/relationships/hyperlink" Target="http://hrlibrary.umn.edu/iachr/b_11_4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254B-982F-4F36-944B-E75D851E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55787</Words>
  <Characters>306830</Characters>
  <Application>Microsoft Office Word</Application>
  <DocSecurity>0</DocSecurity>
  <Lines>2556</Lines>
  <Paragraphs>723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361894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2</cp:revision>
  <cp:lastPrinted>2018-05-23T15:53:00Z</cp:lastPrinted>
  <dcterms:created xsi:type="dcterms:W3CDTF">2020-09-15T15:51:00Z</dcterms:created>
  <dcterms:modified xsi:type="dcterms:W3CDTF">2020-09-15T15:51:00Z</dcterms:modified>
</cp:coreProperties>
</file>